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DF" w:rsidRPr="00C155FA" w:rsidRDefault="00240FFC" w:rsidP="00C155FA">
      <w:pPr>
        <w:pStyle w:val="H1"/>
        <w:bidi/>
        <w:jc w:val="center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قائمة </w:t>
      </w:r>
      <w:r w:rsidR="00305BEE" w:rsidRPr="00C155FA">
        <w:rPr>
          <w:rFonts w:cs="Arial"/>
          <w:sz w:val="28"/>
          <w:szCs w:val="28"/>
          <w:rtl/>
        </w:rPr>
        <w:t>تحديد قابلية تنفيذ التحويلات النقدية</w:t>
      </w:r>
    </w:p>
    <w:tbl>
      <w:tblPr>
        <w:tblStyle w:val="TableGrid"/>
        <w:bidiVisual/>
        <w:tblW w:w="9747" w:type="dxa"/>
        <w:tblLayout w:type="fixed"/>
        <w:tblLook w:val="00A0"/>
      </w:tblPr>
      <w:tblGrid>
        <w:gridCol w:w="2096"/>
        <w:gridCol w:w="4731"/>
        <w:gridCol w:w="644"/>
        <w:gridCol w:w="739"/>
        <w:gridCol w:w="1537"/>
      </w:tblGrid>
      <w:tr w:rsidR="007A0239" w:rsidRPr="00C155FA" w:rsidTr="006E7870">
        <w:tc>
          <w:tcPr>
            <w:tcW w:w="2096" w:type="dxa"/>
            <w:tcBorders>
              <w:bottom w:val="single" w:sz="4" w:space="0" w:color="auto"/>
            </w:tcBorders>
            <w:shd w:val="clear" w:color="auto" w:fill="DC281E"/>
          </w:tcPr>
          <w:p w:rsidR="0057539C" w:rsidRPr="00C155FA" w:rsidRDefault="00305BEE" w:rsidP="00AE16E1">
            <w:pPr>
              <w:bidi/>
              <w:spacing w:before="12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C155FA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المعايير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DC281E"/>
          </w:tcPr>
          <w:p w:rsidR="0057539C" w:rsidRPr="00C155FA" w:rsidRDefault="00305BEE" w:rsidP="00AE16E1">
            <w:pPr>
              <w:bidi/>
              <w:spacing w:before="12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C155FA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الاعتبارات الأساسية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C281E"/>
          </w:tcPr>
          <w:p w:rsidR="0057539C" w:rsidRPr="00C155FA" w:rsidRDefault="00305BEE" w:rsidP="00AE16E1">
            <w:pPr>
              <w:bidi/>
              <w:spacing w:before="12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C155FA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قابلة للتنفيذ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DC281E"/>
          </w:tcPr>
          <w:p w:rsidR="0057539C" w:rsidRPr="00C155FA" w:rsidRDefault="00305BEE" w:rsidP="00AE16E1">
            <w:pPr>
              <w:bidi/>
              <w:spacing w:before="12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C155FA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غير قابلة للتنفيذ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DC281E"/>
          </w:tcPr>
          <w:p w:rsidR="0057539C" w:rsidRPr="00C155FA" w:rsidRDefault="00305BEE" w:rsidP="00AE16E1">
            <w:pPr>
              <w:bidi/>
              <w:spacing w:before="12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C155FA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التعليقات</w:t>
            </w:r>
          </w:p>
        </w:tc>
      </w:tr>
      <w:tr w:rsidR="0057539C" w:rsidRPr="00C155FA" w:rsidTr="006E7870">
        <w:tc>
          <w:tcPr>
            <w:tcW w:w="2096" w:type="dxa"/>
            <w:shd w:val="clear" w:color="auto" w:fill="A6A6A6"/>
          </w:tcPr>
          <w:p w:rsidR="0057539C" w:rsidRPr="00C155FA" w:rsidRDefault="00A93F2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  <w:r w:rsidRPr="00C155FA">
              <w:rPr>
                <w:rFonts w:cs="Arial"/>
                <w:b/>
                <w:sz w:val="28"/>
                <w:szCs w:val="28"/>
                <w:rtl/>
              </w:rPr>
              <w:t>الحاجات التي يجب أن يلبيها التدخل النقدي</w:t>
            </w:r>
          </w:p>
        </w:tc>
        <w:tc>
          <w:tcPr>
            <w:tcW w:w="4731" w:type="dxa"/>
            <w:shd w:val="clear" w:color="auto" w:fill="E6E6E6"/>
          </w:tcPr>
          <w:p w:rsidR="00AE16E1" w:rsidRPr="00C155FA" w:rsidRDefault="00AE16E1" w:rsidP="00AE16E1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C155FA">
              <w:rPr>
                <w:rFonts w:cs="Arial"/>
                <w:sz w:val="28"/>
                <w:szCs w:val="28"/>
                <w:rtl/>
              </w:rPr>
              <w:t>هل يمكن تلبية الحاجات عبر تأمين سلع و/أو خدمات معينة؟</w:t>
            </w:r>
          </w:p>
        </w:tc>
        <w:tc>
          <w:tcPr>
            <w:tcW w:w="644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57539C" w:rsidRPr="00C155FA" w:rsidTr="006E7870">
        <w:tc>
          <w:tcPr>
            <w:tcW w:w="2096" w:type="dxa"/>
            <w:shd w:val="clear" w:color="auto" w:fill="A6A6A6"/>
          </w:tcPr>
          <w:p w:rsidR="0057539C" w:rsidRPr="00C155FA" w:rsidRDefault="00A93F2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  <w:r w:rsidRPr="00C155FA">
              <w:rPr>
                <w:rFonts w:cs="Arial"/>
                <w:b/>
                <w:sz w:val="28"/>
                <w:szCs w:val="28"/>
                <w:rtl/>
              </w:rPr>
              <w:t>التمويل</w:t>
            </w:r>
          </w:p>
        </w:tc>
        <w:tc>
          <w:tcPr>
            <w:tcW w:w="4731" w:type="dxa"/>
            <w:shd w:val="clear" w:color="auto" w:fill="E6E6E6"/>
          </w:tcPr>
          <w:p w:rsidR="00AE16E1" w:rsidRPr="00C155FA" w:rsidRDefault="00AE16E1" w:rsidP="00AE16E1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C155FA">
              <w:rPr>
                <w:rFonts w:cs="Arial"/>
                <w:sz w:val="28"/>
                <w:szCs w:val="28"/>
                <w:rtl/>
              </w:rPr>
              <w:t>هل تدخل برامج التحويلات النقدي في إطار سياسات التمويل الخاصة بالجهات المانحة؟</w:t>
            </w:r>
          </w:p>
        </w:tc>
        <w:tc>
          <w:tcPr>
            <w:tcW w:w="644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57539C" w:rsidRPr="00C155FA" w:rsidTr="006E7870">
        <w:tc>
          <w:tcPr>
            <w:tcW w:w="2096" w:type="dxa"/>
            <w:shd w:val="clear" w:color="auto" w:fill="A6A6A6"/>
          </w:tcPr>
          <w:p w:rsidR="0057539C" w:rsidRPr="00C155FA" w:rsidRDefault="00A93F2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  <w:r w:rsidRPr="00C155FA">
              <w:rPr>
                <w:rFonts w:cs="Arial"/>
                <w:b/>
                <w:sz w:val="28"/>
                <w:szCs w:val="28"/>
                <w:rtl/>
              </w:rPr>
              <w:t>السياسات الحكومية</w:t>
            </w:r>
          </w:p>
        </w:tc>
        <w:tc>
          <w:tcPr>
            <w:tcW w:w="4731" w:type="dxa"/>
            <w:shd w:val="clear" w:color="auto" w:fill="E6E6E6"/>
          </w:tcPr>
          <w:p w:rsidR="00AE16E1" w:rsidRPr="00C155FA" w:rsidRDefault="00AE16E1" w:rsidP="00AE16E1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C155FA">
              <w:rPr>
                <w:rFonts w:cs="Arial"/>
                <w:sz w:val="28"/>
                <w:szCs w:val="28"/>
                <w:rtl/>
              </w:rPr>
              <w:t>هل تتوافق برامج التحويلات النقدية مع سياسات الحكومة المحلية؟</w:t>
            </w:r>
          </w:p>
          <w:p w:rsidR="0057539C" w:rsidRPr="00C155FA" w:rsidRDefault="00AE16E1" w:rsidP="00AE16E1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</w:rPr>
            </w:pPr>
            <w:bookmarkStart w:id="0" w:name="_GoBack"/>
            <w:bookmarkEnd w:id="0"/>
            <w:r w:rsidRPr="00C155FA">
              <w:rPr>
                <w:rFonts w:cs="Arial"/>
                <w:i/>
                <w:sz w:val="28"/>
                <w:szCs w:val="28"/>
                <w:rtl/>
              </w:rPr>
              <w:t>التأكد من عدم فرضه أي حظر لبرامج التحويلات النقدية.</w:t>
            </w:r>
          </w:p>
        </w:tc>
        <w:tc>
          <w:tcPr>
            <w:tcW w:w="644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57539C" w:rsidRPr="00C155FA" w:rsidTr="006E7870">
        <w:tc>
          <w:tcPr>
            <w:tcW w:w="2096" w:type="dxa"/>
            <w:vMerge w:val="restart"/>
            <w:shd w:val="clear" w:color="auto" w:fill="A6A6A6"/>
          </w:tcPr>
          <w:p w:rsidR="0057539C" w:rsidRPr="00C155FA" w:rsidRDefault="00A93F2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  <w:r w:rsidRPr="00C155FA">
              <w:rPr>
                <w:rFonts w:cs="Arial"/>
                <w:b/>
                <w:sz w:val="28"/>
                <w:szCs w:val="28"/>
                <w:rtl/>
              </w:rPr>
              <w:t>السوق</w:t>
            </w:r>
          </w:p>
        </w:tc>
        <w:tc>
          <w:tcPr>
            <w:tcW w:w="4731" w:type="dxa"/>
            <w:shd w:val="clear" w:color="auto" w:fill="E6E6E6"/>
          </w:tcPr>
          <w:p w:rsidR="00AE16E1" w:rsidRPr="00C155FA" w:rsidRDefault="00AE16E1" w:rsidP="00AE16E1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C155FA">
              <w:rPr>
                <w:rFonts w:cs="Arial"/>
                <w:sz w:val="28"/>
                <w:szCs w:val="28"/>
                <w:rtl/>
              </w:rPr>
              <w:t xml:space="preserve">هل الاقتصاد قائم على النقد وهل السكان </w:t>
            </w:r>
            <w:r w:rsidR="004A2D3C" w:rsidRPr="00C155FA">
              <w:rPr>
                <w:rFonts w:cs="Arial"/>
                <w:sz w:val="28"/>
                <w:szCs w:val="28"/>
                <w:rtl/>
              </w:rPr>
              <w:t>معتادين على التعامل مع النقود؟</w:t>
            </w:r>
          </w:p>
        </w:tc>
        <w:tc>
          <w:tcPr>
            <w:tcW w:w="644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57539C" w:rsidRPr="00C155FA" w:rsidTr="006E7870">
        <w:tc>
          <w:tcPr>
            <w:tcW w:w="2096" w:type="dxa"/>
            <w:vMerge/>
            <w:shd w:val="clear" w:color="auto" w:fill="A6A6A6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E6E6E6"/>
          </w:tcPr>
          <w:p w:rsidR="004A2D3C" w:rsidRPr="00C155FA" w:rsidRDefault="004A2D3C" w:rsidP="004A2D3C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C155FA">
              <w:rPr>
                <w:rFonts w:cs="Arial"/>
                <w:sz w:val="28"/>
                <w:szCs w:val="28"/>
                <w:rtl/>
              </w:rPr>
              <w:t>هل يلجأ السكان عادة إلى الأسواق لتلبية حاجاتهم؟</w:t>
            </w:r>
          </w:p>
        </w:tc>
        <w:tc>
          <w:tcPr>
            <w:tcW w:w="644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57539C" w:rsidRPr="00C155FA" w:rsidTr="006E7870">
        <w:tc>
          <w:tcPr>
            <w:tcW w:w="2096" w:type="dxa"/>
            <w:vMerge/>
            <w:shd w:val="clear" w:color="auto" w:fill="A6A6A6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E6E6E6"/>
          </w:tcPr>
          <w:p w:rsidR="004A2D3C" w:rsidRPr="00C155FA" w:rsidRDefault="004A2D3C" w:rsidP="004A2D3C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C155FA">
              <w:rPr>
                <w:rFonts w:cs="Arial"/>
                <w:sz w:val="28"/>
                <w:szCs w:val="28"/>
                <w:rtl/>
              </w:rPr>
              <w:t>هل يمكن الوصول إلى السواق بعد حالة الطوارئ؟</w:t>
            </w:r>
          </w:p>
        </w:tc>
        <w:tc>
          <w:tcPr>
            <w:tcW w:w="644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57539C" w:rsidRPr="00C155FA" w:rsidTr="006E7870">
        <w:tc>
          <w:tcPr>
            <w:tcW w:w="2096" w:type="dxa"/>
            <w:vMerge/>
            <w:shd w:val="clear" w:color="auto" w:fill="A6A6A6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E6E6E6"/>
          </w:tcPr>
          <w:p w:rsidR="004A2D3C" w:rsidRPr="00C155FA" w:rsidRDefault="004A2D3C" w:rsidP="00E847AF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C155FA">
              <w:rPr>
                <w:rFonts w:cs="Arial"/>
                <w:sz w:val="28"/>
                <w:szCs w:val="28"/>
                <w:rtl/>
              </w:rPr>
              <w:t>هل تتوفر في الأسواق السلع المطلوبة بأسعار مقبولة و</w:t>
            </w:r>
            <w:r w:rsidR="00E847AF" w:rsidRPr="00C155FA">
              <w:rPr>
                <w:rFonts w:cs="Arial"/>
                <w:sz w:val="28"/>
                <w:szCs w:val="28"/>
                <w:rtl/>
              </w:rPr>
              <w:t>بكمية</w:t>
            </w:r>
            <w:r w:rsidRPr="00C155FA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E847AF" w:rsidRPr="00C155FA">
              <w:rPr>
                <w:rFonts w:cs="Arial"/>
                <w:sz w:val="28"/>
                <w:szCs w:val="28"/>
                <w:rtl/>
              </w:rPr>
              <w:t>كافية</w:t>
            </w:r>
            <w:r w:rsidRPr="00C155FA">
              <w:rPr>
                <w:rFonts w:cs="Arial"/>
                <w:sz w:val="28"/>
                <w:szCs w:val="28"/>
                <w:rtl/>
              </w:rPr>
              <w:t>؟</w:t>
            </w:r>
          </w:p>
        </w:tc>
        <w:tc>
          <w:tcPr>
            <w:tcW w:w="644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57539C" w:rsidRPr="00C155FA" w:rsidTr="006E7870">
        <w:tc>
          <w:tcPr>
            <w:tcW w:w="2096" w:type="dxa"/>
            <w:vMerge/>
            <w:shd w:val="clear" w:color="auto" w:fill="A6A6A6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E6E6E6"/>
          </w:tcPr>
          <w:p w:rsidR="00E847AF" w:rsidRPr="00C155FA" w:rsidRDefault="00E847AF" w:rsidP="00E847AF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  <w:rtl/>
              </w:rPr>
            </w:pPr>
            <w:r w:rsidRPr="00C155FA">
              <w:rPr>
                <w:rFonts w:cs="Arial"/>
                <w:sz w:val="28"/>
                <w:szCs w:val="28"/>
                <w:rtl/>
              </w:rPr>
              <w:t>هل التجار مستعدين للتكيف مع زيادة الطلب وتأمين السلع؟</w:t>
            </w:r>
          </w:p>
          <w:p w:rsidR="0057539C" w:rsidRPr="00C155FA" w:rsidRDefault="00E847AF" w:rsidP="00E847AF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C155FA">
              <w:rPr>
                <w:rFonts w:cs="Arial"/>
                <w:sz w:val="28"/>
                <w:szCs w:val="28"/>
                <w:rtl/>
              </w:rPr>
              <w:t>يجب الأخذ في الاعتبار مسائل النقل، والتخزين، والجودة، والكمية</w:t>
            </w:r>
            <w:r w:rsidR="001A0168" w:rsidRPr="00C155FA">
              <w:rPr>
                <w:rFonts w:cs="Arial"/>
                <w:i/>
                <w:sz w:val="28"/>
                <w:szCs w:val="28"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57539C" w:rsidRPr="00C155FA" w:rsidTr="006E7870">
        <w:tc>
          <w:tcPr>
            <w:tcW w:w="2096" w:type="dxa"/>
            <w:vMerge/>
            <w:shd w:val="clear" w:color="auto" w:fill="A6A6A6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E6E6E6"/>
          </w:tcPr>
          <w:p w:rsidR="006323A5" w:rsidRPr="00C155FA" w:rsidRDefault="006323A5" w:rsidP="006323A5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C155FA">
              <w:rPr>
                <w:rFonts w:cs="Arial"/>
                <w:sz w:val="28"/>
                <w:szCs w:val="28"/>
                <w:rtl/>
              </w:rPr>
              <w:t>هل من المرجح أن تحافظ الأسعار على استقرارها في السابيع/الأشهر المقبلة؟</w:t>
            </w:r>
          </w:p>
        </w:tc>
        <w:tc>
          <w:tcPr>
            <w:tcW w:w="644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57539C" w:rsidRPr="00C155FA" w:rsidTr="006E7870">
        <w:tc>
          <w:tcPr>
            <w:tcW w:w="2096" w:type="dxa"/>
            <w:shd w:val="clear" w:color="auto" w:fill="A6A6A6"/>
          </w:tcPr>
          <w:p w:rsidR="0057539C" w:rsidRPr="00C155FA" w:rsidRDefault="00A93F2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  <w:r w:rsidRPr="00C155FA">
              <w:rPr>
                <w:rFonts w:cs="Arial"/>
                <w:b/>
                <w:sz w:val="28"/>
                <w:szCs w:val="28"/>
                <w:rtl/>
              </w:rPr>
              <w:t>القدرة التنظيمية</w:t>
            </w:r>
          </w:p>
        </w:tc>
        <w:tc>
          <w:tcPr>
            <w:tcW w:w="4731" w:type="dxa"/>
            <w:shd w:val="clear" w:color="auto" w:fill="E6E6E6"/>
          </w:tcPr>
          <w:p w:rsidR="0057539C" w:rsidRPr="00C155FA" w:rsidRDefault="00A86F72" w:rsidP="00A86F72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  <w:rtl/>
              </w:rPr>
            </w:pPr>
            <w:r w:rsidRPr="00C155FA">
              <w:rPr>
                <w:rFonts w:cs="Arial"/>
                <w:sz w:val="28"/>
                <w:szCs w:val="28"/>
                <w:rtl/>
              </w:rPr>
              <w:t>هل تتمتع الوكالة بالقدرة الداخلية (قدرة برمجية، مالية، لوجيستية)</w:t>
            </w:r>
            <w:r w:rsidR="0057539C" w:rsidRPr="00C155FA">
              <w:rPr>
                <w:rFonts w:cs="Arial"/>
                <w:sz w:val="28"/>
                <w:szCs w:val="28"/>
              </w:rPr>
              <w:t xml:space="preserve"> </w:t>
            </w:r>
            <w:r w:rsidRPr="00C155FA">
              <w:rPr>
                <w:rFonts w:cs="Arial"/>
                <w:sz w:val="28"/>
                <w:szCs w:val="28"/>
                <w:rtl/>
              </w:rPr>
              <w:t>لتنفيذ التدخل النقدي؟</w:t>
            </w:r>
          </w:p>
          <w:p w:rsidR="0057539C" w:rsidRPr="00C155FA" w:rsidRDefault="00A86F72" w:rsidP="00171673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  <w:r w:rsidRPr="00C155FA">
              <w:rPr>
                <w:rFonts w:cs="Arial"/>
                <w:sz w:val="28"/>
                <w:szCs w:val="28"/>
                <w:rtl/>
              </w:rPr>
              <w:t xml:space="preserve">يجب الأخذ في الاعتبار خبرتها السابقة في هذا المجال </w:t>
            </w:r>
            <w:r w:rsidR="00171673" w:rsidRPr="00C155FA">
              <w:rPr>
                <w:rFonts w:cs="Arial"/>
                <w:sz w:val="28"/>
                <w:szCs w:val="28"/>
                <w:rtl/>
              </w:rPr>
              <w:t>والشراكات المحتملة</w:t>
            </w:r>
            <w:r w:rsidR="001A0168" w:rsidRPr="00C155FA">
              <w:rPr>
                <w:rFonts w:cs="Arial"/>
                <w:i/>
                <w:sz w:val="28"/>
                <w:szCs w:val="28"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E34735" w:rsidRPr="00C155FA" w:rsidTr="006E7870">
        <w:tc>
          <w:tcPr>
            <w:tcW w:w="2096" w:type="dxa"/>
            <w:shd w:val="clear" w:color="auto" w:fill="A6A6A6"/>
          </w:tcPr>
          <w:p w:rsidR="00E34735" w:rsidRPr="00C155FA" w:rsidRDefault="00A93F2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  <w:r w:rsidRPr="00C155FA">
              <w:rPr>
                <w:rFonts w:cs="Arial"/>
                <w:b/>
                <w:sz w:val="28"/>
                <w:szCs w:val="28"/>
                <w:rtl/>
              </w:rPr>
              <w:t>تفضيلات المستفيدين</w:t>
            </w:r>
          </w:p>
        </w:tc>
        <w:tc>
          <w:tcPr>
            <w:tcW w:w="4731" w:type="dxa"/>
            <w:shd w:val="clear" w:color="auto" w:fill="E6E6E6"/>
          </w:tcPr>
          <w:p w:rsidR="00E34735" w:rsidRPr="00C155FA" w:rsidRDefault="00E62F17" w:rsidP="00E62F17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  <w:rtl/>
              </w:rPr>
            </w:pPr>
            <w:r w:rsidRPr="00C155FA">
              <w:rPr>
                <w:rFonts w:cs="Arial"/>
                <w:i/>
                <w:sz w:val="28"/>
                <w:szCs w:val="28"/>
                <w:rtl/>
              </w:rPr>
              <w:t xml:space="preserve">هل اللجوء إلى برامج التحويلات النقدية الخيار الأفضل بالنسبة للمستفيدين؟ </w:t>
            </w:r>
          </w:p>
          <w:p w:rsidR="00E62F17" w:rsidRPr="00C155FA" w:rsidRDefault="00E62F17" w:rsidP="00E62F17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</w:rPr>
            </w:pPr>
            <w:r w:rsidRPr="00C155FA">
              <w:rPr>
                <w:rFonts w:cs="Arial"/>
                <w:i/>
                <w:sz w:val="28"/>
                <w:szCs w:val="28"/>
                <w:rtl/>
              </w:rPr>
              <w:t>يجب الأخذ في الاعتبار الاعتبارات المتعلقة بتمكين المستفيدين، وتعزيز قدراتهم على صعيد استخدام التطنولوجيا (الهاتف المحمول، البطاقات، إلخ) والحفاظ على كرامتهم.</w:t>
            </w:r>
          </w:p>
        </w:tc>
        <w:tc>
          <w:tcPr>
            <w:tcW w:w="644" w:type="dxa"/>
            <w:shd w:val="clear" w:color="auto" w:fill="F3F3F3"/>
          </w:tcPr>
          <w:p w:rsidR="00E34735" w:rsidRPr="00C155FA" w:rsidRDefault="00E34735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E34735" w:rsidRPr="00C155FA" w:rsidRDefault="00E34735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E34735" w:rsidRPr="00C155FA" w:rsidRDefault="00E34735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57539C" w:rsidRPr="00C155FA" w:rsidTr="006E7870">
        <w:tc>
          <w:tcPr>
            <w:tcW w:w="2096" w:type="dxa"/>
            <w:shd w:val="clear" w:color="auto" w:fill="A6A6A6"/>
          </w:tcPr>
          <w:p w:rsidR="0057539C" w:rsidRPr="00C155FA" w:rsidRDefault="00A93F2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  <w:r w:rsidRPr="00C155FA">
              <w:rPr>
                <w:rFonts w:cs="Arial"/>
                <w:b/>
                <w:sz w:val="28"/>
                <w:szCs w:val="28"/>
                <w:rtl/>
              </w:rPr>
              <w:lastRenderedPageBreak/>
              <w:t>البنية التحتية والخدمات</w:t>
            </w:r>
          </w:p>
        </w:tc>
        <w:tc>
          <w:tcPr>
            <w:tcW w:w="4731" w:type="dxa"/>
            <w:shd w:val="clear" w:color="auto" w:fill="E6E6E6"/>
          </w:tcPr>
          <w:p w:rsidR="0057539C" w:rsidRPr="00C155FA" w:rsidRDefault="00283E3C" w:rsidP="00283E3C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  <w:rtl/>
              </w:rPr>
            </w:pPr>
            <w:r w:rsidRPr="00C155FA">
              <w:rPr>
                <w:rFonts w:cs="Arial"/>
                <w:i/>
                <w:sz w:val="28"/>
                <w:szCs w:val="28"/>
                <w:rtl/>
              </w:rPr>
              <w:t>هل تتوفر البنية التحتية والخدمات الضرورية لتحويل النقود للمستفيدين؟</w:t>
            </w:r>
          </w:p>
          <w:p w:rsidR="00283E3C" w:rsidRPr="00C155FA" w:rsidRDefault="00283E3C" w:rsidP="00283E3C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</w:rPr>
            </w:pPr>
            <w:r w:rsidRPr="00C155FA">
              <w:rPr>
                <w:rFonts w:cs="Arial"/>
                <w:i/>
                <w:sz w:val="28"/>
                <w:szCs w:val="28"/>
                <w:rtl/>
              </w:rPr>
              <w:t>يجب الأخذ في الاعتبار المتطلبات المالية والتكنولوجية (المصارف، المؤسسات المالية، شبكة الهواتف المحمولة، إلخ).</w:t>
            </w:r>
          </w:p>
        </w:tc>
        <w:tc>
          <w:tcPr>
            <w:tcW w:w="644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57539C" w:rsidRPr="00C155FA" w:rsidTr="006E7870">
        <w:tc>
          <w:tcPr>
            <w:tcW w:w="2096" w:type="dxa"/>
            <w:shd w:val="clear" w:color="auto" w:fill="A6A6A6"/>
          </w:tcPr>
          <w:p w:rsidR="0057539C" w:rsidRPr="00C155FA" w:rsidRDefault="00283E3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  <w:r w:rsidRPr="00C155FA">
              <w:rPr>
                <w:rFonts w:cs="Arial"/>
                <w:b/>
                <w:sz w:val="28"/>
                <w:szCs w:val="28"/>
                <w:rtl/>
              </w:rPr>
              <w:t>المخاطر</w:t>
            </w:r>
          </w:p>
        </w:tc>
        <w:tc>
          <w:tcPr>
            <w:tcW w:w="4731" w:type="dxa"/>
            <w:shd w:val="clear" w:color="auto" w:fill="E6E6E6"/>
          </w:tcPr>
          <w:p w:rsidR="0057539C" w:rsidRPr="00C155FA" w:rsidRDefault="00647CED" w:rsidP="00647CED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  <w:rtl/>
              </w:rPr>
            </w:pPr>
            <w:r w:rsidRPr="00C155FA">
              <w:rPr>
                <w:rFonts w:cs="Arial"/>
                <w:i/>
                <w:sz w:val="28"/>
                <w:szCs w:val="28"/>
                <w:rtl/>
              </w:rPr>
              <w:t>هل المخاطر المرتبطة ببرامج التحويلات النقدية طفيفة؟ وهل يمكن التصدي لها؟</w:t>
            </w:r>
          </w:p>
          <w:p w:rsidR="00647CED" w:rsidRPr="00C155FA" w:rsidRDefault="00647CED" w:rsidP="00647CED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  <w:rtl/>
              </w:rPr>
            </w:pPr>
            <w:r w:rsidRPr="00C155FA">
              <w:rPr>
                <w:rFonts w:cs="Arial"/>
                <w:i/>
                <w:sz w:val="28"/>
                <w:szCs w:val="28"/>
                <w:rtl/>
              </w:rPr>
              <w:t>يجب الأخذ في الاعتبار أمن المستفيد والموظف، ولاسيما المسائل المتعلقة بالفساد.</w:t>
            </w:r>
          </w:p>
          <w:p w:rsidR="00647CED" w:rsidRPr="00C155FA" w:rsidRDefault="00647CED" w:rsidP="00647CED">
            <w:pPr>
              <w:bidi/>
              <w:spacing w:before="60" w:after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  <w:tr w:rsidR="0057539C" w:rsidRPr="00C155FA" w:rsidTr="006E7870">
        <w:tc>
          <w:tcPr>
            <w:tcW w:w="2096" w:type="dxa"/>
            <w:shd w:val="clear" w:color="auto" w:fill="A6A6A6"/>
          </w:tcPr>
          <w:p w:rsidR="0057539C" w:rsidRPr="00C155FA" w:rsidRDefault="00A93F2C" w:rsidP="00AE16E1">
            <w:pPr>
              <w:bidi/>
              <w:spacing w:before="60" w:afterLines="60"/>
              <w:jc w:val="left"/>
              <w:rPr>
                <w:rFonts w:cs="Arial"/>
                <w:b/>
                <w:sz w:val="28"/>
                <w:szCs w:val="28"/>
              </w:rPr>
            </w:pPr>
            <w:r w:rsidRPr="00C155FA">
              <w:rPr>
                <w:rFonts w:cs="Arial"/>
                <w:b/>
                <w:sz w:val="28"/>
                <w:szCs w:val="28"/>
                <w:rtl/>
              </w:rPr>
              <w:t>المدة الزمنية</w:t>
            </w:r>
          </w:p>
        </w:tc>
        <w:tc>
          <w:tcPr>
            <w:tcW w:w="4731" w:type="dxa"/>
            <w:shd w:val="clear" w:color="auto" w:fill="E6E6E6"/>
          </w:tcPr>
          <w:p w:rsidR="0057539C" w:rsidRPr="00C155FA" w:rsidRDefault="006C66C0" w:rsidP="006C66C0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  <w:rtl/>
              </w:rPr>
            </w:pPr>
            <w:r w:rsidRPr="00C155FA">
              <w:rPr>
                <w:rFonts w:cs="Arial"/>
                <w:i/>
                <w:sz w:val="28"/>
                <w:szCs w:val="28"/>
                <w:rtl/>
              </w:rPr>
              <w:t xml:space="preserve">هل من الممكن </w:t>
            </w:r>
            <w:r w:rsidR="000B39D3" w:rsidRPr="00C155FA">
              <w:rPr>
                <w:rFonts w:cs="Arial"/>
                <w:i/>
                <w:sz w:val="28"/>
                <w:szCs w:val="28"/>
                <w:rtl/>
              </w:rPr>
              <w:t>تصميم برامج تحويلات نقدية وتنفيذها في خلال مدة زمنية قصيرة وعلى النطاق المطلوب؟</w:t>
            </w:r>
          </w:p>
          <w:p w:rsidR="000B39D3" w:rsidRPr="00C155FA" w:rsidRDefault="000B39D3" w:rsidP="000B39D3">
            <w:pPr>
              <w:bidi/>
              <w:spacing w:before="60" w:after="60"/>
              <w:jc w:val="left"/>
              <w:rPr>
                <w:rFonts w:cs="Arial"/>
                <w:i/>
                <w:sz w:val="28"/>
                <w:szCs w:val="28"/>
              </w:rPr>
            </w:pPr>
            <w:r w:rsidRPr="00C155FA">
              <w:rPr>
                <w:rFonts w:cs="Arial"/>
                <w:i/>
                <w:sz w:val="28"/>
                <w:szCs w:val="28"/>
                <w:rtl/>
              </w:rPr>
              <w:t>يجب الأخذ في الاعتبار المدة الزمنية المطلوبة لتنفيذ مختلف آليات التسليم.</w:t>
            </w:r>
          </w:p>
        </w:tc>
        <w:tc>
          <w:tcPr>
            <w:tcW w:w="644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F3F3F3"/>
          </w:tcPr>
          <w:p w:rsidR="0057539C" w:rsidRPr="00C155FA" w:rsidRDefault="0057539C" w:rsidP="00AE16E1">
            <w:pPr>
              <w:bidi/>
              <w:spacing w:before="60" w:afterLines="60"/>
              <w:jc w:val="left"/>
              <w:rPr>
                <w:rFonts w:cs="Arial"/>
                <w:sz w:val="28"/>
                <w:szCs w:val="28"/>
              </w:rPr>
            </w:pPr>
          </w:p>
        </w:tc>
      </w:tr>
    </w:tbl>
    <w:p w:rsidR="00B77CDF" w:rsidRPr="00C155FA" w:rsidRDefault="007B5BCE" w:rsidP="006B09B7">
      <w:pPr>
        <w:bidi/>
        <w:rPr>
          <w:rFonts w:cs="Arial"/>
          <w:sz w:val="28"/>
          <w:szCs w:val="28"/>
          <w:rtl/>
        </w:rPr>
      </w:pPr>
      <w:r w:rsidRPr="00C155FA">
        <w:rPr>
          <w:rFonts w:cs="Arial"/>
          <w:sz w:val="28"/>
          <w:szCs w:val="28"/>
        </w:rPr>
        <w:t xml:space="preserve"> </w:t>
      </w:r>
    </w:p>
    <w:p w:rsidR="006B09B7" w:rsidRPr="00C155FA" w:rsidRDefault="006B09B7" w:rsidP="006B09B7">
      <w:pPr>
        <w:bidi/>
        <w:rPr>
          <w:rFonts w:cs="Arial"/>
          <w:sz w:val="28"/>
          <w:szCs w:val="28"/>
        </w:rPr>
      </w:pPr>
      <w:r w:rsidRPr="00C155FA">
        <w:rPr>
          <w:rFonts w:cs="Arial"/>
          <w:sz w:val="28"/>
          <w:szCs w:val="28"/>
          <w:rtl/>
        </w:rPr>
        <w:t>إذا تمت الإجابة على كل هذه الإسئلة بـ"قابلة للتنفيذ"، يمكن بذلك تنفيذ برامج التحويلات النقدية.</w:t>
      </w:r>
    </w:p>
    <w:sectPr w:rsidR="006B09B7" w:rsidRPr="00C155FA" w:rsidSect="00A06AFE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8CBF5" w15:done="0"/>
  <w15:commentEx w15:paraId="585860C2" w15:done="0"/>
  <w15:commentEx w15:paraId="013B8DEF" w15:done="0"/>
  <w15:commentEx w15:paraId="74717454" w15:done="0"/>
  <w15:commentEx w15:paraId="18ABCF1E" w15:done="0"/>
  <w15:commentEx w15:paraId="7E7F6F23" w15:done="0"/>
  <w15:commentEx w15:paraId="25979E6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B9" w:rsidRDefault="00ED32B9" w:rsidP="008B200A">
      <w:pPr>
        <w:spacing w:after="0"/>
      </w:pPr>
      <w:r>
        <w:separator/>
      </w:r>
    </w:p>
  </w:endnote>
  <w:endnote w:type="continuationSeparator" w:id="1">
    <w:p w:rsidR="00ED32B9" w:rsidRDefault="00ED32B9" w:rsidP="008B20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0E" w:rsidRDefault="00993405" w:rsidP="00611C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6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60E" w:rsidRDefault="00AF160E" w:rsidP="001909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FE" w:rsidRPr="00B45C74" w:rsidRDefault="0099340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A06AFE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40FF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A06AFE" w:rsidRPr="003A3500" w:rsidRDefault="00A06AFE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Sub-step 2. </w:t>
    </w:r>
    <w:fldSimple w:instr=" STYLEREF  H1 \t  \* MERGEFORMAT ">
      <w:r w:rsidR="00240FFC">
        <w:rPr>
          <w:noProof/>
          <w:rtl/>
        </w:rPr>
        <w:t>قائمة تحديد قابلية تنفيذ التحويلات النقدية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B9" w:rsidRDefault="00ED32B9" w:rsidP="008B200A">
      <w:pPr>
        <w:spacing w:after="0"/>
      </w:pPr>
      <w:r>
        <w:separator/>
      </w:r>
    </w:p>
  </w:footnote>
  <w:footnote w:type="continuationSeparator" w:id="1">
    <w:p w:rsidR="00ED32B9" w:rsidRDefault="00ED32B9" w:rsidP="008B20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FE" w:rsidRPr="00074036" w:rsidRDefault="00A06AFE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CDF"/>
    <w:rsid w:val="00012E32"/>
    <w:rsid w:val="0002309E"/>
    <w:rsid w:val="00035A4E"/>
    <w:rsid w:val="000B39D3"/>
    <w:rsid w:val="000B5E51"/>
    <w:rsid w:val="000F0841"/>
    <w:rsid w:val="00104423"/>
    <w:rsid w:val="001560C2"/>
    <w:rsid w:val="00163546"/>
    <w:rsid w:val="00171673"/>
    <w:rsid w:val="0019096C"/>
    <w:rsid w:val="00197967"/>
    <w:rsid w:val="001A0168"/>
    <w:rsid w:val="002218C7"/>
    <w:rsid w:val="00240FFC"/>
    <w:rsid w:val="00266DF4"/>
    <w:rsid w:val="002739E7"/>
    <w:rsid w:val="00283E3C"/>
    <w:rsid w:val="002B379E"/>
    <w:rsid w:val="002F7813"/>
    <w:rsid w:val="00305BEE"/>
    <w:rsid w:val="00323CDF"/>
    <w:rsid w:val="00380D71"/>
    <w:rsid w:val="003C5902"/>
    <w:rsid w:val="003F38C0"/>
    <w:rsid w:val="004467D5"/>
    <w:rsid w:val="004748A1"/>
    <w:rsid w:val="004A2D3C"/>
    <w:rsid w:val="0057539C"/>
    <w:rsid w:val="00582756"/>
    <w:rsid w:val="00583715"/>
    <w:rsid w:val="005A23F7"/>
    <w:rsid w:val="005D7D57"/>
    <w:rsid w:val="005E6A47"/>
    <w:rsid w:val="00611C01"/>
    <w:rsid w:val="006323A5"/>
    <w:rsid w:val="00647CED"/>
    <w:rsid w:val="006B09B7"/>
    <w:rsid w:val="006B30D5"/>
    <w:rsid w:val="006C6613"/>
    <w:rsid w:val="006C66C0"/>
    <w:rsid w:val="006D7933"/>
    <w:rsid w:val="006E7870"/>
    <w:rsid w:val="00700E60"/>
    <w:rsid w:val="007A0239"/>
    <w:rsid w:val="007B5BCE"/>
    <w:rsid w:val="007E6F4E"/>
    <w:rsid w:val="00836089"/>
    <w:rsid w:val="00853C56"/>
    <w:rsid w:val="00854962"/>
    <w:rsid w:val="008737A1"/>
    <w:rsid w:val="008B200A"/>
    <w:rsid w:val="008D7D4F"/>
    <w:rsid w:val="008F29EA"/>
    <w:rsid w:val="00953100"/>
    <w:rsid w:val="00993405"/>
    <w:rsid w:val="009B11FE"/>
    <w:rsid w:val="009F39FF"/>
    <w:rsid w:val="00A06AFE"/>
    <w:rsid w:val="00A86F72"/>
    <w:rsid w:val="00A93F2C"/>
    <w:rsid w:val="00AE16E1"/>
    <w:rsid w:val="00AF160E"/>
    <w:rsid w:val="00B77CDF"/>
    <w:rsid w:val="00BE6A37"/>
    <w:rsid w:val="00C0023C"/>
    <w:rsid w:val="00C155FA"/>
    <w:rsid w:val="00C223B3"/>
    <w:rsid w:val="00C30702"/>
    <w:rsid w:val="00C6213F"/>
    <w:rsid w:val="00CE614F"/>
    <w:rsid w:val="00CF3F84"/>
    <w:rsid w:val="00D1049C"/>
    <w:rsid w:val="00D616EB"/>
    <w:rsid w:val="00DD73B5"/>
    <w:rsid w:val="00E01BF3"/>
    <w:rsid w:val="00E34735"/>
    <w:rsid w:val="00E62F17"/>
    <w:rsid w:val="00E70186"/>
    <w:rsid w:val="00E77FCF"/>
    <w:rsid w:val="00E847AF"/>
    <w:rsid w:val="00EA1271"/>
    <w:rsid w:val="00ED32B9"/>
    <w:rsid w:val="00F408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56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827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75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75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56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2756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275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2756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75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2756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8275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82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9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967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8275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82756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756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82756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756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8275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2756"/>
    <w:rPr>
      <w:rFonts w:ascii="Arial" w:hAnsi="Arial"/>
      <w:sz w:val="20"/>
      <w:szCs w:val="22"/>
    </w:rPr>
  </w:style>
  <w:style w:type="paragraph" w:customStyle="1" w:styleId="Default">
    <w:name w:val="Default"/>
    <w:rsid w:val="005827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827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75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8275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756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82756"/>
    <w:rPr>
      <w:vertAlign w:val="superscript"/>
    </w:rPr>
  </w:style>
  <w:style w:type="paragraph" w:styleId="Revision">
    <w:name w:val="Revision"/>
    <w:hidden/>
    <w:uiPriority w:val="99"/>
    <w:semiHidden/>
    <w:rsid w:val="00582756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8275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8275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8275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8275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8275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8275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8275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82756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82756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82756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8275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8275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8275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8275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8275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82756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56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5827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75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75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827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2756"/>
  </w:style>
  <w:style w:type="paragraph" w:styleId="BalloonText">
    <w:name w:val="Balloon Text"/>
    <w:basedOn w:val="Normal"/>
    <w:link w:val="BalloonTextChar"/>
    <w:uiPriority w:val="99"/>
    <w:semiHidden/>
    <w:unhideWhenUsed/>
    <w:rsid w:val="00582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56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82756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75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2756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75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82756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8275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827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9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967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8275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82756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756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82756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756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8275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2756"/>
    <w:rPr>
      <w:rFonts w:ascii="Arial" w:hAnsi="Arial"/>
      <w:sz w:val="20"/>
      <w:szCs w:val="22"/>
    </w:rPr>
  </w:style>
  <w:style w:type="paragraph" w:customStyle="1" w:styleId="Default">
    <w:name w:val="Default"/>
    <w:rsid w:val="005827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827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75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8275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756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82756"/>
    <w:rPr>
      <w:vertAlign w:val="superscript"/>
    </w:rPr>
  </w:style>
  <w:style w:type="paragraph" w:styleId="Revision">
    <w:name w:val="Revision"/>
    <w:hidden/>
    <w:uiPriority w:val="99"/>
    <w:semiHidden/>
    <w:rsid w:val="00582756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8275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8275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8275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8275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8275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8275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8275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82756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82756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82756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8275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8275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8275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8275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8275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8275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65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joelle</cp:lastModifiedBy>
  <cp:revision>37</cp:revision>
  <cp:lastPrinted>2015-09-28T16:37:00Z</cp:lastPrinted>
  <dcterms:created xsi:type="dcterms:W3CDTF">2014-11-19T10:37:00Z</dcterms:created>
  <dcterms:modified xsi:type="dcterms:W3CDTF">2016-02-22T09:38:00Z</dcterms:modified>
</cp:coreProperties>
</file>