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29" w:rsidRPr="00FC6B46" w:rsidRDefault="00473606" w:rsidP="00FC6B46">
      <w:pPr>
        <w:pStyle w:val="H1"/>
        <w:bidi/>
        <w:jc w:val="center"/>
        <w:rPr>
          <w:rFonts w:cs="Arial"/>
          <w:b w:val="0"/>
          <w:bCs/>
          <w:sz w:val="28"/>
          <w:szCs w:val="28"/>
        </w:rPr>
      </w:pPr>
      <w:bookmarkStart w:id="0" w:name="_GoBack"/>
      <w:bookmarkEnd w:id="0"/>
      <w:r w:rsidRPr="00FC6B46">
        <w:rPr>
          <w:rFonts w:cs="Arial"/>
          <w:b w:val="0"/>
          <w:bCs/>
          <w:sz w:val="28"/>
          <w:szCs w:val="28"/>
          <w:rtl/>
        </w:rPr>
        <w:t>مصفوفة المخاطر المتعلقة ببرامج التحويلات النقدية</w:t>
      </w:r>
    </w:p>
    <w:p w:rsidR="00473606" w:rsidRPr="00FC6B46" w:rsidRDefault="00473606" w:rsidP="00FC6B46">
      <w:pPr>
        <w:bidi/>
        <w:rPr>
          <w:rFonts w:cs="Arial"/>
          <w:sz w:val="28"/>
          <w:szCs w:val="28"/>
          <w:rtl/>
        </w:rPr>
      </w:pPr>
      <w:r w:rsidRPr="00FC6B46">
        <w:rPr>
          <w:rFonts w:cs="Arial"/>
          <w:b/>
          <w:bCs/>
          <w:sz w:val="28"/>
          <w:szCs w:val="28"/>
          <w:rtl/>
        </w:rPr>
        <w:t>الغاية:</w:t>
      </w:r>
      <w:r w:rsidRPr="00FC6B46">
        <w:rPr>
          <w:rFonts w:cs="Arial"/>
          <w:sz w:val="28"/>
          <w:szCs w:val="28"/>
          <w:rtl/>
        </w:rPr>
        <w:t xml:space="preserve"> يعتبر تحليل المخاطر جزء لا يتجزء من تصميم الاستجابة الطارئة وتنفيذها. ويجب أن يضع فريق البرنامج الخطط المعنية تحليل المخاطر وتدابير تخفيف حدتها قبل تنفيذ الاستجابة بوقت كاف، على أن تأخذ في الاعتبار في خلال كل مراحل المشروع.</w:t>
      </w:r>
    </w:p>
    <w:p w:rsidR="00473606" w:rsidRPr="00FC6B46" w:rsidRDefault="00473606" w:rsidP="00FC6B46">
      <w:pPr>
        <w:bidi/>
        <w:rPr>
          <w:rFonts w:cs="Arial"/>
          <w:sz w:val="28"/>
          <w:szCs w:val="28"/>
          <w:rtl/>
        </w:rPr>
      </w:pPr>
      <w:r w:rsidRPr="00FC6B46">
        <w:rPr>
          <w:rFonts w:cs="Arial"/>
          <w:b/>
          <w:bCs/>
          <w:sz w:val="28"/>
          <w:szCs w:val="28"/>
          <w:rtl/>
        </w:rPr>
        <w:t xml:space="preserve">كيفية </w:t>
      </w:r>
      <w:r w:rsidR="00FC6B46">
        <w:rPr>
          <w:rFonts w:cs="Arial"/>
          <w:b/>
          <w:bCs/>
          <w:sz w:val="28"/>
          <w:szCs w:val="28"/>
          <w:rtl/>
        </w:rPr>
        <w:t>است</w:t>
      </w:r>
      <w:r w:rsidR="00FC6B46">
        <w:rPr>
          <w:rFonts w:cs="Arial" w:hint="cs"/>
          <w:b/>
          <w:bCs/>
          <w:sz w:val="28"/>
          <w:szCs w:val="28"/>
          <w:rtl/>
        </w:rPr>
        <w:t>ع</w:t>
      </w:r>
      <w:r w:rsidR="002A25CC" w:rsidRPr="00FC6B46">
        <w:rPr>
          <w:rFonts w:cs="Arial"/>
          <w:b/>
          <w:bCs/>
          <w:sz w:val="28"/>
          <w:szCs w:val="28"/>
          <w:rtl/>
        </w:rPr>
        <w:t>مال الأداة:</w:t>
      </w:r>
      <w:r w:rsidR="002A25CC" w:rsidRPr="00FC6B46">
        <w:rPr>
          <w:rFonts w:cs="Arial"/>
          <w:sz w:val="28"/>
          <w:szCs w:val="28"/>
          <w:rtl/>
        </w:rPr>
        <w:t xml:space="preserve"> تحديد جميع المخاطر المحتملة بعد استشارة السلطات المحلية، وممثلين عن فروع الصليب الأحمر/الهلال الأحمر، وقياديين ومستفيدين من الجمتمع، وموظفين ومتطوعين من الجمعية الوطنية.</w:t>
      </w:r>
    </w:p>
    <w:p w:rsidR="002A25CC" w:rsidRPr="00FC6B46" w:rsidRDefault="002A25CC" w:rsidP="00FC6B46">
      <w:pPr>
        <w:bidi/>
        <w:rPr>
          <w:rFonts w:cs="Arial"/>
          <w:sz w:val="28"/>
          <w:szCs w:val="28"/>
          <w:rtl/>
        </w:rPr>
      </w:pPr>
      <w:r w:rsidRPr="00FC6B46">
        <w:rPr>
          <w:rFonts w:cs="Arial"/>
          <w:b/>
          <w:bCs/>
          <w:sz w:val="28"/>
          <w:szCs w:val="28"/>
          <w:rtl/>
        </w:rPr>
        <w:t xml:space="preserve">تقسم المخاطر إلى ثلاث فئات: </w:t>
      </w:r>
      <w:r w:rsidRPr="00FC6B46">
        <w:rPr>
          <w:rFonts w:cs="Arial"/>
          <w:sz w:val="28"/>
          <w:szCs w:val="28"/>
          <w:rtl/>
        </w:rPr>
        <w:t>سياقية، برمجية، مؤسسية.</w:t>
      </w:r>
    </w:p>
    <w:p w:rsidR="002A25CC" w:rsidRPr="00FC6B46" w:rsidRDefault="002A25CC" w:rsidP="00FC6B46">
      <w:pPr>
        <w:bidi/>
        <w:rPr>
          <w:rFonts w:cs="Arial"/>
          <w:sz w:val="28"/>
          <w:szCs w:val="28"/>
          <w:rtl/>
        </w:rPr>
      </w:pPr>
      <w:r w:rsidRPr="00FC6B46">
        <w:rPr>
          <w:rFonts w:cs="Arial"/>
          <w:sz w:val="28"/>
          <w:szCs w:val="28"/>
          <w:rtl/>
        </w:rPr>
        <w:t xml:space="preserve">أدرج أكبر عدد ممكن من المخاطر المحتملة في إطار السياق المطروح. صنف احتمالية حدوثها من 1 إلى 5 (5 الحد الأقصى)، وحدد التداعيات المحتملة لكل من المخاطر، ثم صنف حدة هذه التداعيات من 1 إلى 5 (5 الحد الأقصى). </w:t>
      </w:r>
    </w:p>
    <w:p w:rsidR="000F475E" w:rsidRPr="00FC6B46" w:rsidRDefault="000F475E" w:rsidP="00FC6B46">
      <w:pPr>
        <w:bidi/>
        <w:rPr>
          <w:rFonts w:cs="Arial"/>
          <w:sz w:val="28"/>
          <w:szCs w:val="28"/>
        </w:rPr>
      </w:pPr>
      <w:r w:rsidRPr="00FC6B46">
        <w:rPr>
          <w:rFonts w:cs="Arial"/>
          <w:sz w:val="28"/>
          <w:szCs w:val="28"/>
          <w:rtl/>
        </w:rPr>
        <w:t>استخدم هذه المعلومات لإثراء الأداة 3.1.4.2 "نموذج تسجيل المخاطر" التي تتطلب تحديد التدابير التي صصمت لتخفيف حدة كل من المخاطر.</w:t>
      </w:r>
    </w:p>
    <w:p w:rsidR="00367029" w:rsidRPr="00FC6B46" w:rsidRDefault="00367029" w:rsidP="00FC6B46">
      <w:pPr>
        <w:bidi/>
        <w:rPr>
          <w:rFonts w:cs="Arial"/>
          <w:sz w:val="28"/>
          <w:szCs w:val="28"/>
        </w:rPr>
      </w:pPr>
    </w:p>
    <w:tbl>
      <w:tblPr>
        <w:tblStyle w:val="TableGrid"/>
        <w:bidiVisual/>
        <w:tblW w:w="5000" w:type="pct"/>
        <w:tblLook w:val="04A0"/>
      </w:tblPr>
      <w:tblGrid>
        <w:gridCol w:w="3663"/>
        <w:gridCol w:w="1276"/>
        <w:gridCol w:w="2966"/>
        <w:gridCol w:w="6061"/>
      </w:tblGrid>
      <w:tr w:rsidR="00C70C35" w:rsidRPr="00FC6B46" w:rsidTr="00473606">
        <w:trPr>
          <w:trHeight w:val="426"/>
        </w:trPr>
        <w:tc>
          <w:tcPr>
            <w:tcW w:w="1311" w:type="pct"/>
            <w:tcBorders>
              <w:bottom w:val="single" w:sz="4" w:space="0" w:color="auto"/>
            </w:tcBorders>
            <w:shd w:val="clear" w:color="auto" w:fill="DC281E"/>
            <w:vAlign w:val="center"/>
          </w:tcPr>
          <w:p w:rsidR="00CF2E6D" w:rsidRPr="00FC6B46" w:rsidRDefault="000F475E" w:rsidP="00FC6B46">
            <w:pPr>
              <w:bidi/>
              <w:spacing w:before="120"/>
              <w:rPr>
                <w:rFonts w:cs="Arial"/>
                <w:i/>
                <w:color w:val="FFFFFF" w:themeColor="background1"/>
                <w:sz w:val="28"/>
                <w:szCs w:val="28"/>
                <w:lang w:val="en-GB"/>
              </w:rPr>
            </w:pPr>
            <w:r w:rsidRPr="00FC6B46">
              <w:rPr>
                <w:rFonts w:cs="Arial"/>
                <w:b/>
                <w:color w:val="FFFFFF" w:themeColor="background1"/>
                <w:sz w:val="28"/>
                <w:szCs w:val="28"/>
                <w:rtl/>
                <w:lang w:val="en-GB"/>
              </w:rPr>
              <w:t>المخاطر</w:t>
            </w:r>
            <w:r w:rsidR="00CF2E6D" w:rsidRPr="00FC6B46">
              <w:rPr>
                <w:rFonts w:cs="Arial"/>
                <w:b/>
                <w:color w:val="FFFFFF" w:themeColor="background1"/>
                <w:sz w:val="28"/>
                <w:szCs w:val="28"/>
                <w:lang w:val="en-GB"/>
              </w:rPr>
              <w:t xml:space="preserve"> </w:t>
            </w:r>
            <w:r w:rsidR="00C70C35" w:rsidRPr="00FC6B46">
              <w:rPr>
                <w:rFonts w:cs="Arial"/>
                <w:b/>
                <w:color w:val="FFFFFF" w:themeColor="background1"/>
                <w:sz w:val="28"/>
                <w:szCs w:val="28"/>
                <w:lang w:val="en-GB"/>
              </w:rPr>
              <w:br/>
            </w:r>
            <w:r w:rsidRPr="00FC6B46">
              <w:rPr>
                <w:rFonts w:cs="Arial"/>
                <w:i/>
                <w:color w:val="FFFFFF" w:themeColor="background1"/>
                <w:sz w:val="28"/>
                <w:szCs w:val="28"/>
                <w:rtl/>
                <w:lang w:val="en-GB"/>
              </w:rPr>
              <w:t>(مصدر المعلومات)</w:t>
            </w:r>
          </w:p>
        </w:tc>
        <w:tc>
          <w:tcPr>
            <w:tcW w:w="457" w:type="pct"/>
            <w:tcBorders>
              <w:bottom w:val="single" w:sz="4" w:space="0" w:color="auto"/>
            </w:tcBorders>
            <w:shd w:val="clear" w:color="auto" w:fill="DC281E"/>
            <w:vAlign w:val="center"/>
          </w:tcPr>
          <w:p w:rsidR="00CF2E6D" w:rsidRPr="00FC6B46" w:rsidRDefault="000F475E" w:rsidP="00FC6B46">
            <w:pPr>
              <w:bidi/>
              <w:spacing w:before="120"/>
              <w:rPr>
                <w:rFonts w:cs="Arial"/>
                <w:b/>
                <w:color w:val="FFFFFF" w:themeColor="background1"/>
                <w:sz w:val="28"/>
                <w:szCs w:val="28"/>
                <w:lang w:val="en-GB"/>
              </w:rPr>
            </w:pPr>
            <w:r w:rsidRPr="00FC6B46">
              <w:rPr>
                <w:rFonts w:cs="Arial"/>
                <w:b/>
                <w:color w:val="FFFFFF" w:themeColor="background1"/>
                <w:sz w:val="28"/>
                <w:szCs w:val="28"/>
                <w:rtl/>
                <w:lang w:val="en-GB"/>
              </w:rPr>
              <w:t>الاحتمالية      (1 كحد أدنى- 5 كحد أقصى)</w:t>
            </w:r>
            <w:r w:rsidR="00A578A6" w:rsidRPr="00FC6B46">
              <w:rPr>
                <w:rFonts w:cs="Arial"/>
                <w:b/>
                <w:color w:val="FFFFFF" w:themeColor="background1"/>
                <w:sz w:val="28"/>
                <w:szCs w:val="28"/>
                <w:lang w:val="en-GB"/>
              </w:rPr>
              <w:t xml:space="preserve"> </w:t>
            </w:r>
            <w:r w:rsidR="00C70C35" w:rsidRPr="00FC6B46">
              <w:rPr>
                <w:rFonts w:cs="Arial"/>
                <w:b/>
                <w:color w:val="FFFFFF" w:themeColor="background1"/>
                <w:sz w:val="28"/>
                <w:szCs w:val="28"/>
                <w:lang w:val="en-GB"/>
              </w:rPr>
              <w:br/>
            </w:r>
          </w:p>
        </w:tc>
        <w:tc>
          <w:tcPr>
            <w:tcW w:w="1062" w:type="pct"/>
            <w:tcBorders>
              <w:bottom w:val="single" w:sz="4" w:space="0" w:color="auto"/>
            </w:tcBorders>
            <w:shd w:val="clear" w:color="auto" w:fill="DC281E"/>
            <w:vAlign w:val="center"/>
          </w:tcPr>
          <w:p w:rsidR="00A578A6" w:rsidRPr="00FC6B46" w:rsidRDefault="000F475E" w:rsidP="00FC6B46">
            <w:pPr>
              <w:bidi/>
              <w:spacing w:before="120"/>
              <w:rPr>
                <w:rFonts w:cs="Arial"/>
                <w:b/>
                <w:color w:val="FFFFFF" w:themeColor="background1"/>
                <w:sz w:val="28"/>
                <w:szCs w:val="28"/>
                <w:lang w:val="en-GB"/>
              </w:rPr>
            </w:pPr>
            <w:r w:rsidRPr="00FC6B46">
              <w:rPr>
                <w:rFonts w:cs="Arial"/>
                <w:b/>
                <w:color w:val="FFFFFF" w:themeColor="background1"/>
                <w:sz w:val="28"/>
                <w:szCs w:val="28"/>
                <w:rtl/>
                <w:lang w:val="en-GB"/>
              </w:rPr>
              <w:t>وصف تداعياتها</w:t>
            </w:r>
            <w:r w:rsidR="00C70C35" w:rsidRPr="00FC6B46">
              <w:rPr>
                <w:rFonts w:cs="Arial"/>
                <w:b/>
                <w:color w:val="FFFFFF" w:themeColor="background1"/>
                <w:sz w:val="28"/>
                <w:szCs w:val="28"/>
                <w:lang w:val="en-GB"/>
              </w:rPr>
              <w:br/>
            </w:r>
            <w:r w:rsidRPr="00FC6B46">
              <w:rPr>
                <w:rFonts w:cs="Arial"/>
                <w:b/>
                <w:color w:val="FFFFFF" w:themeColor="background1"/>
                <w:sz w:val="28"/>
                <w:szCs w:val="28"/>
                <w:rtl/>
                <w:lang w:val="en-GB"/>
              </w:rPr>
              <w:t>(1 كحد أدنى- 5 كحد أقصى)</w:t>
            </w:r>
          </w:p>
        </w:tc>
        <w:tc>
          <w:tcPr>
            <w:tcW w:w="2170" w:type="pct"/>
            <w:tcBorders>
              <w:bottom w:val="single" w:sz="4" w:space="0" w:color="auto"/>
            </w:tcBorders>
            <w:shd w:val="clear" w:color="auto" w:fill="DC281E"/>
            <w:vAlign w:val="center"/>
          </w:tcPr>
          <w:p w:rsidR="00CF2E6D" w:rsidRPr="00FC6B46" w:rsidRDefault="000F475E" w:rsidP="00FC6B46">
            <w:pPr>
              <w:bidi/>
              <w:spacing w:before="120"/>
              <w:rPr>
                <w:rFonts w:cs="Arial"/>
                <w:b/>
                <w:color w:val="FFFFFF" w:themeColor="background1"/>
                <w:sz w:val="28"/>
                <w:szCs w:val="28"/>
                <w:lang w:val="en-GB"/>
              </w:rPr>
            </w:pPr>
            <w:r w:rsidRPr="00FC6B46">
              <w:rPr>
                <w:rFonts w:cs="Arial"/>
                <w:b/>
                <w:color w:val="FFFFFF" w:themeColor="background1"/>
                <w:sz w:val="28"/>
                <w:szCs w:val="28"/>
                <w:rtl/>
                <w:lang w:val="en-GB"/>
              </w:rPr>
              <w:t>التدابير المحتملة لتخفيف حدة المخاطر</w:t>
            </w:r>
          </w:p>
        </w:tc>
      </w:tr>
      <w:tr w:rsidR="00A578A6" w:rsidRPr="00FC6B46" w:rsidTr="00473606">
        <w:tc>
          <w:tcPr>
            <w:tcW w:w="5000" w:type="pct"/>
            <w:gridSpan w:val="4"/>
            <w:shd w:val="clear" w:color="auto" w:fill="E6E6E6"/>
            <w:vAlign w:val="center"/>
          </w:tcPr>
          <w:p w:rsidR="00A578A6" w:rsidRPr="00FC6B46" w:rsidRDefault="00264E37" w:rsidP="00FC6B46">
            <w:pPr>
              <w:bidi/>
              <w:spacing w:before="60" w:after="60"/>
              <w:rPr>
                <w:rFonts w:cs="Arial"/>
                <w:sz w:val="28"/>
                <w:szCs w:val="28"/>
                <w:lang w:val="en-GB"/>
              </w:rPr>
            </w:pPr>
            <w:r w:rsidRPr="00FC6B46">
              <w:rPr>
                <w:rFonts w:cs="Arial"/>
                <w:b/>
                <w:sz w:val="28"/>
                <w:szCs w:val="28"/>
                <w:rtl/>
                <w:lang w:val="en-GB"/>
              </w:rPr>
              <w:t>المخاطر السياقية</w:t>
            </w:r>
          </w:p>
        </w:tc>
      </w:tr>
      <w:tr w:rsidR="00382808" w:rsidRPr="00FC6B46" w:rsidTr="00473606">
        <w:trPr>
          <w:trHeight w:val="545"/>
        </w:trPr>
        <w:tc>
          <w:tcPr>
            <w:tcW w:w="1311" w:type="pct"/>
            <w:shd w:val="clear" w:color="auto" w:fill="A6A6A6"/>
            <w:vAlign w:val="center"/>
          </w:tcPr>
          <w:p w:rsidR="00E26136" w:rsidRPr="00FC6B46" w:rsidRDefault="00264E37"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اللوائح التنظيمية/القوانين الحكومية</w:t>
            </w:r>
          </w:p>
        </w:tc>
        <w:tc>
          <w:tcPr>
            <w:tcW w:w="457" w:type="pct"/>
            <w:shd w:val="clear" w:color="auto" w:fill="F3F3F3"/>
          </w:tcPr>
          <w:p w:rsidR="00E26136" w:rsidRPr="00FC6B46" w:rsidRDefault="00E26136" w:rsidP="00FC6B46">
            <w:pPr>
              <w:pStyle w:val="ListParagraph"/>
              <w:bidi/>
              <w:spacing w:before="20" w:after="20"/>
              <w:ind w:left="317"/>
              <w:rPr>
                <w:rFonts w:cs="Arial"/>
                <w:bCs/>
                <w:iCs/>
                <w:color w:val="000000"/>
                <w:sz w:val="28"/>
                <w:szCs w:val="28"/>
                <w:lang w:eastAsia="en-GB"/>
              </w:rPr>
            </w:pPr>
          </w:p>
        </w:tc>
        <w:tc>
          <w:tcPr>
            <w:tcW w:w="1062" w:type="pct"/>
            <w:shd w:val="clear" w:color="auto" w:fill="F3F3F3"/>
            <w:vAlign w:val="center"/>
          </w:tcPr>
          <w:p w:rsidR="00E26136" w:rsidRPr="00FC6B46" w:rsidRDefault="00E26136" w:rsidP="00FC6B46">
            <w:pPr>
              <w:bidi/>
              <w:spacing w:before="20" w:after="20"/>
              <w:rPr>
                <w:rFonts w:cs="Arial"/>
                <w:sz w:val="28"/>
                <w:szCs w:val="28"/>
                <w:lang w:val="en-GB"/>
              </w:rPr>
            </w:pPr>
          </w:p>
        </w:tc>
        <w:tc>
          <w:tcPr>
            <w:tcW w:w="2170" w:type="pct"/>
            <w:shd w:val="clear" w:color="auto" w:fill="E6E6E6"/>
            <w:vAlign w:val="center"/>
          </w:tcPr>
          <w:p w:rsidR="00C05830" w:rsidRPr="00FC6B46" w:rsidRDefault="00C05830" w:rsidP="00FC6B46">
            <w:pPr>
              <w:pStyle w:val="BulletTableau"/>
              <w:framePr w:wrap="around"/>
              <w:bidi/>
              <w:spacing w:beforeLines="0" w:afterLines="0"/>
              <w:rPr>
                <w:sz w:val="28"/>
                <w:szCs w:val="28"/>
              </w:rPr>
            </w:pPr>
            <w:r w:rsidRPr="00FC6B46">
              <w:rPr>
                <w:sz w:val="28"/>
                <w:szCs w:val="28"/>
                <w:rtl/>
                <w:lang w:eastAsia="en-GB"/>
              </w:rPr>
              <w:t>اختيار آلية تسليم تتوافق مع اللوائح والقوانين الوطنية.</w:t>
            </w:r>
          </w:p>
        </w:tc>
      </w:tr>
      <w:tr w:rsidR="00382808" w:rsidRPr="00FC6B46" w:rsidTr="00473606">
        <w:trPr>
          <w:trHeight w:val="545"/>
        </w:trPr>
        <w:tc>
          <w:tcPr>
            <w:tcW w:w="1311" w:type="pct"/>
            <w:shd w:val="clear" w:color="auto" w:fill="A6A6A6"/>
            <w:vAlign w:val="center"/>
          </w:tcPr>
          <w:p w:rsidR="00E26136" w:rsidRPr="00FC6B46" w:rsidRDefault="00264E37"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 xml:space="preserve">الأمن/النفاذ </w:t>
            </w:r>
          </w:p>
        </w:tc>
        <w:tc>
          <w:tcPr>
            <w:tcW w:w="457" w:type="pct"/>
            <w:shd w:val="clear" w:color="auto" w:fill="F3F3F3"/>
            <w:vAlign w:val="center"/>
          </w:tcPr>
          <w:p w:rsidR="00E26136" w:rsidRPr="00FC6B46" w:rsidRDefault="00E26136" w:rsidP="00FC6B46">
            <w:pPr>
              <w:bidi/>
              <w:spacing w:before="20" w:after="20"/>
              <w:rPr>
                <w:rFonts w:cs="Arial"/>
                <w:sz w:val="28"/>
                <w:szCs w:val="28"/>
                <w:lang w:val="en-GB"/>
              </w:rPr>
            </w:pPr>
          </w:p>
        </w:tc>
        <w:tc>
          <w:tcPr>
            <w:tcW w:w="1062" w:type="pct"/>
            <w:shd w:val="clear" w:color="auto" w:fill="F3F3F3"/>
            <w:vAlign w:val="center"/>
          </w:tcPr>
          <w:p w:rsidR="00E26136" w:rsidRPr="00FC6B46" w:rsidRDefault="00E26136" w:rsidP="00FC6B46">
            <w:pPr>
              <w:bidi/>
              <w:spacing w:before="20" w:after="20"/>
              <w:rPr>
                <w:rFonts w:cs="Arial"/>
                <w:sz w:val="28"/>
                <w:szCs w:val="28"/>
                <w:lang w:val="en-GB"/>
              </w:rPr>
            </w:pPr>
          </w:p>
        </w:tc>
        <w:tc>
          <w:tcPr>
            <w:tcW w:w="2170" w:type="pct"/>
            <w:shd w:val="clear" w:color="auto" w:fill="E6E6E6"/>
            <w:vAlign w:val="center"/>
          </w:tcPr>
          <w:p w:rsidR="00C05830" w:rsidRPr="00FC6B46" w:rsidRDefault="00C05830" w:rsidP="00FC6B46">
            <w:pPr>
              <w:pStyle w:val="BulletTableau"/>
              <w:framePr w:wrap="around"/>
              <w:bidi/>
              <w:spacing w:beforeLines="0" w:afterLines="0"/>
              <w:rPr>
                <w:sz w:val="28"/>
                <w:szCs w:val="28"/>
              </w:rPr>
            </w:pPr>
            <w:r w:rsidRPr="00FC6B46">
              <w:rPr>
                <w:sz w:val="28"/>
                <w:szCs w:val="28"/>
                <w:rtl/>
              </w:rPr>
              <w:t>التأكد من أن ضمان السلامة والأمان ليتمكن المستفيدون من النفاذ إلى التحويلات النقدية.</w:t>
            </w:r>
          </w:p>
        </w:tc>
      </w:tr>
      <w:tr w:rsidR="00382808" w:rsidRPr="00FC6B46" w:rsidTr="00473606">
        <w:trPr>
          <w:trHeight w:val="545"/>
        </w:trPr>
        <w:tc>
          <w:tcPr>
            <w:tcW w:w="1311" w:type="pct"/>
            <w:tcBorders>
              <w:bottom w:val="single" w:sz="4" w:space="0" w:color="auto"/>
            </w:tcBorders>
            <w:shd w:val="clear" w:color="auto" w:fill="A6A6A6"/>
            <w:vAlign w:val="center"/>
          </w:tcPr>
          <w:p w:rsidR="00264E37" w:rsidRPr="00FC6B46" w:rsidRDefault="00264E37"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التضخم بسبب عوامل خارجية مثل انخفاض قيمة العملة</w:t>
            </w:r>
          </w:p>
        </w:tc>
        <w:tc>
          <w:tcPr>
            <w:tcW w:w="457" w:type="pct"/>
            <w:tcBorders>
              <w:bottom w:val="single" w:sz="4" w:space="0" w:color="auto"/>
            </w:tcBorders>
            <w:shd w:val="clear" w:color="auto" w:fill="F3F3F3"/>
            <w:vAlign w:val="center"/>
          </w:tcPr>
          <w:p w:rsidR="00E26136" w:rsidRPr="00FC6B46" w:rsidRDefault="00E26136" w:rsidP="00FC6B46">
            <w:pPr>
              <w:bidi/>
              <w:spacing w:before="20" w:after="20"/>
              <w:rPr>
                <w:rFonts w:cs="Arial"/>
                <w:sz w:val="28"/>
                <w:szCs w:val="28"/>
                <w:lang w:val="en-GB"/>
              </w:rPr>
            </w:pPr>
          </w:p>
        </w:tc>
        <w:tc>
          <w:tcPr>
            <w:tcW w:w="1062" w:type="pct"/>
            <w:tcBorders>
              <w:bottom w:val="single" w:sz="4" w:space="0" w:color="auto"/>
            </w:tcBorders>
            <w:shd w:val="clear" w:color="auto" w:fill="F3F3F3"/>
            <w:vAlign w:val="center"/>
          </w:tcPr>
          <w:p w:rsidR="00E26136" w:rsidRPr="00FC6B46" w:rsidRDefault="00E26136" w:rsidP="00FC6B46">
            <w:pPr>
              <w:bidi/>
              <w:spacing w:before="20" w:after="20"/>
              <w:rPr>
                <w:rFonts w:cs="Arial"/>
                <w:sz w:val="28"/>
                <w:szCs w:val="28"/>
                <w:lang w:val="en-GB"/>
              </w:rPr>
            </w:pPr>
          </w:p>
        </w:tc>
        <w:tc>
          <w:tcPr>
            <w:tcW w:w="2170" w:type="pct"/>
            <w:tcBorders>
              <w:bottom w:val="single" w:sz="4" w:space="0" w:color="auto"/>
            </w:tcBorders>
            <w:shd w:val="clear" w:color="auto" w:fill="E6E6E6"/>
            <w:vAlign w:val="center"/>
          </w:tcPr>
          <w:p w:rsidR="00C05830" w:rsidRPr="00FC6B46" w:rsidRDefault="00C05830" w:rsidP="00FC6B46">
            <w:pPr>
              <w:pStyle w:val="BulletTableau"/>
              <w:framePr w:wrap="around"/>
              <w:bidi/>
              <w:spacing w:beforeLines="0" w:afterLines="0"/>
              <w:rPr>
                <w:sz w:val="28"/>
                <w:szCs w:val="28"/>
              </w:rPr>
            </w:pPr>
            <w:r w:rsidRPr="00FC6B46">
              <w:rPr>
                <w:sz w:val="28"/>
                <w:szCs w:val="28"/>
                <w:rtl/>
              </w:rPr>
              <w:t xml:space="preserve">وضع خطة طوارئ تحدد الاجراءات الواجب تنفيذها إذا اشار رصد الأسعار إلى تضخم أو انخفاض في القدرة الشرائية (تعديل قيمة التحويل، تغيير وسيلة </w:t>
            </w:r>
            <w:r w:rsidRPr="00FC6B46">
              <w:rPr>
                <w:sz w:val="28"/>
                <w:szCs w:val="28"/>
                <w:rtl/>
              </w:rPr>
              <w:lastRenderedPageBreak/>
              <w:t>التحويل، إلخ).</w:t>
            </w:r>
          </w:p>
        </w:tc>
      </w:tr>
      <w:tr w:rsidR="00E26136" w:rsidRPr="00FC6B46" w:rsidTr="00473606">
        <w:tc>
          <w:tcPr>
            <w:tcW w:w="0" w:type="auto"/>
            <w:gridSpan w:val="4"/>
            <w:shd w:val="clear" w:color="auto" w:fill="E6E6E6"/>
            <w:vAlign w:val="center"/>
          </w:tcPr>
          <w:p w:rsidR="00E26136" w:rsidRPr="00FC6B46" w:rsidRDefault="00C05830" w:rsidP="00FC6B46">
            <w:pPr>
              <w:bidi/>
              <w:spacing w:before="60" w:after="60"/>
              <w:rPr>
                <w:rFonts w:cs="Arial"/>
                <w:sz w:val="28"/>
                <w:szCs w:val="28"/>
                <w:lang w:val="en-GB"/>
              </w:rPr>
            </w:pPr>
            <w:r w:rsidRPr="00FC6B46">
              <w:rPr>
                <w:rFonts w:cs="Arial"/>
                <w:b/>
                <w:sz w:val="28"/>
                <w:szCs w:val="28"/>
                <w:rtl/>
                <w:lang w:val="en-GB"/>
              </w:rPr>
              <w:lastRenderedPageBreak/>
              <w:t>المخاطر البرمجية</w:t>
            </w:r>
          </w:p>
        </w:tc>
      </w:tr>
      <w:tr w:rsidR="00382808" w:rsidRPr="00FC6B46" w:rsidTr="00473606">
        <w:trPr>
          <w:trHeight w:val="545"/>
        </w:trPr>
        <w:tc>
          <w:tcPr>
            <w:tcW w:w="1311" w:type="pct"/>
            <w:shd w:val="clear" w:color="auto" w:fill="A6A6A6"/>
            <w:vAlign w:val="center"/>
          </w:tcPr>
          <w:p w:rsidR="00BD6F9B"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المخاطر المرتبطة بالقدرة على التمويل</w:t>
            </w:r>
          </w:p>
        </w:tc>
        <w:tc>
          <w:tcPr>
            <w:tcW w:w="457" w:type="pct"/>
            <w:shd w:val="clear" w:color="auto" w:fill="F3F3F3"/>
            <w:vAlign w:val="center"/>
          </w:tcPr>
          <w:p w:rsidR="00BD6F9B" w:rsidRPr="00FC6B46" w:rsidRDefault="00BD6F9B" w:rsidP="00FC6B46">
            <w:pPr>
              <w:bidi/>
              <w:spacing w:before="20" w:after="20"/>
              <w:rPr>
                <w:rFonts w:cs="Arial"/>
                <w:sz w:val="28"/>
                <w:szCs w:val="28"/>
                <w:lang w:val="en-GB"/>
              </w:rPr>
            </w:pPr>
          </w:p>
        </w:tc>
        <w:tc>
          <w:tcPr>
            <w:tcW w:w="1062" w:type="pct"/>
            <w:shd w:val="clear" w:color="auto" w:fill="F3F3F3"/>
          </w:tcPr>
          <w:p w:rsidR="00BD6F9B" w:rsidRPr="00FC6B46" w:rsidRDefault="00BD6F9B" w:rsidP="00FC6B46">
            <w:pPr>
              <w:bidi/>
              <w:spacing w:before="20" w:after="20"/>
              <w:rPr>
                <w:rFonts w:cs="Arial"/>
                <w:b/>
                <w:bCs/>
                <w:color w:val="000000"/>
                <w:sz w:val="28"/>
                <w:szCs w:val="28"/>
                <w:lang w:val="en-GB" w:eastAsia="en-GB"/>
              </w:rPr>
            </w:pPr>
          </w:p>
        </w:tc>
        <w:tc>
          <w:tcPr>
            <w:tcW w:w="2170" w:type="pct"/>
            <w:shd w:val="clear" w:color="auto" w:fill="E6E6E6"/>
          </w:tcPr>
          <w:p w:rsidR="00B01305" w:rsidRPr="00FC6B46" w:rsidRDefault="00B01305" w:rsidP="00FC6B46">
            <w:pPr>
              <w:pStyle w:val="BulletTableau"/>
              <w:framePr w:wrap="around"/>
              <w:bidi/>
              <w:spacing w:beforeLines="0" w:afterLines="0"/>
              <w:rPr>
                <w:sz w:val="28"/>
                <w:szCs w:val="28"/>
              </w:rPr>
            </w:pPr>
            <w:r w:rsidRPr="00FC6B46">
              <w:rPr>
                <w:sz w:val="28"/>
                <w:szCs w:val="28"/>
                <w:rtl/>
              </w:rPr>
              <w:t>التأكد من ادراج برامج التحويلات النقدية في استراتيجيات الجهات المانحة الخاصة بالسياق المطروح</w:t>
            </w:r>
          </w:p>
          <w:p w:rsidR="00B01305" w:rsidRPr="00FC6B46" w:rsidRDefault="00B01305" w:rsidP="00FC6B46">
            <w:pPr>
              <w:pStyle w:val="BulletTableau"/>
              <w:framePr w:wrap="around"/>
              <w:bidi/>
              <w:spacing w:beforeLines="0" w:afterLines="0"/>
              <w:rPr>
                <w:sz w:val="28"/>
                <w:szCs w:val="28"/>
              </w:rPr>
            </w:pPr>
            <w:r w:rsidRPr="00FC6B46">
              <w:rPr>
                <w:sz w:val="28"/>
                <w:szCs w:val="28"/>
                <w:rtl/>
              </w:rPr>
              <w:t>الاستفادة من عمليات الاستجابة السابقة في سياقات مماثلة.</w:t>
            </w:r>
          </w:p>
        </w:tc>
      </w:tr>
      <w:tr w:rsidR="00382808" w:rsidRPr="00FC6B46" w:rsidTr="00473606">
        <w:tc>
          <w:tcPr>
            <w:tcW w:w="1311" w:type="pct"/>
            <w:tcBorders>
              <w:bottom w:val="single" w:sz="4" w:space="0" w:color="auto"/>
            </w:tcBorders>
            <w:shd w:val="clear" w:color="auto" w:fill="A6A6A6"/>
            <w:vAlign w:val="center"/>
          </w:tcPr>
          <w:p w:rsidR="00367029"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المخاطر المرتبطة باللجوء إلى طرف ثالث</w:t>
            </w:r>
          </w:p>
        </w:tc>
        <w:tc>
          <w:tcPr>
            <w:tcW w:w="457" w:type="pct"/>
            <w:shd w:val="clear" w:color="auto" w:fill="F3F3F3"/>
            <w:vAlign w:val="center"/>
          </w:tcPr>
          <w:p w:rsidR="00367029" w:rsidRPr="00FC6B46" w:rsidRDefault="00367029" w:rsidP="00FC6B46">
            <w:pPr>
              <w:bidi/>
              <w:spacing w:before="20" w:after="20"/>
              <w:rPr>
                <w:rFonts w:cs="Arial"/>
                <w:sz w:val="28"/>
                <w:szCs w:val="28"/>
                <w:lang w:val="en-GB"/>
              </w:rPr>
            </w:pPr>
          </w:p>
        </w:tc>
        <w:tc>
          <w:tcPr>
            <w:tcW w:w="1062" w:type="pct"/>
            <w:shd w:val="clear" w:color="auto" w:fill="F3F3F3"/>
          </w:tcPr>
          <w:p w:rsidR="00367029" w:rsidRPr="00FC6B46" w:rsidRDefault="00367029" w:rsidP="00FC6B46">
            <w:pPr>
              <w:bidi/>
              <w:spacing w:before="20" w:after="20"/>
              <w:rPr>
                <w:rFonts w:cs="Arial"/>
                <w:b/>
                <w:bCs/>
                <w:color w:val="000000"/>
                <w:sz w:val="28"/>
                <w:szCs w:val="28"/>
                <w:lang w:val="en-GB" w:eastAsia="en-GB"/>
              </w:rPr>
            </w:pPr>
          </w:p>
        </w:tc>
        <w:tc>
          <w:tcPr>
            <w:tcW w:w="0" w:type="auto"/>
            <w:tcBorders>
              <w:bottom w:val="single" w:sz="4" w:space="0" w:color="auto"/>
            </w:tcBorders>
            <w:shd w:val="clear" w:color="auto" w:fill="E6E6E6"/>
          </w:tcPr>
          <w:p w:rsidR="00B01305" w:rsidRPr="00FC6B46" w:rsidRDefault="00B01305" w:rsidP="00FC6B46">
            <w:pPr>
              <w:pStyle w:val="BulletTableau"/>
              <w:framePr w:wrap="around"/>
              <w:bidi/>
              <w:spacing w:beforeLines="0" w:afterLines="0"/>
              <w:rPr>
                <w:sz w:val="28"/>
                <w:szCs w:val="28"/>
              </w:rPr>
            </w:pPr>
            <w:r w:rsidRPr="00FC6B46">
              <w:rPr>
                <w:sz w:val="28"/>
                <w:szCs w:val="28"/>
                <w:rtl/>
              </w:rPr>
              <w:t>استبدال الدفعات الكبيرة بدفعات صغيرة ومتككرة.</w:t>
            </w:r>
          </w:p>
          <w:p w:rsidR="00B01305" w:rsidRPr="00FC6B46" w:rsidRDefault="00B01305" w:rsidP="00FC6B46">
            <w:pPr>
              <w:pStyle w:val="BulletTableau"/>
              <w:framePr w:wrap="around"/>
              <w:bidi/>
              <w:spacing w:beforeLines="0" w:afterLines="0"/>
              <w:rPr>
                <w:sz w:val="28"/>
                <w:szCs w:val="28"/>
              </w:rPr>
            </w:pPr>
            <w:r w:rsidRPr="00FC6B46">
              <w:rPr>
                <w:sz w:val="28"/>
                <w:szCs w:val="28"/>
                <w:rtl/>
              </w:rPr>
              <w:t>اعلام الرأي العام بعواقب الحوادث الأمنية (مثل ايقاف البرنامج).</w:t>
            </w:r>
          </w:p>
          <w:p w:rsidR="00367029" w:rsidRPr="00FC6B46" w:rsidRDefault="00B01305" w:rsidP="00FC6B46">
            <w:pPr>
              <w:pStyle w:val="BulletTableau"/>
              <w:framePr w:wrap="around"/>
              <w:bidi/>
              <w:spacing w:beforeLines="0" w:afterLines="0"/>
              <w:rPr>
                <w:sz w:val="28"/>
                <w:szCs w:val="28"/>
              </w:rPr>
            </w:pPr>
            <w:r w:rsidRPr="00FC6B46">
              <w:rPr>
                <w:sz w:val="28"/>
                <w:szCs w:val="28"/>
                <w:rtl/>
              </w:rPr>
              <w:t xml:space="preserve">إشراك المجتمع في اتخاذ القرار حول </w:t>
            </w:r>
            <w:r w:rsidR="00243D1D" w:rsidRPr="00FC6B46">
              <w:rPr>
                <w:sz w:val="28"/>
                <w:szCs w:val="28"/>
                <w:rtl/>
              </w:rPr>
              <w:t>موقع الاستلام الكثر أماناً.</w:t>
            </w:r>
          </w:p>
          <w:p w:rsidR="00367029" w:rsidRPr="00FC6B46" w:rsidRDefault="00243D1D" w:rsidP="00FC6B46">
            <w:pPr>
              <w:pStyle w:val="BulletTableau"/>
              <w:framePr w:wrap="around"/>
              <w:bidi/>
              <w:spacing w:beforeLines="0" w:afterLines="0"/>
              <w:rPr>
                <w:sz w:val="28"/>
                <w:szCs w:val="28"/>
              </w:rPr>
            </w:pPr>
            <w:r w:rsidRPr="00FC6B46">
              <w:rPr>
                <w:sz w:val="28"/>
                <w:szCs w:val="28"/>
                <w:rtl/>
              </w:rPr>
              <w:t>رصد عملية الاستلام والتسليم للتأكد من أن الوكلاء يمتثلون للمعايير المتوافق عليها.</w:t>
            </w:r>
          </w:p>
          <w:p w:rsidR="00243D1D" w:rsidRPr="00FC6B46" w:rsidRDefault="00243D1D" w:rsidP="00FC6B46">
            <w:pPr>
              <w:pStyle w:val="BulletTableau"/>
              <w:framePr w:wrap="around"/>
              <w:bidi/>
              <w:spacing w:beforeLines="0" w:afterLines="0"/>
              <w:rPr>
                <w:sz w:val="28"/>
                <w:szCs w:val="28"/>
              </w:rPr>
            </w:pPr>
            <w:r w:rsidRPr="00FC6B46">
              <w:rPr>
                <w:sz w:val="28"/>
                <w:szCs w:val="28"/>
                <w:rtl/>
              </w:rPr>
              <w:t xml:space="preserve">رصد عملية </w:t>
            </w:r>
            <w:r w:rsidR="00422437" w:rsidRPr="00FC6B46">
              <w:rPr>
                <w:sz w:val="28"/>
                <w:szCs w:val="28"/>
                <w:rtl/>
              </w:rPr>
              <w:t>ما بعد التسليم للتأكد أن المستفيدين لم يتعرضوا لأي شكل من أشكال المضايقات، أو لأي تكاليف إضافية، إلخ.</w:t>
            </w:r>
          </w:p>
          <w:p w:rsidR="00422437" w:rsidRPr="00FC6B46" w:rsidRDefault="00422437" w:rsidP="00FC6B46">
            <w:pPr>
              <w:pStyle w:val="BulletTableau"/>
              <w:framePr w:wrap="around"/>
              <w:bidi/>
              <w:spacing w:beforeLines="0" w:afterLines="0"/>
              <w:rPr>
                <w:sz w:val="28"/>
                <w:szCs w:val="28"/>
              </w:rPr>
            </w:pPr>
            <w:r w:rsidRPr="00FC6B46">
              <w:rPr>
                <w:sz w:val="28"/>
                <w:szCs w:val="28"/>
                <w:rtl/>
              </w:rPr>
              <w:t>هل من آلية الكترونية لتقديم الشكاوى يمكن للمستفيدين النفاذ إليها بسهولة؟</w:t>
            </w:r>
          </w:p>
          <w:p w:rsidR="00367029" w:rsidRPr="00FC6B46" w:rsidRDefault="00367029" w:rsidP="00FC6B46">
            <w:pPr>
              <w:pStyle w:val="BulletTableau"/>
              <w:framePr w:wrap="around"/>
              <w:numPr>
                <w:ilvl w:val="0"/>
                <w:numId w:val="0"/>
              </w:numPr>
              <w:bidi/>
              <w:spacing w:beforeLines="0" w:afterLines="0"/>
              <w:ind w:left="1080" w:hanging="360"/>
              <w:rPr>
                <w:sz w:val="28"/>
                <w:szCs w:val="28"/>
              </w:rPr>
            </w:pPr>
          </w:p>
        </w:tc>
      </w:tr>
      <w:tr w:rsidR="00382808" w:rsidRPr="00FC6B46" w:rsidTr="00473606">
        <w:trPr>
          <w:trHeight w:val="545"/>
        </w:trPr>
        <w:tc>
          <w:tcPr>
            <w:tcW w:w="1311" w:type="pct"/>
            <w:shd w:val="clear" w:color="auto" w:fill="A6A6A6"/>
            <w:vAlign w:val="center"/>
          </w:tcPr>
          <w:p w:rsidR="00367029"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المخاطر الأمنية التي تهدد الموظفين والمتطوعين</w:t>
            </w:r>
          </w:p>
        </w:tc>
        <w:tc>
          <w:tcPr>
            <w:tcW w:w="457" w:type="pct"/>
            <w:tcBorders>
              <w:bottom w:val="single" w:sz="4" w:space="0" w:color="auto"/>
            </w:tcBorders>
            <w:shd w:val="clear" w:color="auto" w:fill="F3F3F3"/>
            <w:vAlign w:val="center"/>
          </w:tcPr>
          <w:p w:rsidR="00367029" w:rsidRPr="00FC6B46" w:rsidRDefault="00367029" w:rsidP="00FC6B46">
            <w:pPr>
              <w:bidi/>
              <w:spacing w:before="20" w:after="20"/>
              <w:rPr>
                <w:rFonts w:cs="Arial"/>
                <w:sz w:val="28"/>
                <w:szCs w:val="28"/>
                <w:lang w:val="en-GB"/>
              </w:rPr>
            </w:pPr>
          </w:p>
        </w:tc>
        <w:tc>
          <w:tcPr>
            <w:tcW w:w="1062" w:type="pct"/>
            <w:shd w:val="clear" w:color="auto" w:fill="F3F3F3"/>
            <w:vAlign w:val="center"/>
          </w:tcPr>
          <w:p w:rsidR="00367029" w:rsidRPr="00FC6B46" w:rsidRDefault="00367029" w:rsidP="00FC6B46">
            <w:pPr>
              <w:bidi/>
              <w:spacing w:before="20" w:after="20"/>
              <w:rPr>
                <w:rFonts w:cs="Arial"/>
                <w:sz w:val="28"/>
                <w:szCs w:val="28"/>
                <w:lang w:val="en-GB"/>
              </w:rPr>
            </w:pPr>
          </w:p>
        </w:tc>
        <w:tc>
          <w:tcPr>
            <w:tcW w:w="2170" w:type="pct"/>
            <w:shd w:val="clear" w:color="auto" w:fill="E6E6E6"/>
            <w:vAlign w:val="center"/>
          </w:tcPr>
          <w:p w:rsidR="00422437" w:rsidRPr="00FC6B46" w:rsidRDefault="0027142E" w:rsidP="00FC6B46">
            <w:pPr>
              <w:pStyle w:val="BulletTableau"/>
              <w:framePr w:wrap="around"/>
              <w:bidi/>
              <w:spacing w:beforeLines="0" w:afterLines="0"/>
              <w:rPr>
                <w:sz w:val="28"/>
                <w:szCs w:val="28"/>
              </w:rPr>
            </w:pPr>
            <w:r w:rsidRPr="00FC6B46">
              <w:rPr>
                <w:sz w:val="28"/>
                <w:szCs w:val="28"/>
                <w:rtl/>
              </w:rPr>
              <w:t xml:space="preserve">تعيين  موظفين/متطوعين ماهرين، والحرص على خضوعهم للتدريب اللازم حول تنفيذ البرامج. </w:t>
            </w:r>
          </w:p>
          <w:p w:rsidR="0027142E" w:rsidRPr="00FC6B46" w:rsidRDefault="0027142E" w:rsidP="00FC6B46">
            <w:pPr>
              <w:pStyle w:val="BulletTableau"/>
              <w:framePr w:wrap="around"/>
              <w:bidi/>
              <w:spacing w:beforeLines="0" w:afterLines="0"/>
              <w:rPr>
                <w:sz w:val="28"/>
                <w:szCs w:val="28"/>
              </w:rPr>
            </w:pPr>
            <w:r w:rsidRPr="00FC6B46">
              <w:rPr>
                <w:sz w:val="28"/>
                <w:szCs w:val="28"/>
                <w:rtl/>
              </w:rPr>
              <w:t xml:space="preserve">التواصل المكثف مع السلطات، والجهات المعنية، والقادة المعنيين على المستوى الوطني والمحلي. </w:t>
            </w:r>
          </w:p>
          <w:p w:rsidR="00BF7D84" w:rsidRPr="00FC6B46" w:rsidRDefault="00BF7D84" w:rsidP="00FC6B46">
            <w:pPr>
              <w:pStyle w:val="BulletTableau"/>
              <w:framePr w:wrap="around"/>
              <w:bidi/>
              <w:spacing w:beforeLines="0" w:afterLines="0"/>
              <w:rPr>
                <w:sz w:val="28"/>
                <w:szCs w:val="28"/>
              </w:rPr>
            </w:pPr>
            <w:r w:rsidRPr="00FC6B46">
              <w:rPr>
                <w:sz w:val="28"/>
                <w:szCs w:val="28"/>
                <w:rtl/>
              </w:rPr>
              <w:lastRenderedPageBreak/>
              <w:t>اختيار آلية التحويل النقدي المناسبة.</w:t>
            </w:r>
          </w:p>
          <w:p w:rsidR="00BF7D84" w:rsidRPr="00FC6B46" w:rsidRDefault="00BF7D84" w:rsidP="00FC6B46">
            <w:pPr>
              <w:pStyle w:val="BulletTableau"/>
              <w:framePr w:wrap="around"/>
              <w:bidi/>
              <w:spacing w:beforeLines="0" w:afterLines="0"/>
              <w:rPr>
                <w:sz w:val="28"/>
                <w:szCs w:val="28"/>
              </w:rPr>
            </w:pPr>
            <w:r w:rsidRPr="00FC6B46">
              <w:rPr>
                <w:sz w:val="28"/>
                <w:szCs w:val="28"/>
                <w:rtl/>
              </w:rPr>
              <w:t>التأكد من أن عملية استهداف المستفيدين تتحلى بالشفافية والمشاركة.</w:t>
            </w:r>
          </w:p>
          <w:p w:rsidR="00BF7D84" w:rsidRPr="00FC6B46" w:rsidRDefault="00BF7D84" w:rsidP="00FC6B46">
            <w:pPr>
              <w:pStyle w:val="BulletTableau"/>
              <w:framePr w:wrap="around"/>
              <w:bidi/>
              <w:spacing w:beforeLines="0" w:afterLines="0"/>
              <w:rPr>
                <w:sz w:val="28"/>
                <w:szCs w:val="28"/>
              </w:rPr>
            </w:pPr>
            <w:r w:rsidRPr="00FC6B46">
              <w:rPr>
                <w:sz w:val="28"/>
                <w:szCs w:val="28"/>
                <w:rtl/>
              </w:rPr>
              <w:t>تصميم آلية لتقديم الشكاوى وتنفيذها للسماح للمستفيدين بالتعبير بشكل سلمي.</w:t>
            </w:r>
          </w:p>
          <w:p w:rsidR="00BF7D84" w:rsidRPr="00FC6B46" w:rsidRDefault="00BF7D84" w:rsidP="00FC6B46">
            <w:pPr>
              <w:pStyle w:val="BulletTableau"/>
              <w:framePr w:wrap="around"/>
              <w:bidi/>
              <w:spacing w:beforeLines="0" w:afterLines="0"/>
              <w:rPr>
                <w:sz w:val="28"/>
                <w:szCs w:val="28"/>
              </w:rPr>
            </w:pPr>
            <w:r w:rsidRPr="00FC6B46">
              <w:rPr>
                <w:sz w:val="28"/>
                <w:szCs w:val="28"/>
                <w:rtl/>
              </w:rPr>
              <w:t>الحفاظ على علاقات جيدة مع المنظمات غير الحكومية العاملة في المجال نفسه.</w:t>
            </w:r>
          </w:p>
          <w:p w:rsidR="00367029" w:rsidRPr="00FC6B46" w:rsidRDefault="00BF7D84" w:rsidP="00FC6B46">
            <w:pPr>
              <w:pStyle w:val="BulletTableau"/>
              <w:framePr w:wrap="around"/>
              <w:bidi/>
              <w:spacing w:beforeLines="0" w:afterLines="0"/>
              <w:rPr>
                <w:sz w:val="28"/>
                <w:szCs w:val="28"/>
              </w:rPr>
            </w:pPr>
            <w:r w:rsidRPr="00FC6B46">
              <w:rPr>
                <w:sz w:val="28"/>
                <w:szCs w:val="28"/>
                <w:rtl/>
              </w:rPr>
              <w:t xml:space="preserve">التأكد من أن المجتمع يستوعب </w:t>
            </w:r>
            <w:r w:rsidR="005D6AC0" w:rsidRPr="00FC6B46">
              <w:rPr>
                <w:sz w:val="28"/>
                <w:szCs w:val="28"/>
                <w:rtl/>
              </w:rPr>
              <w:t>عواقب المخاطر الأمنية (أي أسباب تعليق أو توقيف البرنامج).</w:t>
            </w:r>
          </w:p>
        </w:tc>
      </w:tr>
      <w:tr w:rsidR="00382808" w:rsidRPr="00FC6B46" w:rsidTr="00473606">
        <w:tc>
          <w:tcPr>
            <w:tcW w:w="1311" w:type="pct"/>
            <w:shd w:val="clear" w:color="auto" w:fill="A6A6A6"/>
            <w:vAlign w:val="center"/>
          </w:tcPr>
          <w:p w:rsidR="00367029"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lastRenderedPageBreak/>
              <w:t>المخاطر الأمنية التي تهدد المستفيدين</w:t>
            </w:r>
          </w:p>
        </w:tc>
        <w:tc>
          <w:tcPr>
            <w:tcW w:w="457" w:type="pct"/>
            <w:shd w:val="clear" w:color="auto" w:fill="F3F3F3"/>
            <w:vAlign w:val="center"/>
          </w:tcPr>
          <w:p w:rsidR="00367029" w:rsidRPr="00FC6B46" w:rsidRDefault="00367029" w:rsidP="00FC6B46">
            <w:pPr>
              <w:bidi/>
              <w:spacing w:before="20" w:after="20"/>
              <w:rPr>
                <w:rFonts w:cs="Arial"/>
                <w:sz w:val="28"/>
                <w:szCs w:val="28"/>
                <w:lang w:val="en-GB"/>
              </w:rPr>
            </w:pPr>
          </w:p>
        </w:tc>
        <w:tc>
          <w:tcPr>
            <w:tcW w:w="1062" w:type="pct"/>
            <w:shd w:val="clear" w:color="auto" w:fill="F3F3F3"/>
            <w:vAlign w:val="center"/>
          </w:tcPr>
          <w:p w:rsidR="00367029" w:rsidRPr="00FC6B46" w:rsidRDefault="00367029" w:rsidP="00FC6B46">
            <w:pPr>
              <w:bidi/>
              <w:spacing w:before="20" w:after="20"/>
              <w:rPr>
                <w:rFonts w:cs="Arial"/>
                <w:sz w:val="28"/>
                <w:szCs w:val="28"/>
                <w:lang w:val="en-GB"/>
              </w:rPr>
            </w:pPr>
          </w:p>
        </w:tc>
        <w:tc>
          <w:tcPr>
            <w:tcW w:w="2170" w:type="pct"/>
            <w:tcBorders>
              <w:bottom w:val="single" w:sz="4" w:space="0" w:color="auto"/>
            </w:tcBorders>
            <w:shd w:val="clear" w:color="auto" w:fill="E6E6E6"/>
            <w:vAlign w:val="center"/>
          </w:tcPr>
          <w:p w:rsidR="006C207B" w:rsidRPr="00FC6B46" w:rsidRDefault="006C207B" w:rsidP="00FC6B46">
            <w:pPr>
              <w:pStyle w:val="BulletTableau"/>
              <w:framePr w:wrap="around"/>
              <w:bidi/>
              <w:spacing w:beforeLines="0" w:afterLines="0"/>
              <w:rPr>
                <w:sz w:val="28"/>
                <w:szCs w:val="28"/>
              </w:rPr>
            </w:pPr>
            <w:r w:rsidRPr="00FC6B46">
              <w:rPr>
                <w:sz w:val="28"/>
                <w:szCs w:val="28"/>
                <w:rtl/>
              </w:rPr>
              <w:t>اختيار نوع التدخل النقدي المناسب وغشراك المجتمع في هذه العملية.</w:t>
            </w:r>
          </w:p>
          <w:p w:rsidR="006C207B" w:rsidRPr="00FC6B46" w:rsidRDefault="006C207B" w:rsidP="00FC6B46">
            <w:pPr>
              <w:pStyle w:val="BulletTableau"/>
              <w:framePr w:wrap="around"/>
              <w:bidi/>
              <w:spacing w:beforeLines="0" w:afterLines="0"/>
              <w:rPr>
                <w:sz w:val="28"/>
                <w:szCs w:val="28"/>
              </w:rPr>
            </w:pPr>
            <w:r w:rsidRPr="00FC6B46">
              <w:rPr>
                <w:sz w:val="28"/>
                <w:szCs w:val="28"/>
                <w:rtl/>
              </w:rPr>
              <w:t>اعطاء المستفيدين مجالاً من الحرية في ما يتعلق باختيار المكان والزمان المناسبين لاستلام التحويلات النقدية (لا يجوز أن يكون جميع المستفيدين حاضرين في المكان والزمان نفسه لاستلام التحويلات).</w:t>
            </w:r>
          </w:p>
          <w:p w:rsidR="006C207B" w:rsidRPr="00FC6B46" w:rsidRDefault="006C207B" w:rsidP="00FC6B46">
            <w:pPr>
              <w:pStyle w:val="BulletTableau"/>
              <w:framePr w:wrap="around"/>
              <w:bidi/>
              <w:spacing w:beforeLines="0" w:afterLines="0"/>
              <w:rPr>
                <w:sz w:val="28"/>
                <w:szCs w:val="28"/>
              </w:rPr>
            </w:pPr>
            <w:r w:rsidRPr="00FC6B46">
              <w:rPr>
                <w:sz w:val="28"/>
                <w:szCs w:val="28"/>
                <w:rtl/>
              </w:rPr>
              <w:t>التأكد من أن التحويلات جاهزة للاستلام قبل حلول الظلام لكي يعود المستفيدون إلى منازلهم قبل حلول الليل.</w:t>
            </w:r>
          </w:p>
          <w:p w:rsidR="006C207B" w:rsidRPr="00FC6B46" w:rsidRDefault="006C207B" w:rsidP="00FC6B46">
            <w:pPr>
              <w:pStyle w:val="BulletTableau"/>
              <w:framePr w:wrap="around"/>
              <w:bidi/>
              <w:spacing w:beforeLines="0" w:afterLines="0"/>
              <w:rPr>
                <w:sz w:val="28"/>
                <w:szCs w:val="28"/>
              </w:rPr>
            </w:pPr>
            <w:r w:rsidRPr="00FC6B46">
              <w:rPr>
                <w:sz w:val="28"/>
                <w:szCs w:val="28"/>
                <w:rtl/>
              </w:rPr>
              <w:t>الأخذ في الاعتبار المخاطر الأمنية التي قد تهدد النساء وغشراك المجتمع في المشاورات حول السب الفضلى للحد من هذه المخاطر.</w:t>
            </w:r>
          </w:p>
          <w:p w:rsidR="00367029" w:rsidRPr="00FC6B46" w:rsidRDefault="00007566" w:rsidP="00FC6B46">
            <w:pPr>
              <w:pStyle w:val="BulletTableau"/>
              <w:framePr w:wrap="around"/>
              <w:bidi/>
              <w:spacing w:beforeLines="0" w:afterLines="0"/>
              <w:rPr>
                <w:sz w:val="28"/>
                <w:szCs w:val="28"/>
              </w:rPr>
            </w:pPr>
            <w:r w:rsidRPr="00FC6B46">
              <w:rPr>
                <w:sz w:val="28"/>
                <w:szCs w:val="28"/>
                <w:rtl/>
              </w:rPr>
              <w:t>في ما يتعلق ببرامج النقد مقابل العمل، يجب الحصول على المشورة الفنية اللازمة لبناء وإعادة تأهيل الموجودات بشكل يسمح بتفادي وقوع غصابات عند تنفيذ البرنامج.</w:t>
            </w:r>
          </w:p>
        </w:tc>
      </w:tr>
      <w:tr w:rsidR="00622B10" w:rsidRPr="00FC6B46" w:rsidTr="00473606">
        <w:trPr>
          <w:trHeight w:val="20"/>
        </w:trPr>
        <w:tc>
          <w:tcPr>
            <w:tcW w:w="1311" w:type="pct"/>
            <w:shd w:val="clear" w:color="auto" w:fill="A6A6A6"/>
            <w:vAlign w:val="center"/>
          </w:tcPr>
          <w:p w:rsidR="00367029"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lastRenderedPageBreak/>
              <w:t>الفساد</w:t>
            </w:r>
          </w:p>
        </w:tc>
        <w:tc>
          <w:tcPr>
            <w:tcW w:w="457" w:type="pct"/>
            <w:tcBorders>
              <w:bottom w:val="single" w:sz="4" w:space="0" w:color="auto"/>
            </w:tcBorders>
            <w:shd w:val="clear" w:color="auto" w:fill="F3F3F3"/>
            <w:vAlign w:val="center"/>
          </w:tcPr>
          <w:p w:rsidR="00367029" w:rsidRPr="00FC6B46" w:rsidRDefault="00367029" w:rsidP="00FC6B46">
            <w:pPr>
              <w:bidi/>
              <w:spacing w:before="20" w:after="20"/>
              <w:rPr>
                <w:rFonts w:cs="Arial"/>
                <w:sz w:val="28"/>
                <w:szCs w:val="28"/>
                <w:lang w:val="en-GB"/>
              </w:rPr>
            </w:pPr>
          </w:p>
        </w:tc>
        <w:tc>
          <w:tcPr>
            <w:tcW w:w="1062" w:type="pct"/>
            <w:tcBorders>
              <w:bottom w:val="single" w:sz="4" w:space="0" w:color="auto"/>
            </w:tcBorders>
            <w:shd w:val="clear" w:color="auto" w:fill="F3F3F3"/>
            <w:vAlign w:val="center"/>
          </w:tcPr>
          <w:p w:rsidR="00367029" w:rsidRPr="00FC6B46" w:rsidRDefault="00367029" w:rsidP="00FC6B46">
            <w:pPr>
              <w:bidi/>
              <w:spacing w:before="20" w:after="20"/>
              <w:rPr>
                <w:rFonts w:cs="Arial"/>
                <w:sz w:val="28"/>
                <w:szCs w:val="28"/>
                <w:lang w:val="en-GB"/>
              </w:rPr>
            </w:pPr>
          </w:p>
        </w:tc>
        <w:tc>
          <w:tcPr>
            <w:tcW w:w="2170" w:type="pct"/>
            <w:tcBorders>
              <w:bottom w:val="single" w:sz="4" w:space="0" w:color="auto"/>
            </w:tcBorders>
            <w:shd w:val="clear" w:color="auto" w:fill="E6E6E6"/>
            <w:vAlign w:val="center"/>
          </w:tcPr>
          <w:p w:rsidR="00367029" w:rsidRPr="00FC6B46" w:rsidRDefault="00007566" w:rsidP="00FC6B46">
            <w:pPr>
              <w:pStyle w:val="BulletTableau"/>
              <w:framePr w:wrap="around"/>
              <w:bidi/>
              <w:spacing w:beforeLines="0" w:afterLines="0"/>
              <w:rPr>
                <w:sz w:val="28"/>
                <w:szCs w:val="28"/>
              </w:rPr>
            </w:pPr>
            <w:r w:rsidRPr="00FC6B46">
              <w:rPr>
                <w:sz w:val="28"/>
                <w:szCs w:val="28"/>
                <w:rtl/>
              </w:rPr>
              <w:t>التعامل الوثيق مع الجهات القياديّة في المجتمع.</w:t>
            </w:r>
          </w:p>
          <w:p w:rsidR="00007566" w:rsidRPr="00FC6B46" w:rsidRDefault="00007566" w:rsidP="00FC6B46">
            <w:pPr>
              <w:pStyle w:val="BulletTableau"/>
              <w:framePr w:wrap="around"/>
              <w:bidi/>
              <w:spacing w:beforeLines="0" w:afterLines="0"/>
              <w:rPr>
                <w:sz w:val="28"/>
                <w:szCs w:val="28"/>
              </w:rPr>
            </w:pPr>
            <w:r w:rsidRPr="00FC6B46">
              <w:rPr>
                <w:sz w:val="28"/>
                <w:szCs w:val="28"/>
                <w:rtl/>
              </w:rPr>
              <w:t>الانفتاح على المجتمع في كل ما هو متعلق بالبرنامج.</w:t>
            </w:r>
          </w:p>
          <w:p w:rsidR="00007566" w:rsidRPr="00FC6B46" w:rsidRDefault="00007566" w:rsidP="00FC6B46">
            <w:pPr>
              <w:pStyle w:val="BulletTableau"/>
              <w:framePr w:wrap="around"/>
              <w:bidi/>
              <w:spacing w:beforeLines="0" w:afterLines="0"/>
              <w:rPr>
                <w:sz w:val="28"/>
                <w:szCs w:val="28"/>
              </w:rPr>
            </w:pPr>
            <w:r w:rsidRPr="00FC6B46">
              <w:rPr>
                <w:sz w:val="28"/>
                <w:szCs w:val="28"/>
                <w:rtl/>
              </w:rPr>
              <w:t>استخدام معايير استهداف والتحقق من قوائم المستفيدين.</w:t>
            </w:r>
          </w:p>
          <w:p w:rsidR="00007566" w:rsidRPr="00FC6B46" w:rsidRDefault="003C7D18" w:rsidP="00FC6B46">
            <w:pPr>
              <w:pStyle w:val="BulletTableau"/>
              <w:framePr w:wrap="around"/>
              <w:bidi/>
              <w:spacing w:beforeLines="0" w:afterLines="0"/>
              <w:rPr>
                <w:sz w:val="28"/>
                <w:szCs w:val="28"/>
              </w:rPr>
            </w:pPr>
            <w:r w:rsidRPr="00FC6B46">
              <w:rPr>
                <w:sz w:val="28"/>
                <w:szCs w:val="28"/>
                <w:rtl/>
              </w:rPr>
              <w:t>التأكد من معرفة المستفيدين لمستحقاتهم.</w:t>
            </w:r>
          </w:p>
          <w:p w:rsidR="003C7D18" w:rsidRPr="00FC6B46" w:rsidRDefault="003C7D18" w:rsidP="00FC6B46">
            <w:pPr>
              <w:pStyle w:val="BulletTableau"/>
              <w:framePr w:wrap="around"/>
              <w:bidi/>
              <w:spacing w:beforeLines="0" w:afterLines="0"/>
              <w:rPr>
                <w:sz w:val="28"/>
                <w:szCs w:val="28"/>
              </w:rPr>
            </w:pPr>
            <w:r w:rsidRPr="00FC6B46">
              <w:rPr>
                <w:sz w:val="28"/>
                <w:szCs w:val="28"/>
                <w:rtl/>
              </w:rPr>
              <w:t>إجراء رصد لما بعد عملية التوزيع والتأكد من المستفيدين بأنهم حصلوا على المبلغ الصحيح.</w:t>
            </w:r>
          </w:p>
          <w:p w:rsidR="003C7D18" w:rsidRPr="00FC6B46" w:rsidRDefault="006F6FE0" w:rsidP="00FC6B46">
            <w:pPr>
              <w:pStyle w:val="BulletTableau"/>
              <w:framePr w:wrap="around"/>
              <w:bidi/>
              <w:spacing w:beforeLines="0" w:afterLines="0"/>
              <w:rPr>
                <w:sz w:val="28"/>
                <w:szCs w:val="28"/>
              </w:rPr>
            </w:pPr>
            <w:r w:rsidRPr="00FC6B46">
              <w:rPr>
                <w:sz w:val="28"/>
                <w:szCs w:val="28"/>
                <w:rtl/>
              </w:rPr>
              <w:t>التأكد من صحة تحديد المستفيدين خلال عملية التسليم والدفع.</w:t>
            </w:r>
          </w:p>
          <w:p w:rsidR="00367029" w:rsidRPr="00FC6B46" w:rsidRDefault="006F6FE0" w:rsidP="00FC6B46">
            <w:pPr>
              <w:pStyle w:val="BulletTableau"/>
              <w:framePr w:wrap="around"/>
              <w:bidi/>
              <w:spacing w:beforeLines="0" w:afterLines="0"/>
              <w:rPr>
                <w:sz w:val="28"/>
                <w:szCs w:val="28"/>
              </w:rPr>
            </w:pPr>
            <w:r w:rsidRPr="00FC6B46">
              <w:rPr>
                <w:sz w:val="28"/>
                <w:szCs w:val="28"/>
                <w:rtl/>
              </w:rPr>
              <w:t>تصميم آلية واضحة تسمح لأفراد المجتمع بتقديم الشكاوى والملاحظات من أجل تحديد المشاكل المحتملة وحلها بسرعة في خلال تنفيذ البرنامج.</w:t>
            </w:r>
            <w:r w:rsidR="00367029" w:rsidRPr="00FC6B46">
              <w:rPr>
                <w:sz w:val="28"/>
                <w:szCs w:val="28"/>
              </w:rPr>
              <w:t xml:space="preserve"> </w:t>
            </w:r>
          </w:p>
        </w:tc>
      </w:tr>
      <w:tr w:rsidR="00382808" w:rsidRPr="00FC6B46" w:rsidTr="00473606">
        <w:trPr>
          <w:trHeight w:val="569"/>
        </w:trPr>
        <w:tc>
          <w:tcPr>
            <w:tcW w:w="1311" w:type="pct"/>
            <w:shd w:val="clear" w:color="auto" w:fill="A6A6A6"/>
            <w:vAlign w:val="center"/>
          </w:tcPr>
          <w:p w:rsidR="00367029"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النزاعات داخل المجتمع</w:t>
            </w:r>
          </w:p>
        </w:tc>
        <w:tc>
          <w:tcPr>
            <w:tcW w:w="457" w:type="pct"/>
            <w:tcBorders>
              <w:bottom w:val="single" w:sz="4" w:space="0" w:color="auto"/>
            </w:tcBorders>
            <w:shd w:val="clear" w:color="auto" w:fill="F3F3F3"/>
            <w:vAlign w:val="center"/>
          </w:tcPr>
          <w:p w:rsidR="00367029" w:rsidRPr="00FC6B46" w:rsidRDefault="00367029" w:rsidP="00FC6B46">
            <w:pPr>
              <w:bidi/>
              <w:spacing w:before="20" w:after="20"/>
              <w:rPr>
                <w:rFonts w:cs="Arial"/>
                <w:sz w:val="28"/>
                <w:szCs w:val="28"/>
                <w:lang w:val="en-GB"/>
              </w:rPr>
            </w:pPr>
          </w:p>
        </w:tc>
        <w:tc>
          <w:tcPr>
            <w:tcW w:w="1062" w:type="pct"/>
            <w:tcBorders>
              <w:bottom w:val="single" w:sz="4" w:space="0" w:color="auto"/>
            </w:tcBorders>
            <w:shd w:val="clear" w:color="auto" w:fill="F3F3F3"/>
            <w:vAlign w:val="center"/>
          </w:tcPr>
          <w:p w:rsidR="00367029" w:rsidRPr="00FC6B46" w:rsidRDefault="00367029" w:rsidP="00FC6B46">
            <w:pPr>
              <w:bidi/>
              <w:spacing w:before="20" w:after="20"/>
              <w:rPr>
                <w:rFonts w:cs="Arial"/>
                <w:sz w:val="28"/>
                <w:szCs w:val="28"/>
                <w:lang w:val="en-GB"/>
              </w:rPr>
            </w:pPr>
          </w:p>
        </w:tc>
        <w:tc>
          <w:tcPr>
            <w:tcW w:w="2170" w:type="pct"/>
            <w:tcBorders>
              <w:bottom w:val="single" w:sz="4" w:space="0" w:color="auto"/>
            </w:tcBorders>
            <w:shd w:val="clear" w:color="auto" w:fill="E6E6E6"/>
            <w:vAlign w:val="center"/>
          </w:tcPr>
          <w:p w:rsidR="007118FE" w:rsidRPr="00FC6B46" w:rsidRDefault="007118FE" w:rsidP="00FC6B46">
            <w:pPr>
              <w:pStyle w:val="BulletTableau"/>
              <w:framePr w:wrap="around"/>
              <w:bidi/>
              <w:spacing w:beforeLines="0" w:afterLines="0"/>
              <w:rPr>
                <w:sz w:val="28"/>
                <w:szCs w:val="28"/>
              </w:rPr>
            </w:pPr>
            <w:r w:rsidRPr="00FC6B46">
              <w:rPr>
                <w:sz w:val="28"/>
                <w:szCs w:val="28"/>
                <w:rtl/>
              </w:rPr>
              <w:t>توعية المجتمع حول أهداف برامج التحويلات النقدية وكيفية اختيار المستفيدين.</w:t>
            </w:r>
          </w:p>
          <w:p w:rsidR="007118FE" w:rsidRPr="00FC6B46" w:rsidRDefault="007118FE" w:rsidP="00FC6B46">
            <w:pPr>
              <w:pStyle w:val="BulletTableau"/>
              <w:framePr w:wrap="around"/>
              <w:bidi/>
              <w:spacing w:beforeLines="0" w:afterLines="0"/>
              <w:rPr>
                <w:sz w:val="28"/>
                <w:szCs w:val="28"/>
              </w:rPr>
            </w:pPr>
            <w:r w:rsidRPr="00FC6B46">
              <w:rPr>
                <w:sz w:val="28"/>
                <w:szCs w:val="28"/>
                <w:rtl/>
              </w:rPr>
              <w:t>التأكد من إشراك أفراد المجتمع والجهات القيادية فيه في مراحل المشروع المختلفة.</w:t>
            </w:r>
          </w:p>
          <w:p w:rsidR="007118FE" w:rsidRPr="00FC6B46" w:rsidRDefault="00DE28D4" w:rsidP="00FC6B46">
            <w:pPr>
              <w:pStyle w:val="BulletTableau"/>
              <w:framePr w:wrap="around"/>
              <w:bidi/>
              <w:spacing w:beforeLines="0" w:afterLines="0"/>
              <w:rPr>
                <w:sz w:val="28"/>
                <w:szCs w:val="28"/>
              </w:rPr>
            </w:pPr>
            <w:r w:rsidRPr="00FC6B46">
              <w:rPr>
                <w:sz w:val="28"/>
                <w:szCs w:val="28"/>
                <w:rtl/>
              </w:rPr>
              <w:t>الحفاظ على الشفافية في عملية الاستهداف لتفادي التوتر بين السمتفيدين وغير المستفيدين.</w:t>
            </w:r>
          </w:p>
          <w:p w:rsidR="00DE28D4" w:rsidRPr="00FC6B46" w:rsidRDefault="00DE28D4" w:rsidP="00FC6B46">
            <w:pPr>
              <w:pStyle w:val="BulletTableau"/>
              <w:framePr w:wrap="around"/>
              <w:bidi/>
              <w:spacing w:beforeLines="0" w:afterLines="0"/>
              <w:rPr>
                <w:sz w:val="28"/>
                <w:szCs w:val="28"/>
              </w:rPr>
            </w:pPr>
            <w:r w:rsidRPr="00FC6B46">
              <w:rPr>
                <w:sz w:val="28"/>
                <w:szCs w:val="28"/>
                <w:rtl/>
              </w:rPr>
              <w:t>التأكد من تسليم التحويلات في الوقت المناسب: فالتأخر في التسليم قد يزيد من ضعف السر المستهدفة وخلق توتر بين أفراد المجتمع.</w:t>
            </w:r>
          </w:p>
          <w:p w:rsidR="00367029" w:rsidRPr="00FC6B46" w:rsidRDefault="00DE28D4" w:rsidP="00FC6B46">
            <w:pPr>
              <w:pStyle w:val="BulletTableau"/>
              <w:framePr w:wrap="around"/>
              <w:bidi/>
              <w:spacing w:beforeLines="0" w:afterLines="0"/>
              <w:rPr>
                <w:sz w:val="28"/>
                <w:szCs w:val="28"/>
              </w:rPr>
            </w:pPr>
            <w:r w:rsidRPr="00FC6B46">
              <w:rPr>
                <w:sz w:val="28"/>
                <w:szCs w:val="28"/>
                <w:rtl/>
              </w:rPr>
              <w:t>وضع استراتيجية واضحة للخروج للمساعدة في الحد من التوقعات</w:t>
            </w:r>
          </w:p>
        </w:tc>
      </w:tr>
      <w:tr w:rsidR="00382808" w:rsidRPr="00FC6B46" w:rsidTr="00473606">
        <w:tc>
          <w:tcPr>
            <w:tcW w:w="1311" w:type="pct"/>
            <w:tcBorders>
              <w:bottom w:val="single" w:sz="4" w:space="0" w:color="auto"/>
            </w:tcBorders>
            <w:shd w:val="clear" w:color="auto" w:fill="A6A6A6"/>
            <w:vAlign w:val="center"/>
          </w:tcPr>
          <w:p w:rsidR="00367029"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التضخم</w:t>
            </w:r>
          </w:p>
        </w:tc>
        <w:tc>
          <w:tcPr>
            <w:tcW w:w="457" w:type="pct"/>
            <w:tcBorders>
              <w:bottom w:val="single" w:sz="4" w:space="0" w:color="auto"/>
            </w:tcBorders>
            <w:shd w:val="clear" w:color="auto" w:fill="F3F3F3"/>
            <w:vAlign w:val="center"/>
          </w:tcPr>
          <w:p w:rsidR="00367029" w:rsidRPr="00FC6B46" w:rsidRDefault="00367029" w:rsidP="00FC6B46">
            <w:pPr>
              <w:bidi/>
              <w:spacing w:before="20" w:after="20"/>
              <w:rPr>
                <w:rFonts w:cs="Arial"/>
                <w:sz w:val="28"/>
                <w:szCs w:val="28"/>
                <w:lang w:val="en-GB"/>
              </w:rPr>
            </w:pPr>
          </w:p>
        </w:tc>
        <w:tc>
          <w:tcPr>
            <w:tcW w:w="1062" w:type="pct"/>
            <w:tcBorders>
              <w:bottom w:val="single" w:sz="4" w:space="0" w:color="auto"/>
            </w:tcBorders>
            <w:shd w:val="clear" w:color="auto" w:fill="F3F3F3"/>
            <w:vAlign w:val="center"/>
          </w:tcPr>
          <w:p w:rsidR="00367029" w:rsidRPr="00FC6B46" w:rsidRDefault="00367029" w:rsidP="00FC6B46">
            <w:pPr>
              <w:bidi/>
              <w:spacing w:before="20" w:after="20"/>
              <w:rPr>
                <w:rFonts w:cs="Arial"/>
                <w:sz w:val="28"/>
                <w:szCs w:val="28"/>
                <w:lang w:val="en-GB"/>
              </w:rPr>
            </w:pPr>
          </w:p>
        </w:tc>
        <w:tc>
          <w:tcPr>
            <w:tcW w:w="2170" w:type="pct"/>
            <w:tcBorders>
              <w:bottom w:val="single" w:sz="4" w:space="0" w:color="auto"/>
            </w:tcBorders>
            <w:shd w:val="clear" w:color="auto" w:fill="E6E6E6"/>
            <w:vAlign w:val="center"/>
          </w:tcPr>
          <w:p w:rsidR="00116AB9" w:rsidRPr="00FC6B46" w:rsidRDefault="00116AB9" w:rsidP="00FC6B46">
            <w:pPr>
              <w:pStyle w:val="BulletTableau"/>
              <w:framePr w:wrap="around"/>
              <w:bidi/>
              <w:spacing w:beforeLines="0" w:afterLines="0"/>
              <w:rPr>
                <w:sz w:val="28"/>
                <w:szCs w:val="28"/>
              </w:rPr>
            </w:pPr>
            <w:r w:rsidRPr="00FC6B46">
              <w:rPr>
                <w:sz w:val="28"/>
                <w:szCs w:val="28"/>
                <w:rtl/>
              </w:rPr>
              <w:t xml:space="preserve">في حال اللجوء إلى تحويلات القسائم، يجب ضمان </w:t>
            </w:r>
            <w:r w:rsidRPr="00FC6B46">
              <w:rPr>
                <w:sz w:val="28"/>
                <w:szCs w:val="28"/>
                <w:rtl/>
              </w:rPr>
              <w:lastRenderedPageBreak/>
              <w:t>مشاركة اكبر عدد ممكن من التجار للحفاظ على تنافسية السوق.</w:t>
            </w:r>
          </w:p>
          <w:p w:rsidR="00116AB9" w:rsidRPr="00FC6B46" w:rsidRDefault="00116AB9" w:rsidP="00FC6B46">
            <w:pPr>
              <w:pStyle w:val="BulletTableau"/>
              <w:framePr w:wrap="around"/>
              <w:bidi/>
              <w:spacing w:beforeLines="0" w:afterLines="0"/>
              <w:rPr>
                <w:sz w:val="28"/>
                <w:szCs w:val="28"/>
              </w:rPr>
            </w:pPr>
            <w:r w:rsidRPr="00FC6B46">
              <w:rPr>
                <w:sz w:val="28"/>
                <w:szCs w:val="28"/>
                <w:rtl/>
              </w:rPr>
              <w:t>رصد أسعار السلع الغذائية وغير الغذائية في الأسواق المجاورة للتأكد من أن السوق المعنية لا تلجا إلى رفع الأسعار بشكل غير منصف.</w:t>
            </w:r>
          </w:p>
          <w:p w:rsidR="00367029" w:rsidRPr="00FC6B46" w:rsidRDefault="00116AB9" w:rsidP="00FC6B46">
            <w:pPr>
              <w:pStyle w:val="BulletTableau"/>
              <w:framePr w:wrap="around"/>
              <w:bidi/>
              <w:spacing w:beforeLines="0" w:afterLines="0"/>
              <w:rPr>
                <w:sz w:val="28"/>
                <w:szCs w:val="28"/>
              </w:rPr>
            </w:pPr>
            <w:r w:rsidRPr="00FC6B46">
              <w:rPr>
                <w:sz w:val="28"/>
                <w:szCs w:val="28"/>
                <w:rtl/>
              </w:rPr>
              <w:t xml:space="preserve">التحقق من أسعار الصرف بانتظام،  </w:t>
            </w:r>
            <w:r w:rsidR="00EF647B" w:rsidRPr="00FC6B46">
              <w:rPr>
                <w:sz w:val="28"/>
                <w:szCs w:val="28"/>
                <w:rtl/>
              </w:rPr>
              <w:t>للتأكد من حفاط النقد</w:t>
            </w:r>
            <w:r w:rsidRPr="00FC6B46">
              <w:rPr>
                <w:sz w:val="28"/>
                <w:szCs w:val="28"/>
                <w:rtl/>
              </w:rPr>
              <w:t xml:space="preserve"> </w:t>
            </w:r>
            <w:r w:rsidR="00EF647B" w:rsidRPr="00FC6B46">
              <w:rPr>
                <w:sz w:val="28"/>
                <w:szCs w:val="28"/>
                <w:rtl/>
              </w:rPr>
              <w:t xml:space="preserve">على قيمته </w:t>
            </w:r>
            <w:r w:rsidRPr="00FC6B46">
              <w:rPr>
                <w:sz w:val="28"/>
                <w:szCs w:val="28"/>
                <w:rtl/>
              </w:rPr>
              <w:t>بالمقارنة مع القيمة الأصلية لل</w:t>
            </w:r>
            <w:r w:rsidR="00EF647B" w:rsidRPr="00FC6B46">
              <w:rPr>
                <w:sz w:val="28"/>
                <w:szCs w:val="28"/>
                <w:rtl/>
              </w:rPr>
              <w:t>تحويل</w:t>
            </w:r>
            <w:r w:rsidRPr="00FC6B46">
              <w:rPr>
                <w:sz w:val="28"/>
                <w:szCs w:val="28"/>
                <w:rtl/>
              </w:rPr>
              <w:t xml:space="preserve"> </w:t>
            </w:r>
            <w:r w:rsidR="00EF647B" w:rsidRPr="00FC6B46">
              <w:rPr>
                <w:sz w:val="28"/>
                <w:szCs w:val="28"/>
                <w:rtl/>
              </w:rPr>
              <w:t>النقدي</w:t>
            </w:r>
          </w:p>
        </w:tc>
      </w:tr>
      <w:tr w:rsidR="008422B2" w:rsidRPr="00FC6B46" w:rsidTr="00473606">
        <w:tc>
          <w:tcPr>
            <w:tcW w:w="0" w:type="auto"/>
            <w:gridSpan w:val="4"/>
            <w:shd w:val="clear" w:color="auto" w:fill="E6E6E6"/>
            <w:vAlign w:val="center"/>
          </w:tcPr>
          <w:p w:rsidR="008422B2"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lastRenderedPageBreak/>
              <w:t>المخاطر المؤسسية (مالية، تشويه السمعة، استراتيجية)</w:t>
            </w:r>
          </w:p>
        </w:tc>
      </w:tr>
      <w:tr w:rsidR="00382808" w:rsidRPr="00FC6B46" w:rsidTr="00B10A57">
        <w:trPr>
          <w:trHeight w:val="620"/>
        </w:trPr>
        <w:tc>
          <w:tcPr>
            <w:tcW w:w="1311" w:type="pct"/>
            <w:shd w:val="clear" w:color="auto" w:fill="A6A6A6"/>
            <w:vAlign w:val="center"/>
          </w:tcPr>
          <w:p w:rsidR="00367029" w:rsidRPr="00FC6B46" w:rsidRDefault="00C05830"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مخاطر مرتبطة بالمساءلة، ومخاطر الاحتيال والفساد</w:t>
            </w:r>
          </w:p>
        </w:tc>
        <w:tc>
          <w:tcPr>
            <w:tcW w:w="457" w:type="pct"/>
            <w:shd w:val="clear" w:color="auto" w:fill="F3F3F3"/>
          </w:tcPr>
          <w:p w:rsidR="00367029" w:rsidRPr="00FC6B46" w:rsidRDefault="00367029" w:rsidP="00FC6B46">
            <w:pPr>
              <w:bidi/>
              <w:spacing w:before="20" w:after="20"/>
              <w:rPr>
                <w:rFonts w:cs="Arial"/>
                <w:sz w:val="28"/>
                <w:szCs w:val="28"/>
                <w:lang w:val="en-GB"/>
              </w:rPr>
            </w:pPr>
          </w:p>
        </w:tc>
        <w:tc>
          <w:tcPr>
            <w:tcW w:w="1062" w:type="pct"/>
            <w:shd w:val="clear" w:color="auto" w:fill="F3F3F3"/>
            <w:vAlign w:val="center"/>
          </w:tcPr>
          <w:p w:rsidR="00367029" w:rsidRPr="00FC6B46" w:rsidRDefault="00367029" w:rsidP="00FC6B46">
            <w:pPr>
              <w:bidi/>
              <w:spacing w:before="20" w:after="20"/>
              <w:rPr>
                <w:rFonts w:cs="Arial"/>
                <w:sz w:val="28"/>
                <w:szCs w:val="28"/>
                <w:lang w:val="en-GB"/>
              </w:rPr>
            </w:pPr>
          </w:p>
        </w:tc>
        <w:tc>
          <w:tcPr>
            <w:tcW w:w="2170" w:type="pct"/>
            <w:shd w:val="clear" w:color="auto" w:fill="E6E6E6"/>
            <w:vAlign w:val="center"/>
          </w:tcPr>
          <w:p w:rsidR="00B10A57" w:rsidRPr="00FC6B46" w:rsidRDefault="00B10A57" w:rsidP="00FC6B46">
            <w:pPr>
              <w:pStyle w:val="BulletTableau"/>
              <w:framePr w:wrap="around"/>
              <w:bidi/>
              <w:spacing w:beforeLines="0" w:afterLines="0"/>
              <w:rPr>
                <w:sz w:val="28"/>
                <w:szCs w:val="28"/>
              </w:rPr>
            </w:pPr>
            <w:r w:rsidRPr="00FC6B46">
              <w:rPr>
                <w:sz w:val="28"/>
                <w:szCs w:val="28"/>
                <w:rtl/>
              </w:rPr>
              <w:t>التحقق من أمن التحويلات النقدية</w:t>
            </w:r>
          </w:p>
          <w:p w:rsidR="00B10A57" w:rsidRPr="00FC6B46" w:rsidRDefault="00B10A57" w:rsidP="00FC6B46">
            <w:pPr>
              <w:pStyle w:val="BulletTableau"/>
              <w:framePr w:wrap="around"/>
              <w:bidi/>
              <w:spacing w:beforeLines="0" w:afterLines="0"/>
              <w:rPr>
                <w:sz w:val="28"/>
                <w:szCs w:val="28"/>
              </w:rPr>
            </w:pPr>
            <w:r w:rsidRPr="00FC6B46">
              <w:rPr>
                <w:sz w:val="28"/>
                <w:szCs w:val="28"/>
                <w:rtl/>
              </w:rPr>
              <w:t>تحديد احتمالات الاحتيال المختلفة</w:t>
            </w:r>
          </w:p>
          <w:p w:rsidR="00367029" w:rsidRPr="00FC6B46" w:rsidRDefault="00B10A57" w:rsidP="00FC6B46">
            <w:pPr>
              <w:pStyle w:val="BulletTableau"/>
              <w:framePr w:wrap="around"/>
              <w:bidi/>
              <w:spacing w:beforeLines="0" w:afterLines="0"/>
              <w:rPr>
                <w:sz w:val="28"/>
                <w:szCs w:val="28"/>
              </w:rPr>
            </w:pPr>
            <w:r w:rsidRPr="00FC6B46">
              <w:rPr>
                <w:sz w:val="28"/>
                <w:szCs w:val="28"/>
                <w:rtl/>
              </w:rPr>
              <w:t>تحديد كل المخاطر التي قد تهدد السمعة.</w:t>
            </w:r>
          </w:p>
        </w:tc>
      </w:tr>
      <w:tr w:rsidR="00382808" w:rsidRPr="00FC6B46" w:rsidTr="00473606">
        <w:trPr>
          <w:trHeight w:val="1184"/>
        </w:trPr>
        <w:tc>
          <w:tcPr>
            <w:tcW w:w="1311" w:type="pct"/>
            <w:shd w:val="clear" w:color="auto" w:fill="A6A6A6"/>
            <w:vAlign w:val="center"/>
          </w:tcPr>
          <w:p w:rsidR="00367029" w:rsidRPr="00FC6B46" w:rsidRDefault="00FD3DBF"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المخاطر الاستراتيجية التي تواجه الجمعية الوطنية/"الحركة"</w:t>
            </w:r>
          </w:p>
        </w:tc>
        <w:tc>
          <w:tcPr>
            <w:tcW w:w="457" w:type="pct"/>
            <w:shd w:val="clear" w:color="auto" w:fill="F3F3F3"/>
          </w:tcPr>
          <w:p w:rsidR="00367029" w:rsidRPr="00FC6B46" w:rsidRDefault="00367029" w:rsidP="00FC6B46">
            <w:pPr>
              <w:bidi/>
              <w:spacing w:before="20" w:after="20"/>
              <w:rPr>
                <w:rFonts w:cs="Arial"/>
                <w:i/>
                <w:sz w:val="28"/>
                <w:szCs w:val="28"/>
                <w:lang w:val="en-GB"/>
              </w:rPr>
            </w:pPr>
          </w:p>
        </w:tc>
        <w:tc>
          <w:tcPr>
            <w:tcW w:w="1062" w:type="pct"/>
            <w:shd w:val="clear" w:color="auto" w:fill="F3F3F3"/>
            <w:vAlign w:val="center"/>
          </w:tcPr>
          <w:p w:rsidR="00367029" w:rsidRPr="00FC6B46" w:rsidRDefault="00367029" w:rsidP="00FC6B46">
            <w:pPr>
              <w:bidi/>
              <w:spacing w:before="20" w:after="20"/>
              <w:rPr>
                <w:rFonts w:cs="Arial"/>
                <w:sz w:val="28"/>
                <w:szCs w:val="28"/>
                <w:lang w:val="en-GB"/>
              </w:rPr>
            </w:pPr>
          </w:p>
        </w:tc>
        <w:tc>
          <w:tcPr>
            <w:tcW w:w="2170" w:type="pct"/>
            <w:shd w:val="clear" w:color="auto" w:fill="E6E6E6"/>
            <w:vAlign w:val="center"/>
          </w:tcPr>
          <w:p w:rsidR="00692E0E" w:rsidRPr="00FC6B46" w:rsidRDefault="00692E0E" w:rsidP="00FC6B46">
            <w:pPr>
              <w:pStyle w:val="BulletTableau"/>
              <w:framePr w:wrap="around"/>
              <w:bidi/>
              <w:spacing w:beforeLines="0" w:afterLines="0"/>
              <w:rPr>
                <w:sz w:val="28"/>
                <w:szCs w:val="28"/>
              </w:rPr>
            </w:pPr>
            <w:r w:rsidRPr="00FC6B46">
              <w:rPr>
                <w:sz w:val="28"/>
                <w:szCs w:val="28"/>
                <w:rtl/>
              </w:rPr>
              <w:t>التأكد من امتثال برامج التحويلات النقدية للقوانين الوطنية.</w:t>
            </w:r>
          </w:p>
          <w:p w:rsidR="00692E0E" w:rsidRPr="00FC6B46" w:rsidRDefault="00692E0E" w:rsidP="00FC6B46">
            <w:pPr>
              <w:pStyle w:val="BulletTableau"/>
              <w:framePr w:wrap="around"/>
              <w:bidi/>
              <w:spacing w:beforeLines="0" w:afterLines="0"/>
              <w:rPr>
                <w:sz w:val="28"/>
                <w:szCs w:val="28"/>
              </w:rPr>
            </w:pPr>
            <w:r w:rsidRPr="00FC6B46">
              <w:rPr>
                <w:sz w:val="28"/>
                <w:szCs w:val="28"/>
                <w:rtl/>
              </w:rPr>
              <w:t>التأكد من امتثال برامج التحويلات النقدية لقوانين "الحركة".</w:t>
            </w:r>
          </w:p>
          <w:p w:rsidR="00692E0E" w:rsidRPr="00FC6B46" w:rsidRDefault="00692E0E" w:rsidP="00FC6B46">
            <w:pPr>
              <w:pStyle w:val="BulletTableau"/>
              <w:framePr w:wrap="around"/>
              <w:bidi/>
              <w:spacing w:beforeLines="0" w:afterLines="0"/>
              <w:rPr>
                <w:sz w:val="28"/>
                <w:szCs w:val="28"/>
              </w:rPr>
            </w:pPr>
            <w:r w:rsidRPr="00FC6B46">
              <w:rPr>
                <w:sz w:val="28"/>
                <w:szCs w:val="28"/>
                <w:rtl/>
              </w:rPr>
              <w:t>تعميم التدابير التشغيلية المعيارية على كل الجهات المعنية.</w:t>
            </w:r>
          </w:p>
          <w:p w:rsidR="00692E0E" w:rsidRPr="00FC6B46" w:rsidRDefault="00692E0E" w:rsidP="00FC6B46">
            <w:pPr>
              <w:pStyle w:val="BulletTableau"/>
              <w:framePr w:wrap="around"/>
              <w:bidi/>
              <w:spacing w:beforeLines="0" w:afterLines="0"/>
              <w:rPr>
                <w:sz w:val="28"/>
                <w:szCs w:val="28"/>
              </w:rPr>
            </w:pPr>
            <w:r w:rsidRPr="00FC6B46">
              <w:rPr>
                <w:sz w:val="28"/>
                <w:szCs w:val="28"/>
                <w:rtl/>
              </w:rPr>
              <w:t>التنسيق بين اجراءات التحويلات النقدية وتدابير إدارة المساعدات العينية.</w:t>
            </w:r>
          </w:p>
          <w:p w:rsidR="00367029" w:rsidRPr="00FC6B46" w:rsidRDefault="00367029" w:rsidP="00FC6B46">
            <w:pPr>
              <w:pStyle w:val="BulletTableau"/>
              <w:framePr w:wrap="around"/>
              <w:numPr>
                <w:ilvl w:val="0"/>
                <w:numId w:val="0"/>
              </w:numPr>
              <w:bidi/>
              <w:spacing w:beforeLines="0" w:afterLines="0"/>
              <w:rPr>
                <w:sz w:val="28"/>
                <w:szCs w:val="28"/>
              </w:rPr>
            </w:pPr>
            <w:r w:rsidRPr="00FC6B46">
              <w:rPr>
                <w:sz w:val="28"/>
                <w:szCs w:val="28"/>
              </w:rPr>
              <w:t xml:space="preserve"> </w:t>
            </w:r>
          </w:p>
        </w:tc>
      </w:tr>
      <w:tr w:rsidR="00382808" w:rsidRPr="00FC6B46" w:rsidTr="00473606">
        <w:trPr>
          <w:trHeight w:val="573"/>
        </w:trPr>
        <w:tc>
          <w:tcPr>
            <w:tcW w:w="1311" w:type="pct"/>
            <w:shd w:val="clear" w:color="auto" w:fill="A6A6A6"/>
            <w:vAlign w:val="center"/>
          </w:tcPr>
          <w:p w:rsidR="00367029" w:rsidRPr="00FC6B46" w:rsidRDefault="00FD3DBF"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t>المخاطر المرتبطة بالعلاقة مع الجهات الفاعلة</w:t>
            </w:r>
          </w:p>
        </w:tc>
        <w:tc>
          <w:tcPr>
            <w:tcW w:w="457" w:type="pct"/>
            <w:shd w:val="clear" w:color="auto" w:fill="F3F3F3"/>
          </w:tcPr>
          <w:p w:rsidR="00367029" w:rsidRPr="00FC6B46" w:rsidRDefault="00367029" w:rsidP="00FC6B46">
            <w:pPr>
              <w:bidi/>
              <w:spacing w:before="20" w:after="20"/>
              <w:contextualSpacing/>
              <w:rPr>
                <w:rFonts w:cs="Arial"/>
                <w:b/>
                <w:bCs/>
                <w:color w:val="000000"/>
                <w:sz w:val="28"/>
                <w:szCs w:val="28"/>
                <w:lang w:val="en-GB" w:eastAsia="en-GB"/>
              </w:rPr>
            </w:pPr>
          </w:p>
        </w:tc>
        <w:tc>
          <w:tcPr>
            <w:tcW w:w="1062" w:type="pct"/>
            <w:shd w:val="clear" w:color="auto" w:fill="F3F3F3"/>
            <w:vAlign w:val="center"/>
          </w:tcPr>
          <w:p w:rsidR="00367029" w:rsidRPr="00FC6B46" w:rsidRDefault="00367029" w:rsidP="00FC6B46">
            <w:pPr>
              <w:bidi/>
              <w:spacing w:before="20" w:after="20"/>
              <w:rPr>
                <w:rFonts w:cs="Arial"/>
                <w:sz w:val="28"/>
                <w:szCs w:val="28"/>
                <w:lang w:val="en-GB"/>
              </w:rPr>
            </w:pPr>
          </w:p>
        </w:tc>
        <w:tc>
          <w:tcPr>
            <w:tcW w:w="2170" w:type="pct"/>
            <w:tcBorders>
              <w:bottom w:val="single" w:sz="4" w:space="0" w:color="auto"/>
            </w:tcBorders>
            <w:shd w:val="clear" w:color="auto" w:fill="E6E6E6"/>
            <w:vAlign w:val="center"/>
          </w:tcPr>
          <w:p w:rsidR="00794B49" w:rsidRPr="00FC6B46" w:rsidRDefault="00794B49" w:rsidP="00FC6B46">
            <w:pPr>
              <w:pStyle w:val="BulletTableau"/>
              <w:framePr w:wrap="around"/>
              <w:bidi/>
              <w:spacing w:beforeLines="0" w:afterLines="0"/>
              <w:rPr>
                <w:sz w:val="28"/>
                <w:szCs w:val="28"/>
              </w:rPr>
            </w:pPr>
            <w:r w:rsidRPr="00FC6B46">
              <w:rPr>
                <w:sz w:val="28"/>
                <w:szCs w:val="28"/>
                <w:rtl/>
              </w:rPr>
              <w:t xml:space="preserve">التأكد من تناسق نشاطات برامج التحويلات النقدية </w:t>
            </w:r>
            <w:r w:rsidR="0033166A" w:rsidRPr="00FC6B46">
              <w:rPr>
                <w:sz w:val="28"/>
                <w:szCs w:val="28"/>
                <w:rtl/>
              </w:rPr>
              <w:t xml:space="preserve">مع </w:t>
            </w:r>
            <w:r w:rsidRPr="00FC6B46">
              <w:rPr>
                <w:sz w:val="28"/>
                <w:szCs w:val="28"/>
                <w:rtl/>
              </w:rPr>
              <w:t xml:space="preserve">نشاطات </w:t>
            </w:r>
            <w:r w:rsidR="0033166A" w:rsidRPr="00FC6B46">
              <w:rPr>
                <w:sz w:val="28"/>
                <w:szCs w:val="28"/>
                <w:rtl/>
              </w:rPr>
              <w:t xml:space="preserve">الجهات الفاعلة </w:t>
            </w:r>
            <w:r w:rsidRPr="00FC6B46">
              <w:rPr>
                <w:sz w:val="28"/>
                <w:szCs w:val="28"/>
                <w:rtl/>
              </w:rPr>
              <w:t>الإنسانية الأخرى (قيمة التحويل، آليات التسليم، الاستهداف، إلخ.)</w:t>
            </w:r>
          </w:p>
        </w:tc>
      </w:tr>
      <w:tr w:rsidR="00382808" w:rsidRPr="00FC6B46" w:rsidTr="00473606">
        <w:tc>
          <w:tcPr>
            <w:tcW w:w="1311" w:type="pct"/>
            <w:shd w:val="clear" w:color="auto" w:fill="A6A6A6"/>
            <w:vAlign w:val="center"/>
          </w:tcPr>
          <w:p w:rsidR="00367029" w:rsidRPr="00FC6B46" w:rsidRDefault="00FD3DBF" w:rsidP="00FC6B46">
            <w:pPr>
              <w:bidi/>
              <w:spacing w:before="20" w:after="20"/>
              <w:rPr>
                <w:rFonts w:cs="Arial"/>
                <w:b/>
                <w:bCs/>
                <w:color w:val="000000"/>
                <w:sz w:val="28"/>
                <w:szCs w:val="28"/>
                <w:lang w:val="en-GB" w:eastAsia="en-GB"/>
              </w:rPr>
            </w:pPr>
            <w:r w:rsidRPr="00FC6B46">
              <w:rPr>
                <w:rFonts w:cs="Arial"/>
                <w:b/>
                <w:bCs/>
                <w:color w:val="000000"/>
                <w:sz w:val="28"/>
                <w:szCs w:val="28"/>
                <w:rtl/>
                <w:lang w:val="en-GB" w:eastAsia="en-GB"/>
              </w:rPr>
              <w:lastRenderedPageBreak/>
              <w:t>مخاطر أخرى</w:t>
            </w:r>
          </w:p>
        </w:tc>
        <w:tc>
          <w:tcPr>
            <w:tcW w:w="457" w:type="pct"/>
            <w:shd w:val="clear" w:color="auto" w:fill="F3F3F3"/>
            <w:vAlign w:val="center"/>
          </w:tcPr>
          <w:p w:rsidR="00367029" w:rsidRPr="00FC6B46" w:rsidRDefault="00367029" w:rsidP="00FC6B46">
            <w:pPr>
              <w:bidi/>
              <w:spacing w:before="360" w:after="240"/>
              <w:rPr>
                <w:rFonts w:cs="Arial"/>
                <w:sz w:val="28"/>
                <w:szCs w:val="28"/>
                <w:lang w:val="en-GB"/>
              </w:rPr>
            </w:pPr>
          </w:p>
        </w:tc>
        <w:tc>
          <w:tcPr>
            <w:tcW w:w="1062" w:type="pct"/>
            <w:shd w:val="clear" w:color="auto" w:fill="F3F3F3"/>
            <w:vAlign w:val="center"/>
          </w:tcPr>
          <w:p w:rsidR="00367029" w:rsidRPr="00FC6B46" w:rsidRDefault="00367029" w:rsidP="00FC6B46">
            <w:pPr>
              <w:bidi/>
              <w:spacing w:before="360" w:after="240"/>
              <w:rPr>
                <w:rFonts w:cs="Arial"/>
                <w:sz w:val="28"/>
                <w:szCs w:val="28"/>
                <w:lang w:val="en-GB"/>
              </w:rPr>
            </w:pPr>
          </w:p>
        </w:tc>
        <w:tc>
          <w:tcPr>
            <w:tcW w:w="2170" w:type="pct"/>
            <w:shd w:val="clear" w:color="auto" w:fill="E6E6E6"/>
            <w:vAlign w:val="center"/>
          </w:tcPr>
          <w:p w:rsidR="00367029" w:rsidRPr="00FC6B46" w:rsidRDefault="00367029" w:rsidP="00FC6B46">
            <w:pPr>
              <w:bidi/>
              <w:spacing w:before="360" w:after="240"/>
              <w:rPr>
                <w:rFonts w:cs="Arial"/>
                <w:sz w:val="28"/>
                <w:szCs w:val="28"/>
                <w:lang w:val="en-GB"/>
              </w:rPr>
            </w:pPr>
          </w:p>
        </w:tc>
      </w:tr>
    </w:tbl>
    <w:p w:rsidR="000F5173" w:rsidRPr="00FC6B46" w:rsidRDefault="000F5173" w:rsidP="00FC6B46">
      <w:pPr>
        <w:tabs>
          <w:tab w:val="left" w:pos="6064"/>
        </w:tabs>
        <w:bidi/>
        <w:rPr>
          <w:rFonts w:cs="Arial"/>
          <w:sz w:val="28"/>
          <w:szCs w:val="28"/>
        </w:rPr>
      </w:pPr>
    </w:p>
    <w:sectPr w:rsidR="000F5173" w:rsidRPr="00FC6B46" w:rsidSect="00261765">
      <w:headerReference w:type="default" r:id="rId8"/>
      <w:footerReference w:type="even" r:id="rId9"/>
      <w:footerReference w:type="default" r:id="rId10"/>
      <w:headerReference w:type="first" r:id="rId11"/>
      <w:footerReference w:type="first" r:id="rId12"/>
      <w:pgSz w:w="15840" w:h="12240" w:orient="landscape"/>
      <w:pgMar w:top="1080" w:right="956" w:bottom="1080" w:left="1134" w:header="426"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26F" w:rsidRDefault="00FE226F" w:rsidP="009F17AC">
      <w:pPr>
        <w:spacing w:after="0"/>
      </w:pPr>
      <w:r>
        <w:separator/>
      </w:r>
    </w:p>
  </w:endnote>
  <w:endnote w:type="continuationSeparator" w:id="1">
    <w:p w:rsidR="00FE226F" w:rsidRDefault="00FE226F" w:rsidP="009F17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4A" w:rsidRDefault="00924480" w:rsidP="007E65CA">
    <w:pPr>
      <w:pStyle w:val="Footer"/>
      <w:framePr w:wrap="around" w:vAnchor="text" w:hAnchor="margin" w:xAlign="center" w:y="1"/>
      <w:rPr>
        <w:rStyle w:val="PageNumber"/>
      </w:rPr>
    </w:pPr>
    <w:r>
      <w:rPr>
        <w:rStyle w:val="PageNumber"/>
      </w:rPr>
      <w:fldChar w:fldCharType="begin"/>
    </w:r>
    <w:r w:rsidR="00A10B4A">
      <w:rPr>
        <w:rStyle w:val="PageNumber"/>
      </w:rPr>
      <w:instrText xml:space="preserve">PAGE  </w:instrText>
    </w:r>
    <w:r>
      <w:rPr>
        <w:rStyle w:val="PageNumber"/>
      </w:rPr>
      <w:fldChar w:fldCharType="end"/>
    </w:r>
  </w:p>
  <w:p w:rsidR="00A10B4A" w:rsidRDefault="00924480" w:rsidP="007E65CA">
    <w:pPr>
      <w:pStyle w:val="Footer"/>
      <w:framePr w:wrap="around" w:vAnchor="text" w:hAnchor="margin" w:xAlign="center" w:y="1"/>
      <w:rPr>
        <w:rStyle w:val="PageNumber"/>
      </w:rPr>
    </w:pPr>
    <w:r>
      <w:rPr>
        <w:rStyle w:val="PageNumber"/>
      </w:rPr>
      <w:fldChar w:fldCharType="begin"/>
    </w:r>
    <w:r w:rsidR="00A10B4A">
      <w:rPr>
        <w:rStyle w:val="PageNumber"/>
      </w:rPr>
      <w:instrText xml:space="preserve">PAGE  </w:instrText>
    </w:r>
    <w:r>
      <w:rPr>
        <w:rStyle w:val="PageNumber"/>
      </w:rPr>
      <w:fldChar w:fldCharType="end"/>
    </w:r>
  </w:p>
  <w:p w:rsidR="00A10B4A" w:rsidRDefault="00A10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C1" w:rsidRPr="00B45C74" w:rsidRDefault="00924480"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E43CC1"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FC6B46">
      <w:rPr>
        <w:b/>
        <w:noProof/>
        <w:color w:val="808080" w:themeColor="background1" w:themeShade="80"/>
        <w:sz w:val="18"/>
        <w:szCs w:val="18"/>
      </w:rPr>
      <w:t>1</w:t>
    </w:r>
    <w:r w:rsidRPr="00B45C74">
      <w:rPr>
        <w:b/>
        <w:color w:val="808080" w:themeColor="background1" w:themeShade="80"/>
        <w:sz w:val="18"/>
        <w:szCs w:val="18"/>
      </w:rPr>
      <w:fldChar w:fldCharType="end"/>
    </w:r>
  </w:p>
  <w:p w:rsidR="00E43CC1" w:rsidRPr="003A3500" w:rsidRDefault="00E43CC1" w:rsidP="00ED1B2B">
    <w:pPr>
      <w:pStyle w:val="Footer"/>
    </w:pPr>
    <w:r w:rsidRPr="00107E15">
      <w:rPr>
        <w:b/>
      </w:rPr>
      <w:t xml:space="preserve">Module </w:t>
    </w:r>
    <w:r>
      <w:rPr>
        <w:b/>
      </w:rPr>
      <w:t>3</w:t>
    </w:r>
    <w:r w:rsidRPr="00107E15">
      <w:rPr>
        <w:b/>
      </w:rPr>
      <w:t>.</w:t>
    </w:r>
    <w:r w:rsidRPr="00107E15">
      <w:t xml:space="preserve"> Step </w:t>
    </w:r>
    <w:r>
      <w:t>1</w:t>
    </w:r>
    <w:r w:rsidRPr="00107E15">
      <w:t>.</w:t>
    </w:r>
    <w:r>
      <w:t xml:space="preserve"> Sub-step 4. </w:t>
    </w:r>
    <w:fldSimple w:instr=" STYLEREF  H1 \t  \* MERGEFORMAT ">
      <w:r w:rsidR="00FC6B46">
        <w:rPr>
          <w:noProof/>
          <w:rtl/>
        </w:rPr>
        <w:t>مصفوفة المخاطر المتعلقة ببرامج التحويلات النقدية</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35" w:rsidRPr="00B45C74" w:rsidRDefault="00924480"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C70C35"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261765">
      <w:rPr>
        <w:b/>
        <w:noProof/>
        <w:color w:val="808080" w:themeColor="background1" w:themeShade="80"/>
        <w:sz w:val="18"/>
        <w:szCs w:val="18"/>
      </w:rPr>
      <w:t>1</w:t>
    </w:r>
    <w:r w:rsidRPr="00B45C74">
      <w:rPr>
        <w:b/>
        <w:color w:val="808080" w:themeColor="background1" w:themeShade="80"/>
        <w:sz w:val="18"/>
        <w:szCs w:val="18"/>
      </w:rPr>
      <w:fldChar w:fldCharType="end"/>
    </w:r>
  </w:p>
  <w:p w:rsidR="00C70C35" w:rsidRPr="00C70C35" w:rsidRDefault="00C70C35" w:rsidP="00ED1B2B">
    <w:pPr>
      <w:pStyle w:val="Footer"/>
    </w:pPr>
    <w:r w:rsidRPr="00107E15">
      <w:rPr>
        <w:b/>
      </w:rPr>
      <w:t xml:space="preserve">Module </w:t>
    </w:r>
    <w:r>
      <w:rPr>
        <w:b/>
      </w:rPr>
      <w:t>3</w:t>
    </w:r>
    <w:r w:rsidRPr="00107E15">
      <w:rPr>
        <w:b/>
      </w:rPr>
      <w:t>.</w:t>
    </w:r>
    <w:r w:rsidRPr="00107E15">
      <w:t xml:space="preserve"> Step </w:t>
    </w:r>
    <w:r>
      <w:t>1</w:t>
    </w:r>
    <w:r w:rsidRPr="00107E15">
      <w:t>.</w:t>
    </w:r>
    <w:r>
      <w:t xml:space="preserve"> Sub-step 4. </w:t>
    </w:r>
    <w:fldSimple w:instr=" STYLEREF  H1 \t  \* MERGEFORMAT ">
      <w:r w:rsidR="004E03E5" w:rsidRPr="004E03E5">
        <w:rPr>
          <w:bCs/>
          <w:noProof/>
        </w:rPr>
        <w:t>CTP Risk matrix template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26F" w:rsidRDefault="00FE226F" w:rsidP="009F17AC">
      <w:pPr>
        <w:spacing w:after="0"/>
      </w:pPr>
      <w:r>
        <w:separator/>
      </w:r>
    </w:p>
  </w:footnote>
  <w:footnote w:type="continuationSeparator" w:id="1">
    <w:p w:rsidR="00FE226F" w:rsidRDefault="00FE226F" w:rsidP="009F17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65" w:rsidRPr="00074036" w:rsidRDefault="00261765"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35" w:rsidRPr="00074036" w:rsidRDefault="00C70C35"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15E"/>
    <w:multiLevelType w:val="hybridMultilevel"/>
    <w:tmpl w:val="201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333309"/>
    <w:multiLevelType w:val="hybridMultilevel"/>
    <w:tmpl w:val="24DC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25F14"/>
    <w:multiLevelType w:val="hybridMultilevel"/>
    <w:tmpl w:val="BDB69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45CD5"/>
    <w:multiLevelType w:val="hybridMultilevel"/>
    <w:tmpl w:val="384C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6F137D"/>
    <w:multiLevelType w:val="hybridMultilevel"/>
    <w:tmpl w:val="A2E6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F65A77"/>
    <w:multiLevelType w:val="hybridMultilevel"/>
    <w:tmpl w:val="9A88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47361"/>
    <w:multiLevelType w:val="hybridMultilevel"/>
    <w:tmpl w:val="910E62A4"/>
    <w:lvl w:ilvl="0" w:tplc="A58EB5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813952"/>
    <w:multiLevelType w:val="hybridMultilevel"/>
    <w:tmpl w:val="6056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F2403"/>
    <w:multiLevelType w:val="hybridMultilevel"/>
    <w:tmpl w:val="5D7817D4"/>
    <w:lvl w:ilvl="0" w:tplc="33825C6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37C65"/>
    <w:multiLevelType w:val="hybridMultilevel"/>
    <w:tmpl w:val="5AF28E5C"/>
    <w:lvl w:ilvl="0" w:tplc="03BA573A">
      <w:start w:val="1"/>
      <w:numFmt w:val="decimal"/>
      <w:lvlText w:val="%1."/>
      <w:lvlJc w:val="left"/>
      <w:pPr>
        <w:ind w:left="4320" w:hanging="360"/>
      </w:pPr>
      <w:rPr>
        <w:rFonts w:hint="default"/>
        <w:sz w:val="21"/>
        <w:szCs w:val="21"/>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nsid w:val="391110E6"/>
    <w:multiLevelType w:val="hybridMultilevel"/>
    <w:tmpl w:val="D37A6FEA"/>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4A03238D"/>
    <w:multiLevelType w:val="hybridMultilevel"/>
    <w:tmpl w:val="02221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87277"/>
    <w:multiLevelType w:val="hybridMultilevel"/>
    <w:tmpl w:val="DB5607DE"/>
    <w:lvl w:ilvl="0" w:tplc="041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30" w:hanging="360"/>
      </w:pPr>
      <w:rPr>
        <w:rFonts w:ascii="Courier New" w:hAnsi="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15">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748325C"/>
    <w:multiLevelType w:val="hybridMultilevel"/>
    <w:tmpl w:val="421A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C0EAA"/>
    <w:multiLevelType w:val="hybridMultilevel"/>
    <w:tmpl w:val="7FE6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F53405"/>
    <w:multiLevelType w:val="hybridMultilevel"/>
    <w:tmpl w:val="E12A858A"/>
    <w:lvl w:ilvl="0" w:tplc="E5429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00240ED"/>
    <w:multiLevelType w:val="hybridMultilevel"/>
    <w:tmpl w:val="0F8E2298"/>
    <w:lvl w:ilvl="0" w:tplc="E5429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4C0B7C"/>
    <w:multiLevelType w:val="hybridMultilevel"/>
    <w:tmpl w:val="9AC88036"/>
    <w:lvl w:ilvl="0" w:tplc="E5429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705805"/>
    <w:multiLevelType w:val="hybridMultilevel"/>
    <w:tmpl w:val="100E5942"/>
    <w:lvl w:ilvl="0" w:tplc="E542903E">
      <w:start w:val="3"/>
      <w:numFmt w:val="bullet"/>
      <w:lvlText w:val="-"/>
      <w:lvlJc w:val="left"/>
      <w:pPr>
        <w:ind w:left="720" w:hanging="360"/>
      </w:pPr>
      <w:rPr>
        <w:rFonts w:ascii="Arial Narrow" w:eastAsiaTheme="minorHAnsi" w:hAnsi="Arial Narrow" w:cs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23"/>
  </w:num>
  <w:num w:numId="5">
    <w:abstractNumId w:val="13"/>
  </w:num>
  <w:num w:numId="6">
    <w:abstractNumId w:val="24"/>
  </w:num>
  <w:num w:numId="7">
    <w:abstractNumId w:val="2"/>
  </w:num>
  <w:num w:numId="8">
    <w:abstractNumId w:val="7"/>
  </w:num>
  <w:num w:numId="9">
    <w:abstractNumId w:val="8"/>
  </w:num>
  <w:num w:numId="10">
    <w:abstractNumId w:val="6"/>
  </w:num>
  <w:num w:numId="11">
    <w:abstractNumId w:val="17"/>
  </w:num>
  <w:num w:numId="12">
    <w:abstractNumId w:val="16"/>
  </w:num>
  <w:num w:numId="13">
    <w:abstractNumId w:val="21"/>
  </w:num>
  <w:num w:numId="14">
    <w:abstractNumId w:val="1"/>
  </w:num>
  <w:num w:numId="15">
    <w:abstractNumId w:val="14"/>
  </w:num>
  <w:num w:numId="16">
    <w:abstractNumId w:val="5"/>
  </w:num>
  <w:num w:numId="17">
    <w:abstractNumId w:val="22"/>
  </w:num>
  <w:num w:numId="18">
    <w:abstractNumId w:val="0"/>
  </w:num>
  <w:num w:numId="19">
    <w:abstractNumId w:val="3"/>
  </w:num>
  <w:num w:numId="20">
    <w:abstractNumId w:val="4"/>
  </w:num>
  <w:num w:numId="21">
    <w:abstractNumId w:val="15"/>
  </w:num>
  <w:num w:numId="22">
    <w:abstractNumId w:val="9"/>
  </w:num>
  <w:num w:numId="23">
    <w:abstractNumId w:val="18"/>
  </w:num>
  <w:num w:numId="24">
    <w:abstractNumId w:val="2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linkStyles/>
  <w:defaultTabStop w:val="720"/>
  <w:characterSpacingControl w:val="doNotCompress"/>
  <w:footnotePr>
    <w:footnote w:id="0"/>
    <w:footnote w:id="1"/>
  </w:footnotePr>
  <w:endnotePr>
    <w:endnote w:id="0"/>
    <w:endnote w:id="1"/>
  </w:endnotePr>
  <w:compat/>
  <w:rsids>
    <w:rsidRoot w:val="00383266"/>
    <w:rsid w:val="00007566"/>
    <w:rsid w:val="0001108D"/>
    <w:rsid w:val="000151E2"/>
    <w:rsid w:val="0001528D"/>
    <w:rsid w:val="00016828"/>
    <w:rsid w:val="0002045F"/>
    <w:rsid w:val="00022D60"/>
    <w:rsid w:val="0002379E"/>
    <w:rsid w:val="00031586"/>
    <w:rsid w:val="00032432"/>
    <w:rsid w:val="00035641"/>
    <w:rsid w:val="00035BB4"/>
    <w:rsid w:val="0003766D"/>
    <w:rsid w:val="00037FC8"/>
    <w:rsid w:val="0004307C"/>
    <w:rsid w:val="000440E6"/>
    <w:rsid w:val="0004447C"/>
    <w:rsid w:val="000454B0"/>
    <w:rsid w:val="0004592F"/>
    <w:rsid w:val="00046589"/>
    <w:rsid w:val="00047047"/>
    <w:rsid w:val="00056DB7"/>
    <w:rsid w:val="0007128C"/>
    <w:rsid w:val="00076CF6"/>
    <w:rsid w:val="00080236"/>
    <w:rsid w:val="00086DFA"/>
    <w:rsid w:val="00090EA8"/>
    <w:rsid w:val="00092C23"/>
    <w:rsid w:val="00092C4C"/>
    <w:rsid w:val="000A2F9C"/>
    <w:rsid w:val="000A6F67"/>
    <w:rsid w:val="000B108D"/>
    <w:rsid w:val="000B1792"/>
    <w:rsid w:val="000B7123"/>
    <w:rsid w:val="000C1AB6"/>
    <w:rsid w:val="000C7DC3"/>
    <w:rsid w:val="000D4D05"/>
    <w:rsid w:val="000E0B4C"/>
    <w:rsid w:val="000F467B"/>
    <w:rsid w:val="000F475E"/>
    <w:rsid w:val="000F4A06"/>
    <w:rsid w:val="000F5173"/>
    <w:rsid w:val="000F7628"/>
    <w:rsid w:val="0010318B"/>
    <w:rsid w:val="00103AD2"/>
    <w:rsid w:val="00104E1E"/>
    <w:rsid w:val="00110FB0"/>
    <w:rsid w:val="00112D9B"/>
    <w:rsid w:val="00114BA6"/>
    <w:rsid w:val="00116AB9"/>
    <w:rsid w:val="00122DBE"/>
    <w:rsid w:val="001239B8"/>
    <w:rsid w:val="00126B26"/>
    <w:rsid w:val="00130822"/>
    <w:rsid w:val="001469CE"/>
    <w:rsid w:val="0015023A"/>
    <w:rsid w:val="00153F5F"/>
    <w:rsid w:val="001556E3"/>
    <w:rsid w:val="00162096"/>
    <w:rsid w:val="0016673E"/>
    <w:rsid w:val="001678D3"/>
    <w:rsid w:val="00167F5B"/>
    <w:rsid w:val="00171770"/>
    <w:rsid w:val="001743E5"/>
    <w:rsid w:val="001756CA"/>
    <w:rsid w:val="00175DBF"/>
    <w:rsid w:val="00176459"/>
    <w:rsid w:val="00176F0D"/>
    <w:rsid w:val="00177BBF"/>
    <w:rsid w:val="0018206E"/>
    <w:rsid w:val="0018500F"/>
    <w:rsid w:val="001878E6"/>
    <w:rsid w:val="00190030"/>
    <w:rsid w:val="00197636"/>
    <w:rsid w:val="001A23BE"/>
    <w:rsid w:val="001A503B"/>
    <w:rsid w:val="001A5149"/>
    <w:rsid w:val="001B1307"/>
    <w:rsid w:val="001B1B44"/>
    <w:rsid w:val="001B37D4"/>
    <w:rsid w:val="001B4811"/>
    <w:rsid w:val="001B6794"/>
    <w:rsid w:val="001C0615"/>
    <w:rsid w:val="001C17D0"/>
    <w:rsid w:val="001D00B7"/>
    <w:rsid w:val="001D2397"/>
    <w:rsid w:val="001D3D8E"/>
    <w:rsid w:val="001D6754"/>
    <w:rsid w:val="001E263C"/>
    <w:rsid w:val="001E3EB2"/>
    <w:rsid w:val="001F115D"/>
    <w:rsid w:val="001F1AD4"/>
    <w:rsid w:val="001F2CEC"/>
    <w:rsid w:val="001F4A01"/>
    <w:rsid w:val="001F6715"/>
    <w:rsid w:val="0020156D"/>
    <w:rsid w:val="002017C8"/>
    <w:rsid w:val="002052CD"/>
    <w:rsid w:val="0020619B"/>
    <w:rsid w:val="002133B9"/>
    <w:rsid w:val="002136D9"/>
    <w:rsid w:val="00213C27"/>
    <w:rsid w:val="00214372"/>
    <w:rsid w:val="00214BE8"/>
    <w:rsid w:val="0021612C"/>
    <w:rsid w:val="00216435"/>
    <w:rsid w:val="00217009"/>
    <w:rsid w:val="00217DE9"/>
    <w:rsid w:val="002232FD"/>
    <w:rsid w:val="002240C9"/>
    <w:rsid w:val="002254BC"/>
    <w:rsid w:val="002266BA"/>
    <w:rsid w:val="00234A56"/>
    <w:rsid w:val="002402B8"/>
    <w:rsid w:val="00241436"/>
    <w:rsid w:val="00242F69"/>
    <w:rsid w:val="00243D1D"/>
    <w:rsid w:val="002458F6"/>
    <w:rsid w:val="00254999"/>
    <w:rsid w:val="00261765"/>
    <w:rsid w:val="00264E37"/>
    <w:rsid w:val="00270868"/>
    <w:rsid w:val="0027142E"/>
    <w:rsid w:val="00271F0A"/>
    <w:rsid w:val="002723C8"/>
    <w:rsid w:val="00277D5F"/>
    <w:rsid w:val="00281A8C"/>
    <w:rsid w:val="00282E1F"/>
    <w:rsid w:val="0028435D"/>
    <w:rsid w:val="002925EE"/>
    <w:rsid w:val="002937CF"/>
    <w:rsid w:val="002946C0"/>
    <w:rsid w:val="00296CB4"/>
    <w:rsid w:val="00297E50"/>
    <w:rsid w:val="002A0C8A"/>
    <w:rsid w:val="002A25CC"/>
    <w:rsid w:val="002A517D"/>
    <w:rsid w:val="002B30FA"/>
    <w:rsid w:val="002B6BB9"/>
    <w:rsid w:val="002C021E"/>
    <w:rsid w:val="002C10C0"/>
    <w:rsid w:val="002C5625"/>
    <w:rsid w:val="002D2E06"/>
    <w:rsid w:val="002D490B"/>
    <w:rsid w:val="002D52D7"/>
    <w:rsid w:val="002E0259"/>
    <w:rsid w:val="002E24F1"/>
    <w:rsid w:val="002E3933"/>
    <w:rsid w:val="002E4A8C"/>
    <w:rsid w:val="002E6505"/>
    <w:rsid w:val="002F17AD"/>
    <w:rsid w:val="002F7239"/>
    <w:rsid w:val="003024EA"/>
    <w:rsid w:val="0030405F"/>
    <w:rsid w:val="00310174"/>
    <w:rsid w:val="00317388"/>
    <w:rsid w:val="00320610"/>
    <w:rsid w:val="003239DC"/>
    <w:rsid w:val="00324B6E"/>
    <w:rsid w:val="0033166A"/>
    <w:rsid w:val="00336FDA"/>
    <w:rsid w:val="00337857"/>
    <w:rsid w:val="0034179F"/>
    <w:rsid w:val="00342ABC"/>
    <w:rsid w:val="00344DC9"/>
    <w:rsid w:val="003502B5"/>
    <w:rsid w:val="003550CD"/>
    <w:rsid w:val="00355DB6"/>
    <w:rsid w:val="00360569"/>
    <w:rsid w:val="00360FFB"/>
    <w:rsid w:val="00367029"/>
    <w:rsid w:val="00371EB5"/>
    <w:rsid w:val="003722B7"/>
    <w:rsid w:val="00372795"/>
    <w:rsid w:val="00372CAD"/>
    <w:rsid w:val="003762AB"/>
    <w:rsid w:val="00376C33"/>
    <w:rsid w:val="00382808"/>
    <w:rsid w:val="00383266"/>
    <w:rsid w:val="0038612B"/>
    <w:rsid w:val="00395FA5"/>
    <w:rsid w:val="00397E8F"/>
    <w:rsid w:val="003A3F05"/>
    <w:rsid w:val="003A4E16"/>
    <w:rsid w:val="003A6859"/>
    <w:rsid w:val="003B403D"/>
    <w:rsid w:val="003B686E"/>
    <w:rsid w:val="003B7F40"/>
    <w:rsid w:val="003C447F"/>
    <w:rsid w:val="003C4FF2"/>
    <w:rsid w:val="003C5DCF"/>
    <w:rsid w:val="003C756E"/>
    <w:rsid w:val="003C7D18"/>
    <w:rsid w:val="003E615F"/>
    <w:rsid w:val="003E7CC6"/>
    <w:rsid w:val="003F08A8"/>
    <w:rsid w:val="003F4D8A"/>
    <w:rsid w:val="003F782F"/>
    <w:rsid w:val="00400E54"/>
    <w:rsid w:val="004024B3"/>
    <w:rsid w:val="004026F7"/>
    <w:rsid w:val="00402C6F"/>
    <w:rsid w:val="00405ECF"/>
    <w:rsid w:val="00406F6D"/>
    <w:rsid w:val="00407E82"/>
    <w:rsid w:val="004109F0"/>
    <w:rsid w:val="00411093"/>
    <w:rsid w:val="00412A67"/>
    <w:rsid w:val="00412D22"/>
    <w:rsid w:val="00421AF7"/>
    <w:rsid w:val="00422437"/>
    <w:rsid w:val="00432501"/>
    <w:rsid w:val="00434784"/>
    <w:rsid w:val="00434ACC"/>
    <w:rsid w:val="00446BA3"/>
    <w:rsid w:val="00452FF5"/>
    <w:rsid w:val="0045564F"/>
    <w:rsid w:val="004557C1"/>
    <w:rsid w:val="00462A11"/>
    <w:rsid w:val="0046343A"/>
    <w:rsid w:val="00465ED0"/>
    <w:rsid w:val="00470EBE"/>
    <w:rsid w:val="00473606"/>
    <w:rsid w:val="00473D0D"/>
    <w:rsid w:val="00473E42"/>
    <w:rsid w:val="00482168"/>
    <w:rsid w:val="00483C30"/>
    <w:rsid w:val="004863E6"/>
    <w:rsid w:val="004872CC"/>
    <w:rsid w:val="004878C3"/>
    <w:rsid w:val="0049011E"/>
    <w:rsid w:val="00495DCA"/>
    <w:rsid w:val="00496D2E"/>
    <w:rsid w:val="004A1F18"/>
    <w:rsid w:val="004A2255"/>
    <w:rsid w:val="004A43DA"/>
    <w:rsid w:val="004A4497"/>
    <w:rsid w:val="004B236A"/>
    <w:rsid w:val="004B3A3B"/>
    <w:rsid w:val="004B5775"/>
    <w:rsid w:val="004B5B05"/>
    <w:rsid w:val="004B5B94"/>
    <w:rsid w:val="004C3CBC"/>
    <w:rsid w:val="004D737B"/>
    <w:rsid w:val="004D7C8E"/>
    <w:rsid w:val="004E03E5"/>
    <w:rsid w:val="004E40F6"/>
    <w:rsid w:val="004E7581"/>
    <w:rsid w:val="004F083A"/>
    <w:rsid w:val="004F27BD"/>
    <w:rsid w:val="004F2F08"/>
    <w:rsid w:val="004F7CB0"/>
    <w:rsid w:val="004F7EB3"/>
    <w:rsid w:val="00502BAC"/>
    <w:rsid w:val="00502CCB"/>
    <w:rsid w:val="00511BCA"/>
    <w:rsid w:val="00511FBB"/>
    <w:rsid w:val="005212AB"/>
    <w:rsid w:val="005236E0"/>
    <w:rsid w:val="00526149"/>
    <w:rsid w:val="0052794C"/>
    <w:rsid w:val="00531F99"/>
    <w:rsid w:val="00535BE6"/>
    <w:rsid w:val="0053757D"/>
    <w:rsid w:val="00540300"/>
    <w:rsid w:val="00540424"/>
    <w:rsid w:val="005411FD"/>
    <w:rsid w:val="00543EB2"/>
    <w:rsid w:val="00545844"/>
    <w:rsid w:val="00547FE2"/>
    <w:rsid w:val="005713BC"/>
    <w:rsid w:val="00572A94"/>
    <w:rsid w:val="0058137E"/>
    <w:rsid w:val="00581B1F"/>
    <w:rsid w:val="00584D69"/>
    <w:rsid w:val="0059496F"/>
    <w:rsid w:val="005A22F8"/>
    <w:rsid w:val="005A2C3A"/>
    <w:rsid w:val="005C6185"/>
    <w:rsid w:val="005D1501"/>
    <w:rsid w:val="005D6A87"/>
    <w:rsid w:val="005D6AC0"/>
    <w:rsid w:val="005D73F2"/>
    <w:rsid w:val="005E04A1"/>
    <w:rsid w:val="005E07B3"/>
    <w:rsid w:val="005E0EB6"/>
    <w:rsid w:val="005E1403"/>
    <w:rsid w:val="005E4825"/>
    <w:rsid w:val="005F18D4"/>
    <w:rsid w:val="005F3891"/>
    <w:rsid w:val="005F4ECE"/>
    <w:rsid w:val="005F675D"/>
    <w:rsid w:val="005F7EAC"/>
    <w:rsid w:val="0060753A"/>
    <w:rsid w:val="00613114"/>
    <w:rsid w:val="00620C76"/>
    <w:rsid w:val="00621904"/>
    <w:rsid w:val="00622B10"/>
    <w:rsid w:val="00623360"/>
    <w:rsid w:val="00626783"/>
    <w:rsid w:val="0063573C"/>
    <w:rsid w:val="00637F5F"/>
    <w:rsid w:val="00641AB8"/>
    <w:rsid w:val="00645500"/>
    <w:rsid w:val="00660AE7"/>
    <w:rsid w:val="00661ED6"/>
    <w:rsid w:val="00667546"/>
    <w:rsid w:val="00670262"/>
    <w:rsid w:val="00673D27"/>
    <w:rsid w:val="0067469B"/>
    <w:rsid w:val="0067624B"/>
    <w:rsid w:val="0068166B"/>
    <w:rsid w:val="00684DAC"/>
    <w:rsid w:val="006917C8"/>
    <w:rsid w:val="00692E0E"/>
    <w:rsid w:val="0069550B"/>
    <w:rsid w:val="006972DE"/>
    <w:rsid w:val="006A730B"/>
    <w:rsid w:val="006B44F0"/>
    <w:rsid w:val="006B6880"/>
    <w:rsid w:val="006C0212"/>
    <w:rsid w:val="006C207B"/>
    <w:rsid w:val="006C3B74"/>
    <w:rsid w:val="006C61F0"/>
    <w:rsid w:val="006D1DF0"/>
    <w:rsid w:val="006D2487"/>
    <w:rsid w:val="006D48B6"/>
    <w:rsid w:val="006D7A0E"/>
    <w:rsid w:val="006E214C"/>
    <w:rsid w:val="006E24BC"/>
    <w:rsid w:val="006E28CF"/>
    <w:rsid w:val="006E3FB6"/>
    <w:rsid w:val="006F44C4"/>
    <w:rsid w:val="006F5DE1"/>
    <w:rsid w:val="006F63D2"/>
    <w:rsid w:val="006F6FE0"/>
    <w:rsid w:val="007030E8"/>
    <w:rsid w:val="00706F3F"/>
    <w:rsid w:val="00710172"/>
    <w:rsid w:val="007118FE"/>
    <w:rsid w:val="00712BC2"/>
    <w:rsid w:val="00713955"/>
    <w:rsid w:val="00713D86"/>
    <w:rsid w:val="00713DF7"/>
    <w:rsid w:val="007164DF"/>
    <w:rsid w:val="0071750A"/>
    <w:rsid w:val="007234FB"/>
    <w:rsid w:val="0073056C"/>
    <w:rsid w:val="00731896"/>
    <w:rsid w:val="0073217C"/>
    <w:rsid w:val="00732511"/>
    <w:rsid w:val="007348A0"/>
    <w:rsid w:val="007348FE"/>
    <w:rsid w:val="00736322"/>
    <w:rsid w:val="00752782"/>
    <w:rsid w:val="00752D64"/>
    <w:rsid w:val="00753FBF"/>
    <w:rsid w:val="007548AC"/>
    <w:rsid w:val="007579E6"/>
    <w:rsid w:val="0076232E"/>
    <w:rsid w:val="00763397"/>
    <w:rsid w:val="007653A7"/>
    <w:rsid w:val="00767AB8"/>
    <w:rsid w:val="00772E1A"/>
    <w:rsid w:val="0077520C"/>
    <w:rsid w:val="00775D77"/>
    <w:rsid w:val="007840D0"/>
    <w:rsid w:val="00784EFC"/>
    <w:rsid w:val="00786605"/>
    <w:rsid w:val="00793A8A"/>
    <w:rsid w:val="00794B49"/>
    <w:rsid w:val="00797580"/>
    <w:rsid w:val="0079766B"/>
    <w:rsid w:val="007A0B10"/>
    <w:rsid w:val="007A3E20"/>
    <w:rsid w:val="007A78FA"/>
    <w:rsid w:val="007B087D"/>
    <w:rsid w:val="007B3EFD"/>
    <w:rsid w:val="007B403B"/>
    <w:rsid w:val="007C2B7D"/>
    <w:rsid w:val="007C3B59"/>
    <w:rsid w:val="007C4896"/>
    <w:rsid w:val="007C7360"/>
    <w:rsid w:val="007D2DFA"/>
    <w:rsid w:val="007E0317"/>
    <w:rsid w:val="007E4A6F"/>
    <w:rsid w:val="007E65CA"/>
    <w:rsid w:val="007E6DC9"/>
    <w:rsid w:val="007F4F14"/>
    <w:rsid w:val="007F5F82"/>
    <w:rsid w:val="00802D10"/>
    <w:rsid w:val="00805F80"/>
    <w:rsid w:val="00806794"/>
    <w:rsid w:val="00810406"/>
    <w:rsid w:val="008166A6"/>
    <w:rsid w:val="00825B95"/>
    <w:rsid w:val="008271F7"/>
    <w:rsid w:val="008276E3"/>
    <w:rsid w:val="00830E29"/>
    <w:rsid w:val="00832DEA"/>
    <w:rsid w:val="008362BF"/>
    <w:rsid w:val="00836C92"/>
    <w:rsid w:val="00837ACF"/>
    <w:rsid w:val="00841827"/>
    <w:rsid w:val="008422B2"/>
    <w:rsid w:val="008434EC"/>
    <w:rsid w:val="00843ACA"/>
    <w:rsid w:val="00845503"/>
    <w:rsid w:val="00852F0D"/>
    <w:rsid w:val="00854B40"/>
    <w:rsid w:val="00856A4A"/>
    <w:rsid w:val="008605FD"/>
    <w:rsid w:val="00863A0E"/>
    <w:rsid w:val="00867114"/>
    <w:rsid w:val="008721EE"/>
    <w:rsid w:val="00873066"/>
    <w:rsid w:val="0087323E"/>
    <w:rsid w:val="0087406F"/>
    <w:rsid w:val="00882C05"/>
    <w:rsid w:val="008835AE"/>
    <w:rsid w:val="00886161"/>
    <w:rsid w:val="00897CE8"/>
    <w:rsid w:val="008A45BD"/>
    <w:rsid w:val="008A4E36"/>
    <w:rsid w:val="008B17B7"/>
    <w:rsid w:val="008B587E"/>
    <w:rsid w:val="008C00E7"/>
    <w:rsid w:val="008D1F57"/>
    <w:rsid w:val="008D2EC7"/>
    <w:rsid w:val="008D3533"/>
    <w:rsid w:val="008D3ACB"/>
    <w:rsid w:val="008D3F46"/>
    <w:rsid w:val="008E342F"/>
    <w:rsid w:val="008F3EC6"/>
    <w:rsid w:val="00901212"/>
    <w:rsid w:val="00911887"/>
    <w:rsid w:val="009151A1"/>
    <w:rsid w:val="00915DAB"/>
    <w:rsid w:val="00920B97"/>
    <w:rsid w:val="0092154D"/>
    <w:rsid w:val="00922F01"/>
    <w:rsid w:val="00923ADF"/>
    <w:rsid w:val="00924480"/>
    <w:rsid w:val="00926798"/>
    <w:rsid w:val="009321D1"/>
    <w:rsid w:val="00932314"/>
    <w:rsid w:val="009349F1"/>
    <w:rsid w:val="0094566E"/>
    <w:rsid w:val="00950738"/>
    <w:rsid w:val="00954188"/>
    <w:rsid w:val="009555FA"/>
    <w:rsid w:val="009572B7"/>
    <w:rsid w:val="00970D84"/>
    <w:rsid w:val="00972CD2"/>
    <w:rsid w:val="00975FCB"/>
    <w:rsid w:val="00976113"/>
    <w:rsid w:val="0097698E"/>
    <w:rsid w:val="00982790"/>
    <w:rsid w:val="00986D5E"/>
    <w:rsid w:val="009900B1"/>
    <w:rsid w:val="0099024C"/>
    <w:rsid w:val="00990E5B"/>
    <w:rsid w:val="009A2EC6"/>
    <w:rsid w:val="009A4440"/>
    <w:rsid w:val="009A5CF6"/>
    <w:rsid w:val="009A75F5"/>
    <w:rsid w:val="009B0A26"/>
    <w:rsid w:val="009B0BB5"/>
    <w:rsid w:val="009B160A"/>
    <w:rsid w:val="009C501C"/>
    <w:rsid w:val="009C5516"/>
    <w:rsid w:val="009C5D09"/>
    <w:rsid w:val="009C6B35"/>
    <w:rsid w:val="009D22EE"/>
    <w:rsid w:val="009D3133"/>
    <w:rsid w:val="009E2879"/>
    <w:rsid w:val="009F08E2"/>
    <w:rsid w:val="009F17AC"/>
    <w:rsid w:val="009F3462"/>
    <w:rsid w:val="009F64C8"/>
    <w:rsid w:val="009F684E"/>
    <w:rsid w:val="00A01182"/>
    <w:rsid w:val="00A02C98"/>
    <w:rsid w:val="00A106B6"/>
    <w:rsid w:val="00A10B4A"/>
    <w:rsid w:val="00A16318"/>
    <w:rsid w:val="00A1699D"/>
    <w:rsid w:val="00A21928"/>
    <w:rsid w:val="00A21B9F"/>
    <w:rsid w:val="00A27690"/>
    <w:rsid w:val="00A31BD7"/>
    <w:rsid w:val="00A34B61"/>
    <w:rsid w:val="00A36531"/>
    <w:rsid w:val="00A41652"/>
    <w:rsid w:val="00A4677B"/>
    <w:rsid w:val="00A52C93"/>
    <w:rsid w:val="00A53DD4"/>
    <w:rsid w:val="00A53FBF"/>
    <w:rsid w:val="00A558BC"/>
    <w:rsid w:val="00A578A6"/>
    <w:rsid w:val="00A6034B"/>
    <w:rsid w:val="00A65477"/>
    <w:rsid w:val="00A75706"/>
    <w:rsid w:val="00A77731"/>
    <w:rsid w:val="00A83FA5"/>
    <w:rsid w:val="00A93BA4"/>
    <w:rsid w:val="00A96A20"/>
    <w:rsid w:val="00AA4421"/>
    <w:rsid w:val="00AA6ADA"/>
    <w:rsid w:val="00AB2C29"/>
    <w:rsid w:val="00AB3D5A"/>
    <w:rsid w:val="00AB5333"/>
    <w:rsid w:val="00AB541B"/>
    <w:rsid w:val="00AC057A"/>
    <w:rsid w:val="00AC34D3"/>
    <w:rsid w:val="00AC43DC"/>
    <w:rsid w:val="00AC5B87"/>
    <w:rsid w:val="00AC70D5"/>
    <w:rsid w:val="00AD0793"/>
    <w:rsid w:val="00AD175F"/>
    <w:rsid w:val="00AD1F78"/>
    <w:rsid w:val="00AD6021"/>
    <w:rsid w:val="00AD64E3"/>
    <w:rsid w:val="00AE4B7B"/>
    <w:rsid w:val="00AE5354"/>
    <w:rsid w:val="00AE6879"/>
    <w:rsid w:val="00B01305"/>
    <w:rsid w:val="00B05388"/>
    <w:rsid w:val="00B10A57"/>
    <w:rsid w:val="00B14E8E"/>
    <w:rsid w:val="00B170C4"/>
    <w:rsid w:val="00B3020B"/>
    <w:rsid w:val="00B3020C"/>
    <w:rsid w:val="00B340F2"/>
    <w:rsid w:val="00B347C5"/>
    <w:rsid w:val="00B37DAA"/>
    <w:rsid w:val="00B428E9"/>
    <w:rsid w:val="00B476AB"/>
    <w:rsid w:val="00B51F34"/>
    <w:rsid w:val="00B62589"/>
    <w:rsid w:val="00B70390"/>
    <w:rsid w:val="00B70FF0"/>
    <w:rsid w:val="00B80700"/>
    <w:rsid w:val="00B812D8"/>
    <w:rsid w:val="00B83C6D"/>
    <w:rsid w:val="00B84D6D"/>
    <w:rsid w:val="00B90334"/>
    <w:rsid w:val="00B9051E"/>
    <w:rsid w:val="00B90DA0"/>
    <w:rsid w:val="00B92719"/>
    <w:rsid w:val="00B927B3"/>
    <w:rsid w:val="00B927CD"/>
    <w:rsid w:val="00B92973"/>
    <w:rsid w:val="00BA0199"/>
    <w:rsid w:val="00BA3B38"/>
    <w:rsid w:val="00BA4E1D"/>
    <w:rsid w:val="00BA65A3"/>
    <w:rsid w:val="00BB16C2"/>
    <w:rsid w:val="00BB2FCF"/>
    <w:rsid w:val="00BB301E"/>
    <w:rsid w:val="00BB3DA2"/>
    <w:rsid w:val="00BC0773"/>
    <w:rsid w:val="00BC236F"/>
    <w:rsid w:val="00BC3B0C"/>
    <w:rsid w:val="00BD1947"/>
    <w:rsid w:val="00BD6F9B"/>
    <w:rsid w:val="00BD7EEB"/>
    <w:rsid w:val="00BE51ED"/>
    <w:rsid w:val="00BE5B5E"/>
    <w:rsid w:val="00BF0E2A"/>
    <w:rsid w:val="00BF634F"/>
    <w:rsid w:val="00BF7D84"/>
    <w:rsid w:val="00C001A7"/>
    <w:rsid w:val="00C0238F"/>
    <w:rsid w:val="00C05830"/>
    <w:rsid w:val="00C05B68"/>
    <w:rsid w:val="00C05FF7"/>
    <w:rsid w:val="00C078CD"/>
    <w:rsid w:val="00C11EED"/>
    <w:rsid w:val="00C1526B"/>
    <w:rsid w:val="00C20699"/>
    <w:rsid w:val="00C216AB"/>
    <w:rsid w:val="00C326AA"/>
    <w:rsid w:val="00C33509"/>
    <w:rsid w:val="00C43A8A"/>
    <w:rsid w:val="00C47C80"/>
    <w:rsid w:val="00C50C37"/>
    <w:rsid w:val="00C5309C"/>
    <w:rsid w:val="00C64B7E"/>
    <w:rsid w:val="00C70C35"/>
    <w:rsid w:val="00C70F77"/>
    <w:rsid w:val="00C71F3B"/>
    <w:rsid w:val="00C7201B"/>
    <w:rsid w:val="00C76A3D"/>
    <w:rsid w:val="00C81F6F"/>
    <w:rsid w:val="00C83E75"/>
    <w:rsid w:val="00C92F90"/>
    <w:rsid w:val="00CA2D00"/>
    <w:rsid w:val="00CA3A07"/>
    <w:rsid w:val="00CA4FB0"/>
    <w:rsid w:val="00CB0E80"/>
    <w:rsid w:val="00CB62F5"/>
    <w:rsid w:val="00CB671D"/>
    <w:rsid w:val="00CB7352"/>
    <w:rsid w:val="00CB7AFE"/>
    <w:rsid w:val="00CC6A31"/>
    <w:rsid w:val="00CC764C"/>
    <w:rsid w:val="00CD1360"/>
    <w:rsid w:val="00CD3F2F"/>
    <w:rsid w:val="00CD6EC0"/>
    <w:rsid w:val="00CD7389"/>
    <w:rsid w:val="00CD7B6C"/>
    <w:rsid w:val="00CE6437"/>
    <w:rsid w:val="00CF2E6D"/>
    <w:rsid w:val="00CF3D12"/>
    <w:rsid w:val="00CF62FC"/>
    <w:rsid w:val="00CF6896"/>
    <w:rsid w:val="00D06411"/>
    <w:rsid w:val="00D0730A"/>
    <w:rsid w:val="00D13EE9"/>
    <w:rsid w:val="00D15999"/>
    <w:rsid w:val="00D15DC8"/>
    <w:rsid w:val="00D2361A"/>
    <w:rsid w:val="00D27064"/>
    <w:rsid w:val="00D27B71"/>
    <w:rsid w:val="00D305D7"/>
    <w:rsid w:val="00D34CC7"/>
    <w:rsid w:val="00D40762"/>
    <w:rsid w:val="00D43EFF"/>
    <w:rsid w:val="00D442C0"/>
    <w:rsid w:val="00D44CFC"/>
    <w:rsid w:val="00D47625"/>
    <w:rsid w:val="00D505FE"/>
    <w:rsid w:val="00D5531F"/>
    <w:rsid w:val="00D61BD6"/>
    <w:rsid w:val="00D62E9B"/>
    <w:rsid w:val="00D63097"/>
    <w:rsid w:val="00D76D0F"/>
    <w:rsid w:val="00D80E35"/>
    <w:rsid w:val="00D81B38"/>
    <w:rsid w:val="00D81BC0"/>
    <w:rsid w:val="00D830AF"/>
    <w:rsid w:val="00D8412D"/>
    <w:rsid w:val="00D84409"/>
    <w:rsid w:val="00D851EF"/>
    <w:rsid w:val="00D864DA"/>
    <w:rsid w:val="00D87EC8"/>
    <w:rsid w:val="00D923AF"/>
    <w:rsid w:val="00D93EC0"/>
    <w:rsid w:val="00D95115"/>
    <w:rsid w:val="00DA0605"/>
    <w:rsid w:val="00DA40FD"/>
    <w:rsid w:val="00DA5809"/>
    <w:rsid w:val="00DA6340"/>
    <w:rsid w:val="00DA7B5F"/>
    <w:rsid w:val="00DB3605"/>
    <w:rsid w:val="00DB4765"/>
    <w:rsid w:val="00DC47AC"/>
    <w:rsid w:val="00DC58A7"/>
    <w:rsid w:val="00DD08C9"/>
    <w:rsid w:val="00DD178D"/>
    <w:rsid w:val="00DE28D4"/>
    <w:rsid w:val="00DE7ECA"/>
    <w:rsid w:val="00DF3B2B"/>
    <w:rsid w:val="00DF3FBA"/>
    <w:rsid w:val="00E02FBA"/>
    <w:rsid w:val="00E0531D"/>
    <w:rsid w:val="00E06D6E"/>
    <w:rsid w:val="00E103DF"/>
    <w:rsid w:val="00E11C47"/>
    <w:rsid w:val="00E12B2F"/>
    <w:rsid w:val="00E16AC2"/>
    <w:rsid w:val="00E175AC"/>
    <w:rsid w:val="00E26136"/>
    <w:rsid w:val="00E34938"/>
    <w:rsid w:val="00E35D1E"/>
    <w:rsid w:val="00E43CC1"/>
    <w:rsid w:val="00E4735F"/>
    <w:rsid w:val="00E47E08"/>
    <w:rsid w:val="00E525E4"/>
    <w:rsid w:val="00E619FA"/>
    <w:rsid w:val="00E61E4E"/>
    <w:rsid w:val="00E61F58"/>
    <w:rsid w:val="00E62917"/>
    <w:rsid w:val="00E631E9"/>
    <w:rsid w:val="00E65390"/>
    <w:rsid w:val="00E659F1"/>
    <w:rsid w:val="00E673DF"/>
    <w:rsid w:val="00E71363"/>
    <w:rsid w:val="00E72552"/>
    <w:rsid w:val="00E7482E"/>
    <w:rsid w:val="00E82D9C"/>
    <w:rsid w:val="00E84C4F"/>
    <w:rsid w:val="00E87B51"/>
    <w:rsid w:val="00E91470"/>
    <w:rsid w:val="00E919AD"/>
    <w:rsid w:val="00E92ACD"/>
    <w:rsid w:val="00E9550A"/>
    <w:rsid w:val="00E968BB"/>
    <w:rsid w:val="00E968D8"/>
    <w:rsid w:val="00E96BD6"/>
    <w:rsid w:val="00EA0AFD"/>
    <w:rsid w:val="00EA18CE"/>
    <w:rsid w:val="00EA2E7F"/>
    <w:rsid w:val="00EA6E6F"/>
    <w:rsid w:val="00EB1253"/>
    <w:rsid w:val="00EB2D20"/>
    <w:rsid w:val="00EB4469"/>
    <w:rsid w:val="00EB6410"/>
    <w:rsid w:val="00EB6E99"/>
    <w:rsid w:val="00ED7D53"/>
    <w:rsid w:val="00EE23C1"/>
    <w:rsid w:val="00EE2A59"/>
    <w:rsid w:val="00EE2FCA"/>
    <w:rsid w:val="00EF167C"/>
    <w:rsid w:val="00EF26AA"/>
    <w:rsid w:val="00EF333D"/>
    <w:rsid w:val="00EF647B"/>
    <w:rsid w:val="00EF732F"/>
    <w:rsid w:val="00F11CC1"/>
    <w:rsid w:val="00F14204"/>
    <w:rsid w:val="00F148CD"/>
    <w:rsid w:val="00F16288"/>
    <w:rsid w:val="00F16536"/>
    <w:rsid w:val="00F2280D"/>
    <w:rsid w:val="00F228E3"/>
    <w:rsid w:val="00F243CC"/>
    <w:rsid w:val="00F332B9"/>
    <w:rsid w:val="00F334E4"/>
    <w:rsid w:val="00F35F39"/>
    <w:rsid w:val="00F42B9B"/>
    <w:rsid w:val="00F4405E"/>
    <w:rsid w:val="00F50604"/>
    <w:rsid w:val="00F53F6B"/>
    <w:rsid w:val="00F60208"/>
    <w:rsid w:val="00F613D7"/>
    <w:rsid w:val="00F6176D"/>
    <w:rsid w:val="00F64F72"/>
    <w:rsid w:val="00F7563F"/>
    <w:rsid w:val="00F84D48"/>
    <w:rsid w:val="00F941A8"/>
    <w:rsid w:val="00FA1D12"/>
    <w:rsid w:val="00FA318A"/>
    <w:rsid w:val="00FA71E8"/>
    <w:rsid w:val="00FB74F5"/>
    <w:rsid w:val="00FC05B3"/>
    <w:rsid w:val="00FC09D0"/>
    <w:rsid w:val="00FC5986"/>
    <w:rsid w:val="00FC6B46"/>
    <w:rsid w:val="00FC7BB3"/>
    <w:rsid w:val="00FD0B10"/>
    <w:rsid w:val="00FD3DBF"/>
    <w:rsid w:val="00FD5550"/>
    <w:rsid w:val="00FD70E0"/>
    <w:rsid w:val="00FD7A65"/>
    <w:rsid w:val="00FD7B20"/>
    <w:rsid w:val="00FE226F"/>
    <w:rsid w:val="00FE6D88"/>
    <w:rsid w:val="00FF15F3"/>
    <w:rsid w:val="00FF1BF5"/>
    <w:rsid w:val="00FF561E"/>
    <w:rsid w:val="00FF5CFC"/>
    <w:rsid w:val="00FF6D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9E"/>
    <w:pPr>
      <w:spacing w:after="120" w:line="240" w:lineRule="auto"/>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02379E"/>
  </w:style>
  <w:style w:type="paragraph" w:styleId="Heading2">
    <w:name w:val="heading 2"/>
    <w:basedOn w:val="Normal"/>
    <w:next w:val="Normal"/>
    <w:link w:val="Heading2Char"/>
    <w:uiPriority w:val="9"/>
    <w:unhideWhenUsed/>
    <w:qFormat/>
    <w:rsid w:val="0002379E"/>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02379E"/>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9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79E"/>
    <w:rPr>
      <w:rFonts w:ascii="Lucida Grande" w:eastAsiaTheme="minorEastAsia" w:hAnsi="Lucida Grande" w:cs="Lucida Grande"/>
      <w:sz w:val="18"/>
      <w:szCs w:val="18"/>
    </w:rPr>
  </w:style>
  <w:style w:type="paragraph" w:styleId="ListParagraph">
    <w:name w:val="List Paragraph"/>
    <w:basedOn w:val="Normal"/>
    <w:link w:val="ListParagraphChar"/>
    <w:uiPriority w:val="34"/>
    <w:qFormat/>
    <w:rsid w:val="0002379E"/>
    <w:pPr>
      <w:spacing w:after="240"/>
      <w:ind w:left="720"/>
      <w:contextualSpacing/>
    </w:pPr>
    <w:rPr>
      <w:rFonts w:eastAsiaTheme="minorHAnsi" w:cstheme="minorBidi"/>
      <w:szCs w:val="22"/>
    </w:rPr>
  </w:style>
  <w:style w:type="table" w:styleId="TableGrid">
    <w:name w:val="Table Grid"/>
    <w:basedOn w:val="TableNormal"/>
    <w:uiPriority w:val="59"/>
    <w:rsid w:val="0002379E"/>
    <w:pPr>
      <w:spacing w:after="0" w:line="240" w:lineRule="auto"/>
    </w:pPr>
    <w:rPr>
      <w:rFonts w:ascii="Cambria" w:eastAsiaTheme="minorEastAs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379E"/>
    <w:pPr>
      <w:spacing w:after="0" w:line="288" w:lineRule="auto"/>
      <w:jc w:val="left"/>
    </w:pPr>
    <w:rPr>
      <w:sz w:val="16"/>
    </w:rPr>
  </w:style>
  <w:style w:type="character" w:customStyle="1" w:styleId="HeaderChar">
    <w:name w:val="Header Char"/>
    <w:basedOn w:val="DefaultParagraphFont"/>
    <w:link w:val="Header"/>
    <w:uiPriority w:val="99"/>
    <w:rsid w:val="0002379E"/>
    <w:rPr>
      <w:rFonts w:ascii="Arial" w:eastAsiaTheme="minorEastAsia" w:hAnsi="Arial" w:cs="Times New Roman"/>
      <w:sz w:val="16"/>
      <w:szCs w:val="20"/>
    </w:rPr>
  </w:style>
  <w:style w:type="paragraph" w:styleId="Footer">
    <w:name w:val="footer"/>
    <w:basedOn w:val="Normal"/>
    <w:link w:val="FooterChar"/>
    <w:uiPriority w:val="99"/>
    <w:unhideWhenUsed/>
    <w:rsid w:val="0002379E"/>
    <w:pPr>
      <w:spacing w:after="0"/>
      <w:jc w:val="left"/>
    </w:pPr>
    <w:rPr>
      <w:sz w:val="16"/>
      <w:szCs w:val="18"/>
    </w:rPr>
  </w:style>
  <w:style w:type="character" w:customStyle="1" w:styleId="FooterChar">
    <w:name w:val="Footer Char"/>
    <w:basedOn w:val="DefaultParagraphFont"/>
    <w:link w:val="Footer"/>
    <w:uiPriority w:val="99"/>
    <w:rsid w:val="0002379E"/>
    <w:rPr>
      <w:rFonts w:ascii="Arial" w:eastAsiaTheme="minorEastAsia" w:hAnsi="Arial" w:cs="Times New Roman"/>
      <w:sz w:val="16"/>
      <w:szCs w:val="18"/>
    </w:rPr>
  </w:style>
  <w:style w:type="character" w:styleId="PageNumber">
    <w:name w:val="page number"/>
    <w:basedOn w:val="DefaultParagraphFont"/>
    <w:uiPriority w:val="99"/>
    <w:unhideWhenUsed/>
    <w:rsid w:val="0002379E"/>
    <w:rPr>
      <w:b/>
    </w:rPr>
  </w:style>
  <w:style w:type="character" w:customStyle="1" w:styleId="ListParagraphChar">
    <w:name w:val="List Paragraph Char"/>
    <w:basedOn w:val="DefaultParagraphFont"/>
    <w:link w:val="ListParagraph"/>
    <w:uiPriority w:val="34"/>
    <w:rsid w:val="0002379E"/>
    <w:rPr>
      <w:rFonts w:ascii="Arial" w:hAnsi="Arial"/>
      <w:sz w:val="20"/>
    </w:rPr>
  </w:style>
  <w:style w:type="character" w:customStyle="1" w:styleId="Heading1Char">
    <w:name w:val="Heading 1 Char"/>
    <w:basedOn w:val="DefaultParagraphFont"/>
    <w:link w:val="Heading1"/>
    <w:uiPriority w:val="9"/>
    <w:rsid w:val="0002379E"/>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02379E"/>
    <w:rPr>
      <w:rFonts w:ascii="Arial" w:eastAsiaTheme="minorEastAsia" w:hAnsi="Arial" w:cs="Times New Roman"/>
      <w:b/>
      <w:caps/>
      <w:sz w:val="24"/>
      <w:szCs w:val="26"/>
    </w:rPr>
  </w:style>
  <w:style w:type="character" w:customStyle="1" w:styleId="Heading3Char">
    <w:name w:val="Heading 3 Char"/>
    <w:basedOn w:val="DefaultParagraphFont"/>
    <w:link w:val="Heading3"/>
    <w:uiPriority w:val="9"/>
    <w:rsid w:val="0002379E"/>
    <w:rPr>
      <w:rFonts w:ascii="Arial" w:eastAsiaTheme="minorEastAsia" w:hAnsi="Arial" w:cs="Times New Roman"/>
      <w:b/>
      <w:szCs w:val="24"/>
    </w:rPr>
  </w:style>
  <w:style w:type="paragraph" w:customStyle="1" w:styleId="Default">
    <w:name w:val="Default"/>
    <w:rsid w:val="0002379E"/>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02379E"/>
    <w:rPr>
      <w:sz w:val="18"/>
      <w:szCs w:val="18"/>
    </w:rPr>
  </w:style>
  <w:style w:type="paragraph" w:styleId="CommentText">
    <w:name w:val="annotation text"/>
    <w:basedOn w:val="Normal"/>
    <w:link w:val="CommentTextChar"/>
    <w:uiPriority w:val="99"/>
    <w:semiHidden/>
    <w:unhideWhenUsed/>
    <w:rsid w:val="00C70C35"/>
  </w:style>
  <w:style w:type="character" w:customStyle="1" w:styleId="CommentTextChar">
    <w:name w:val="Comment Text Char"/>
    <w:basedOn w:val="DefaultParagraphFont"/>
    <w:link w:val="CommentText"/>
    <w:uiPriority w:val="99"/>
    <w:semiHidden/>
    <w:rsid w:val="00C70C35"/>
    <w:rPr>
      <w:rFonts w:ascii="Arial" w:eastAsiaTheme="minorEastAsia" w:hAnsi="Arial" w:cs="Times New Roman"/>
      <w:sz w:val="20"/>
      <w:szCs w:val="20"/>
    </w:rPr>
  </w:style>
  <w:style w:type="paragraph" w:styleId="CommentSubject">
    <w:name w:val="annotation subject"/>
    <w:basedOn w:val="Normal"/>
    <w:link w:val="CommentSubjectChar"/>
    <w:uiPriority w:val="99"/>
    <w:semiHidden/>
    <w:unhideWhenUsed/>
    <w:rsid w:val="0002379E"/>
    <w:rPr>
      <w:b/>
      <w:bCs/>
    </w:rPr>
  </w:style>
  <w:style w:type="character" w:customStyle="1" w:styleId="CommentSubjectChar">
    <w:name w:val="Comment Subject Char"/>
    <w:basedOn w:val="DefaultParagraphFont"/>
    <w:link w:val="CommentSubject"/>
    <w:uiPriority w:val="99"/>
    <w:semiHidden/>
    <w:rsid w:val="0002379E"/>
    <w:rPr>
      <w:rFonts w:ascii="Arial" w:eastAsiaTheme="minorEastAsia" w:hAnsi="Arial" w:cs="Times New Roman"/>
      <w:b/>
      <w:bCs/>
      <w:sz w:val="20"/>
      <w:szCs w:val="20"/>
    </w:rPr>
  </w:style>
  <w:style w:type="character" w:styleId="Hyperlink">
    <w:name w:val="Hyperlink"/>
    <w:basedOn w:val="DefaultParagraphFont"/>
    <w:uiPriority w:val="99"/>
    <w:unhideWhenUsed/>
    <w:rsid w:val="0002379E"/>
    <w:rPr>
      <w:color w:val="0000FF" w:themeColor="hyperlink"/>
      <w:u w:val="single"/>
    </w:rPr>
  </w:style>
  <w:style w:type="character" w:styleId="FollowedHyperlink">
    <w:name w:val="FollowedHyperlink"/>
    <w:basedOn w:val="DefaultParagraphFont"/>
    <w:uiPriority w:val="99"/>
    <w:semiHidden/>
    <w:unhideWhenUsed/>
    <w:rsid w:val="0002379E"/>
    <w:rPr>
      <w:color w:val="800080" w:themeColor="followedHyperlink"/>
      <w:u w:val="single"/>
    </w:rPr>
  </w:style>
  <w:style w:type="paragraph" w:styleId="FootnoteText">
    <w:name w:val="footnote text"/>
    <w:basedOn w:val="Normal"/>
    <w:link w:val="FootnoteTextChar"/>
    <w:uiPriority w:val="99"/>
    <w:unhideWhenUsed/>
    <w:rsid w:val="0002379E"/>
    <w:pPr>
      <w:spacing w:after="0"/>
    </w:pPr>
    <w:rPr>
      <w:sz w:val="16"/>
      <w:szCs w:val="22"/>
    </w:rPr>
  </w:style>
  <w:style w:type="character" w:customStyle="1" w:styleId="FootnoteTextChar">
    <w:name w:val="Footnote Text Char"/>
    <w:basedOn w:val="DefaultParagraphFont"/>
    <w:link w:val="FootnoteText"/>
    <w:uiPriority w:val="99"/>
    <w:rsid w:val="0002379E"/>
    <w:rPr>
      <w:rFonts w:ascii="Arial" w:eastAsiaTheme="minorEastAsia" w:hAnsi="Arial" w:cs="Times New Roman"/>
      <w:sz w:val="16"/>
    </w:rPr>
  </w:style>
  <w:style w:type="character" w:styleId="FootnoteReference">
    <w:name w:val="footnote reference"/>
    <w:basedOn w:val="DefaultParagraphFont"/>
    <w:uiPriority w:val="99"/>
    <w:unhideWhenUsed/>
    <w:rsid w:val="0002379E"/>
    <w:rPr>
      <w:vertAlign w:val="superscript"/>
    </w:rPr>
  </w:style>
  <w:style w:type="paragraph" w:styleId="Revision">
    <w:name w:val="Revision"/>
    <w:hidden/>
    <w:uiPriority w:val="99"/>
    <w:semiHidden/>
    <w:rsid w:val="0002379E"/>
    <w:pPr>
      <w:spacing w:after="0" w:line="240" w:lineRule="auto"/>
    </w:pPr>
    <w:rPr>
      <w:rFonts w:ascii="Arial" w:eastAsiaTheme="minorEastAsia" w:hAnsi="Arial" w:cs="Arial"/>
      <w:sz w:val="21"/>
      <w:szCs w:val="21"/>
    </w:rPr>
  </w:style>
  <w:style w:type="paragraph" w:customStyle="1" w:styleId="BasicParagraph">
    <w:name w:val="[Basic Paragraph]"/>
    <w:basedOn w:val="Normal"/>
    <w:uiPriority w:val="99"/>
    <w:rsid w:val="0002379E"/>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2379E"/>
    <w:pPr>
      <w:spacing w:before="360" w:after="240"/>
      <w:jc w:val="left"/>
      <w:outlineLvl w:val="0"/>
    </w:pPr>
    <w:rPr>
      <w:b/>
      <w:sz w:val="40"/>
      <w:szCs w:val="52"/>
    </w:rPr>
  </w:style>
  <w:style w:type="paragraph" w:customStyle="1" w:styleId="Bullet1">
    <w:name w:val="Bullet 1"/>
    <w:basedOn w:val="Normal"/>
    <w:rsid w:val="0002379E"/>
    <w:pPr>
      <w:numPr>
        <w:numId w:val="22"/>
      </w:numPr>
      <w:spacing w:before="60"/>
    </w:pPr>
    <w:rPr>
      <w:rFonts w:eastAsia="Times New Roman"/>
      <w:color w:val="000000"/>
    </w:rPr>
  </w:style>
  <w:style w:type="paragraph" w:customStyle="1" w:styleId="RefItem1">
    <w:name w:val="Ref Item 1"/>
    <w:basedOn w:val="Normal"/>
    <w:rsid w:val="0002379E"/>
    <w:pPr>
      <w:jc w:val="left"/>
    </w:pPr>
    <w:rPr>
      <w:color w:val="000000"/>
      <w:szCs w:val="24"/>
      <w:lang w:eastAsia="it-IT"/>
    </w:rPr>
  </w:style>
  <w:style w:type="paragraph" w:customStyle="1" w:styleId="RefTitre">
    <w:name w:val="Ref Titre"/>
    <w:basedOn w:val="Normal"/>
    <w:rsid w:val="0002379E"/>
    <w:pPr>
      <w:jc w:val="left"/>
    </w:pPr>
    <w:rPr>
      <w:rFonts w:eastAsia="Times New Roman"/>
      <w:b/>
      <w:bCs/>
      <w:sz w:val="26"/>
      <w:szCs w:val="26"/>
    </w:rPr>
  </w:style>
  <w:style w:type="paragraph" w:customStyle="1" w:styleId="Header1">
    <w:name w:val="Header 1"/>
    <w:basedOn w:val="Header"/>
    <w:rsid w:val="0002379E"/>
    <w:rPr>
      <w:b/>
      <w:sz w:val="24"/>
      <w:szCs w:val="24"/>
    </w:rPr>
  </w:style>
  <w:style w:type="character" w:customStyle="1" w:styleId="Pantone485">
    <w:name w:val="Pantone 485"/>
    <w:basedOn w:val="DefaultParagraphFont"/>
    <w:uiPriority w:val="1"/>
    <w:qFormat/>
    <w:rsid w:val="0002379E"/>
    <w:rPr>
      <w:rFonts w:cs="Caecilia-Light"/>
      <w:color w:val="DC281E"/>
      <w:szCs w:val="16"/>
    </w:rPr>
  </w:style>
  <w:style w:type="character" w:customStyle="1" w:styleId="H1Char">
    <w:name w:val="H1 Char"/>
    <w:basedOn w:val="DefaultParagraphFont"/>
    <w:link w:val="H1"/>
    <w:rsid w:val="0002379E"/>
    <w:rPr>
      <w:rFonts w:ascii="Arial" w:eastAsiaTheme="minorEastAsia" w:hAnsi="Arial" w:cs="Times New Roman"/>
      <w:b/>
      <w:sz w:val="40"/>
      <w:szCs w:val="52"/>
    </w:rPr>
  </w:style>
  <w:style w:type="table" w:customStyle="1" w:styleId="TableGray">
    <w:name w:val="Table Gray"/>
    <w:basedOn w:val="TableNormal"/>
    <w:uiPriority w:val="99"/>
    <w:rsid w:val="0002379E"/>
    <w:pPr>
      <w:spacing w:after="0" w:line="240" w:lineRule="auto"/>
    </w:pPr>
    <w:rPr>
      <w:rFonts w:eastAsiaTheme="minorEastAsia"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02379E"/>
    <w:pPr>
      <w:numPr>
        <w:numId w:val="23"/>
      </w:numPr>
      <w:tabs>
        <w:tab w:val="left" w:pos="7230"/>
      </w:tabs>
      <w:spacing w:before="120" w:after="120"/>
      <w:contextualSpacing w:val="0"/>
    </w:pPr>
    <w:rPr>
      <w:rFonts w:cs="Arial"/>
    </w:rPr>
  </w:style>
  <w:style w:type="paragraph" w:customStyle="1" w:styleId="ListNumber1">
    <w:name w:val="List Number 1"/>
    <w:basedOn w:val="Normal"/>
    <w:rsid w:val="0002379E"/>
    <w:pPr>
      <w:numPr>
        <w:ilvl w:val="1"/>
        <w:numId w:val="20"/>
      </w:numPr>
      <w:contextualSpacing/>
    </w:pPr>
    <w:rPr>
      <w:rFonts w:eastAsiaTheme="minorHAnsi" w:cstheme="minorHAnsi"/>
      <w:szCs w:val="22"/>
    </w:rPr>
  </w:style>
  <w:style w:type="paragraph" w:customStyle="1" w:styleId="NormalNo">
    <w:name w:val="Normal + No"/>
    <w:basedOn w:val="Normal"/>
    <w:qFormat/>
    <w:rsid w:val="0002379E"/>
    <w:pPr>
      <w:numPr>
        <w:numId w:val="21"/>
      </w:numPr>
    </w:pPr>
    <w:rPr>
      <w:rFonts w:eastAsia="MS Mincho"/>
      <w:b/>
      <w:sz w:val="22"/>
    </w:rPr>
  </w:style>
  <w:style w:type="paragraph" w:customStyle="1" w:styleId="Bullet3">
    <w:name w:val="Bullet 3"/>
    <w:basedOn w:val="ListParagraph"/>
    <w:qFormat/>
    <w:rsid w:val="0002379E"/>
    <w:pPr>
      <w:numPr>
        <w:numId w:val="24"/>
      </w:numPr>
      <w:spacing w:before="120" w:after="120"/>
      <w:ind w:right="425"/>
    </w:pPr>
    <w:rPr>
      <w:rFonts w:cs="Arial"/>
      <w:i/>
      <w:iCs/>
    </w:rPr>
  </w:style>
  <w:style w:type="paragraph" w:customStyle="1" w:styleId="Indent">
    <w:name w:val="Indent"/>
    <w:basedOn w:val="Normal"/>
    <w:qFormat/>
    <w:rsid w:val="0002379E"/>
    <w:pPr>
      <w:ind w:left="567"/>
    </w:pPr>
    <w:rPr>
      <w:rFonts w:cs="Arial"/>
      <w:b/>
    </w:rPr>
  </w:style>
  <w:style w:type="paragraph" w:customStyle="1" w:styleId="TitreTableau">
    <w:name w:val="Titre Tableau"/>
    <w:basedOn w:val="Normal"/>
    <w:qFormat/>
    <w:rsid w:val="0002379E"/>
    <w:pPr>
      <w:spacing w:before="120"/>
      <w:jc w:val="center"/>
    </w:pPr>
    <w:rPr>
      <w:rFonts w:cs="Arial"/>
      <w:b/>
      <w:bCs/>
      <w:color w:val="FFFFFF" w:themeColor="background1"/>
      <w:lang w:val="en-CA"/>
    </w:rPr>
  </w:style>
  <w:style w:type="paragraph" w:customStyle="1" w:styleId="BulletTableau">
    <w:name w:val="Bullet Tableau"/>
    <w:basedOn w:val="Bullet2"/>
    <w:qFormat/>
    <w:rsid w:val="0002379E"/>
    <w:pPr>
      <w:keepNext/>
      <w:keepLines/>
      <w:framePr w:hSpace="141" w:wrap="around" w:vAnchor="text" w:hAnchor="margin" w:y="402"/>
      <w:numPr>
        <w:numId w:val="25"/>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9E"/>
    <w:pPr>
      <w:spacing w:after="120" w:line="240" w:lineRule="auto"/>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02379E"/>
  </w:style>
  <w:style w:type="paragraph" w:styleId="Heading2">
    <w:name w:val="heading 2"/>
    <w:basedOn w:val="Normal"/>
    <w:next w:val="Normal"/>
    <w:link w:val="Heading2Char"/>
    <w:uiPriority w:val="9"/>
    <w:unhideWhenUsed/>
    <w:qFormat/>
    <w:rsid w:val="0002379E"/>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02379E"/>
    <w:pPr>
      <w:keepNext/>
      <w:spacing w:before="240"/>
      <w:jc w:val="left"/>
      <w:outlineLvl w:val="2"/>
    </w:pPr>
    <w:rPr>
      <w:b/>
      <w:sz w:val="22"/>
      <w:szCs w:val="24"/>
    </w:rPr>
  </w:style>
  <w:style w:type="character" w:default="1" w:styleId="DefaultParagraphFont">
    <w:name w:val="Default Paragraph Font"/>
    <w:uiPriority w:val="1"/>
    <w:semiHidden/>
    <w:unhideWhenUsed/>
    <w:rsid w:val="000237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79E"/>
  </w:style>
  <w:style w:type="paragraph" w:styleId="BalloonText">
    <w:name w:val="Balloon Text"/>
    <w:basedOn w:val="Normal"/>
    <w:link w:val="BalloonTextChar"/>
    <w:uiPriority w:val="99"/>
    <w:semiHidden/>
    <w:unhideWhenUsed/>
    <w:rsid w:val="0002379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79E"/>
    <w:rPr>
      <w:rFonts w:ascii="Lucida Grande" w:eastAsiaTheme="minorEastAsia" w:hAnsi="Lucida Grande" w:cs="Lucida Grande"/>
      <w:sz w:val="18"/>
      <w:szCs w:val="18"/>
    </w:rPr>
  </w:style>
  <w:style w:type="paragraph" w:styleId="ListParagraph">
    <w:name w:val="List Paragraph"/>
    <w:basedOn w:val="Normal"/>
    <w:link w:val="ListParagraphChar"/>
    <w:uiPriority w:val="34"/>
    <w:qFormat/>
    <w:rsid w:val="0002379E"/>
    <w:pPr>
      <w:spacing w:after="240"/>
      <w:ind w:left="720"/>
      <w:contextualSpacing/>
    </w:pPr>
    <w:rPr>
      <w:rFonts w:eastAsiaTheme="minorHAnsi" w:cstheme="minorBidi"/>
      <w:szCs w:val="22"/>
    </w:rPr>
  </w:style>
  <w:style w:type="table" w:styleId="TableGrid">
    <w:name w:val="Table Grid"/>
    <w:basedOn w:val="TableNormal"/>
    <w:uiPriority w:val="59"/>
    <w:rsid w:val="0002379E"/>
    <w:pPr>
      <w:spacing w:after="0" w:line="240" w:lineRule="auto"/>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379E"/>
    <w:pPr>
      <w:spacing w:after="0" w:line="288" w:lineRule="auto"/>
      <w:jc w:val="left"/>
    </w:pPr>
    <w:rPr>
      <w:sz w:val="16"/>
    </w:rPr>
  </w:style>
  <w:style w:type="character" w:customStyle="1" w:styleId="HeaderChar">
    <w:name w:val="Header Char"/>
    <w:basedOn w:val="DefaultParagraphFont"/>
    <w:link w:val="Header"/>
    <w:uiPriority w:val="99"/>
    <w:rsid w:val="0002379E"/>
    <w:rPr>
      <w:rFonts w:ascii="Arial" w:eastAsiaTheme="minorEastAsia" w:hAnsi="Arial" w:cs="Times New Roman"/>
      <w:sz w:val="16"/>
      <w:szCs w:val="20"/>
    </w:rPr>
  </w:style>
  <w:style w:type="paragraph" w:styleId="Footer">
    <w:name w:val="footer"/>
    <w:basedOn w:val="Normal"/>
    <w:link w:val="FooterChar"/>
    <w:uiPriority w:val="99"/>
    <w:unhideWhenUsed/>
    <w:rsid w:val="0002379E"/>
    <w:pPr>
      <w:spacing w:after="0"/>
      <w:jc w:val="left"/>
    </w:pPr>
    <w:rPr>
      <w:sz w:val="16"/>
      <w:szCs w:val="18"/>
    </w:rPr>
  </w:style>
  <w:style w:type="character" w:customStyle="1" w:styleId="FooterChar">
    <w:name w:val="Footer Char"/>
    <w:basedOn w:val="DefaultParagraphFont"/>
    <w:link w:val="Footer"/>
    <w:uiPriority w:val="99"/>
    <w:rsid w:val="0002379E"/>
    <w:rPr>
      <w:rFonts w:ascii="Arial" w:eastAsiaTheme="minorEastAsia" w:hAnsi="Arial" w:cs="Times New Roman"/>
      <w:sz w:val="16"/>
      <w:szCs w:val="18"/>
    </w:rPr>
  </w:style>
  <w:style w:type="character" w:styleId="PageNumber">
    <w:name w:val="page number"/>
    <w:basedOn w:val="DefaultParagraphFont"/>
    <w:uiPriority w:val="99"/>
    <w:unhideWhenUsed/>
    <w:rsid w:val="0002379E"/>
    <w:rPr>
      <w:b/>
    </w:rPr>
  </w:style>
  <w:style w:type="character" w:customStyle="1" w:styleId="ListParagraphChar">
    <w:name w:val="List Paragraph Char"/>
    <w:basedOn w:val="DefaultParagraphFont"/>
    <w:link w:val="ListParagraph"/>
    <w:uiPriority w:val="34"/>
    <w:rsid w:val="0002379E"/>
    <w:rPr>
      <w:rFonts w:ascii="Arial" w:hAnsi="Arial"/>
      <w:sz w:val="20"/>
    </w:rPr>
  </w:style>
  <w:style w:type="character" w:customStyle="1" w:styleId="Heading1Char">
    <w:name w:val="Heading 1 Char"/>
    <w:basedOn w:val="DefaultParagraphFont"/>
    <w:link w:val="Heading1"/>
    <w:uiPriority w:val="9"/>
    <w:rsid w:val="0002379E"/>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02379E"/>
    <w:rPr>
      <w:rFonts w:ascii="Arial" w:eastAsiaTheme="minorEastAsia" w:hAnsi="Arial" w:cs="Times New Roman"/>
      <w:b/>
      <w:caps/>
      <w:sz w:val="24"/>
      <w:szCs w:val="26"/>
    </w:rPr>
  </w:style>
  <w:style w:type="character" w:customStyle="1" w:styleId="Heading3Char">
    <w:name w:val="Heading 3 Char"/>
    <w:basedOn w:val="DefaultParagraphFont"/>
    <w:link w:val="Heading3"/>
    <w:uiPriority w:val="9"/>
    <w:rsid w:val="0002379E"/>
    <w:rPr>
      <w:rFonts w:ascii="Arial" w:eastAsiaTheme="minorEastAsia" w:hAnsi="Arial" w:cs="Times New Roman"/>
      <w:b/>
      <w:szCs w:val="24"/>
    </w:rPr>
  </w:style>
  <w:style w:type="paragraph" w:customStyle="1" w:styleId="Default">
    <w:name w:val="Default"/>
    <w:rsid w:val="0002379E"/>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02379E"/>
    <w:rPr>
      <w:sz w:val="18"/>
      <w:szCs w:val="18"/>
    </w:rPr>
  </w:style>
  <w:style w:type="paragraph" w:styleId="CommentText">
    <w:name w:val="annotation text"/>
    <w:basedOn w:val="Normal"/>
    <w:link w:val="CommentTextChar"/>
    <w:uiPriority w:val="99"/>
    <w:semiHidden/>
    <w:unhideWhenUsed/>
    <w:rsid w:val="00C70C35"/>
  </w:style>
  <w:style w:type="character" w:customStyle="1" w:styleId="CommentTextChar">
    <w:name w:val="Comment Text Char"/>
    <w:basedOn w:val="DefaultParagraphFont"/>
    <w:link w:val="CommentText"/>
    <w:uiPriority w:val="99"/>
    <w:semiHidden/>
    <w:rsid w:val="00C70C35"/>
    <w:rPr>
      <w:rFonts w:ascii="Arial" w:eastAsiaTheme="minorEastAsia" w:hAnsi="Arial" w:cs="Times New Roman"/>
      <w:sz w:val="20"/>
      <w:szCs w:val="20"/>
    </w:rPr>
  </w:style>
  <w:style w:type="paragraph" w:styleId="CommentSubject">
    <w:name w:val="annotation subject"/>
    <w:basedOn w:val="Normal"/>
    <w:link w:val="CommentSubjectChar"/>
    <w:uiPriority w:val="99"/>
    <w:semiHidden/>
    <w:unhideWhenUsed/>
    <w:rsid w:val="0002379E"/>
    <w:rPr>
      <w:b/>
      <w:bCs/>
    </w:rPr>
  </w:style>
  <w:style w:type="character" w:customStyle="1" w:styleId="CommentSubjectChar">
    <w:name w:val="Comment Subject Char"/>
    <w:basedOn w:val="DefaultParagraphFont"/>
    <w:link w:val="CommentSubject"/>
    <w:uiPriority w:val="99"/>
    <w:semiHidden/>
    <w:rsid w:val="0002379E"/>
    <w:rPr>
      <w:rFonts w:ascii="Arial" w:eastAsiaTheme="minorEastAsia" w:hAnsi="Arial" w:cs="Times New Roman"/>
      <w:b/>
      <w:bCs/>
      <w:sz w:val="20"/>
      <w:szCs w:val="20"/>
    </w:rPr>
  </w:style>
  <w:style w:type="character" w:styleId="Hyperlink">
    <w:name w:val="Hyperlink"/>
    <w:basedOn w:val="DefaultParagraphFont"/>
    <w:uiPriority w:val="99"/>
    <w:unhideWhenUsed/>
    <w:rsid w:val="0002379E"/>
    <w:rPr>
      <w:color w:val="0000FF" w:themeColor="hyperlink"/>
      <w:u w:val="single"/>
    </w:rPr>
  </w:style>
  <w:style w:type="character" w:styleId="FollowedHyperlink">
    <w:name w:val="FollowedHyperlink"/>
    <w:basedOn w:val="DefaultParagraphFont"/>
    <w:uiPriority w:val="99"/>
    <w:semiHidden/>
    <w:unhideWhenUsed/>
    <w:rsid w:val="0002379E"/>
    <w:rPr>
      <w:color w:val="800080" w:themeColor="followedHyperlink"/>
      <w:u w:val="single"/>
    </w:rPr>
  </w:style>
  <w:style w:type="paragraph" w:styleId="FootnoteText">
    <w:name w:val="footnote text"/>
    <w:basedOn w:val="Normal"/>
    <w:link w:val="FootnoteTextChar"/>
    <w:uiPriority w:val="99"/>
    <w:unhideWhenUsed/>
    <w:rsid w:val="0002379E"/>
    <w:pPr>
      <w:spacing w:after="0"/>
    </w:pPr>
    <w:rPr>
      <w:sz w:val="16"/>
      <w:szCs w:val="22"/>
    </w:rPr>
  </w:style>
  <w:style w:type="character" w:customStyle="1" w:styleId="FootnoteTextChar">
    <w:name w:val="Footnote Text Char"/>
    <w:basedOn w:val="DefaultParagraphFont"/>
    <w:link w:val="FootnoteText"/>
    <w:uiPriority w:val="99"/>
    <w:rsid w:val="0002379E"/>
    <w:rPr>
      <w:rFonts w:ascii="Arial" w:eastAsiaTheme="minorEastAsia" w:hAnsi="Arial" w:cs="Times New Roman"/>
      <w:sz w:val="16"/>
    </w:rPr>
  </w:style>
  <w:style w:type="character" w:styleId="FootnoteReference">
    <w:name w:val="footnote reference"/>
    <w:basedOn w:val="DefaultParagraphFont"/>
    <w:uiPriority w:val="99"/>
    <w:unhideWhenUsed/>
    <w:rsid w:val="0002379E"/>
    <w:rPr>
      <w:vertAlign w:val="superscript"/>
    </w:rPr>
  </w:style>
  <w:style w:type="paragraph" w:styleId="Revision">
    <w:name w:val="Revision"/>
    <w:hidden/>
    <w:uiPriority w:val="99"/>
    <w:semiHidden/>
    <w:rsid w:val="0002379E"/>
    <w:pPr>
      <w:spacing w:after="0" w:line="240" w:lineRule="auto"/>
    </w:pPr>
    <w:rPr>
      <w:rFonts w:ascii="Arial" w:eastAsiaTheme="minorEastAsia" w:hAnsi="Arial" w:cs="Arial"/>
      <w:sz w:val="21"/>
      <w:szCs w:val="21"/>
    </w:rPr>
  </w:style>
  <w:style w:type="paragraph" w:customStyle="1" w:styleId="BasicParagraph">
    <w:name w:val="[Basic Paragraph]"/>
    <w:basedOn w:val="Normal"/>
    <w:uiPriority w:val="99"/>
    <w:rsid w:val="0002379E"/>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2379E"/>
    <w:pPr>
      <w:spacing w:before="360" w:after="240"/>
      <w:jc w:val="left"/>
      <w:outlineLvl w:val="0"/>
    </w:pPr>
    <w:rPr>
      <w:b/>
      <w:sz w:val="40"/>
      <w:szCs w:val="52"/>
    </w:rPr>
  </w:style>
  <w:style w:type="paragraph" w:customStyle="1" w:styleId="Bullet1">
    <w:name w:val="Bullet 1"/>
    <w:basedOn w:val="Normal"/>
    <w:rsid w:val="0002379E"/>
    <w:pPr>
      <w:numPr>
        <w:numId w:val="22"/>
      </w:numPr>
      <w:spacing w:before="60"/>
    </w:pPr>
    <w:rPr>
      <w:rFonts w:eastAsia="Times New Roman"/>
      <w:color w:val="000000"/>
    </w:rPr>
  </w:style>
  <w:style w:type="paragraph" w:customStyle="1" w:styleId="RefItem1">
    <w:name w:val="Ref Item 1"/>
    <w:basedOn w:val="Normal"/>
    <w:rsid w:val="0002379E"/>
    <w:pPr>
      <w:jc w:val="left"/>
    </w:pPr>
    <w:rPr>
      <w:color w:val="000000"/>
      <w:szCs w:val="24"/>
      <w:lang w:eastAsia="it-IT"/>
    </w:rPr>
  </w:style>
  <w:style w:type="paragraph" w:customStyle="1" w:styleId="RefTitre">
    <w:name w:val="Ref Titre"/>
    <w:basedOn w:val="Normal"/>
    <w:rsid w:val="0002379E"/>
    <w:pPr>
      <w:jc w:val="left"/>
    </w:pPr>
    <w:rPr>
      <w:rFonts w:eastAsia="Times New Roman"/>
      <w:b/>
      <w:bCs/>
      <w:sz w:val="26"/>
      <w:szCs w:val="26"/>
    </w:rPr>
  </w:style>
  <w:style w:type="paragraph" w:customStyle="1" w:styleId="Header1">
    <w:name w:val="Header 1"/>
    <w:basedOn w:val="Header"/>
    <w:rsid w:val="0002379E"/>
    <w:rPr>
      <w:b/>
      <w:sz w:val="24"/>
      <w:szCs w:val="24"/>
    </w:rPr>
  </w:style>
  <w:style w:type="character" w:customStyle="1" w:styleId="Pantone485">
    <w:name w:val="Pantone 485"/>
    <w:basedOn w:val="DefaultParagraphFont"/>
    <w:uiPriority w:val="1"/>
    <w:qFormat/>
    <w:rsid w:val="0002379E"/>
    <w:rPr>
      <w:rFonts w:cs="Caecilia-Light"/>
      <w:color w:val="DC281E"/>
      <w:szCs w:val="16"/>
    </w:rPr>
  </w:style>
  <w:style w:type="character" w:customStyle="1" w:styleId="H1Char">
    <w:name w:val="H1 Char"/>
    <w:basedOn w:val="DefaultParagraphFont"/>
    <w:link w:val="H1"/>
    <w:rsid w:val="0002379E"/>
    <w:rPr>
      <w:rFonts w:ascii="Arial" w:eastAsiaTheme="minorEastAsia" w:hAnsi="Arial" w:cs="Times New Roman"/>
      <w:b/>
      <w:sz w:val="40"/>
      <w:szCs w:val="52"/>
    </w:rPr>
  </w:style>
  <w:style w:type="table" w:customStyle="1" w:styleId="TableGray">
    <w:name w:val="Table Gray"/>
    <w:basedOn w:val="TableNormal"/>
    <w:uiPriority w:val="99"/>
    <w:rsid w:val="0002379E"/>
    <w:pPr>
      <w:spacing w:after="0" w:line="240" w:lineRule="auto"/>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02379E"/>
    <w:pPr>
      <w:numPr>
        <w:numId w:val="23"/>
      </w:numPr>
      <w:tabs>
        <w:tab w:val="left" w:pos="7230"/>
      </w:tabs>
      <w:spacing w:before="120" w:after="120"/>
      <w:contextualSpacing w:val="0"/>
    </w:pPr>
    <w:rPr>
      <w:rFonts w:cs="Arial"/>
    </w:rPr>
  </w:style>
  <w:style w:type="paragraph" w:customStyle="1" w:styleId="ListNumber1">
    <w:name w:val="List Number 1"/>
    <w:basedOn w:val="Normal"/>
    <w:rsid w:val="0002379E"/>
    <w:pPr>
      <w:numPr>
        <w:ilvl w:val="1"/>
        <w:numId w:val="20"/>
      </w:numPr>
      <w:contextualSpacing/>
    </w:pPr>
    <w:rPr>
      <w:rFonts w:eastAsiaTheme="minorHAnsi" w:cstheme="minorHAnsi"/>
      <w:szCs w:val="22"/>
    </w:rPr>
  </w:style>
  <w:style w:type="paragraph" w:customStyle="1" w:styleId="NormalNo">
    <w:name w:val="Normal + No"/>
    <w:basedOn w:val="Normal"/>
    <w:qFormat/>
    <w:rsid w:val="0002379E"/>
    <w:pPr>
      <w:numPr>
        <w:numId w:val="21"/>
      </w:numPr>
    </w:pPr>
    <w:rPr>
      <w:rFonts w:eastAsia="MS Mincho"/>
      <w:b/>
      <w:sz w:val="22"/>
    </w:rPr>
  </w:style>
  <w:style w:type="paragraph" w:customStyle="1" w:styleId="Bullet3">
    <w:name w:val="Bullet 3"/>
    <w:basedOn w:val="ListParagraph"/>
    <w:qFormat/>
    <w:rsid w:val="0002379E"/>
    <w:pPr>
      <w:numPr>
        <w:numId w:val="24"/>
      </w:numPr>
      <w:spacing w:before="120" w:after="120"/>
      <w:ind w:right="425"/>
    </w:pPr>
    <w:rPr>
      <w:rFonts w:cs="Arial"/>
      <w:i/>
      <w:iCs/>
    </w:rPr>
  </w:style>
  <w:style w:type="paragraph" w:customStyle="1" w:styleId="Indent">
    <w:name w:val="Indent"/>
    <w:basedOn w:val="Normal"/>
    <w:qFormat/>
    <w:rsid w:val="0002379E"/>
    <w:pPr>
      <w:ind w:left="567"/>
    </w:pPr>
    <w:rPr>
      <w:rFonts w:cs="Arial"/>
      <w:b/>
    </w:rPr>
  </w:style>
  <w:style w:type="paragraph" w:customStyle="1" w:styleId="TitreTableau">
    <w:name w:val="Titre Tableau"/>
    <w:basedOn w:val="Normal"/>
    <w:qFormat/>
    <w:rsid w:val="0002379E"/>
    <w:pPr>
      <w:spacing w:before="120"/>
      <w:jc w:val="center"/>
    </w:pPr>
    <w:rPr>
      <w:rFonts w:cs="Arial"/>
      <w:b/>
      <w:bCs/>
      <w:color w:val="FFFFFF" w:themeColor="background1"/>
      <w:lang w:val="en-CA"/>
    </w:rPr>
  </w:style>
  <w:style w:type="paragraph" w:customStyle="1" w:styleId="BulletTableau">
    <w:name w:val="Bullet Tableau"/>
    <w:basedOn w:val="Bullet2"/>
    <w:qFormat/>
    <w:rsid w:val="0002379E"/>
    <w:pPr>
      <w:keepNext/>
      <w:keepLines/>
      <w:framePr w:hSpace="141" w:wrap="around" w:vAnchor="text" w:hAnchor="margin" w:y="402"/>
      <w:numPr>
        <w:numId w:val="25"/>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F2D8-BD3D-48D3-A1BD-6E74955E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238</TotalTime>
  <Pages>1</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Holman</dc:creator>
  <cp:lastModifiedBy>joelle</cp:lastModifiedBy>
  <cp:revision>56</cp:revision>
  <cp:lastPrinted>2015-09-28T18:26:00Z</cp:lastPrinted>
  <dcterms:created xsi:type="dcterms:W3CDTF">2015-05-27T09:15:00Z</dcterms:created>
  <dcterms:modified xsi:type="dcterms:W3CDTF">2016-01-13T14:31:00Z</dcterms:modified>
</cp:coreProperties>
</file>