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28" w:rsidRPr="000A08B4" w:rsidRDefault="00EF6A28" w:rsidP="000A08B4">
      <w:pPr>
        <w:pStyle w:val="H1"/>
        <w:bidi/>
        <w:jc w:val="center"/>
        <w:rPr>
          <w:rFonts w:cs="Arial"/>
          <w:b w:val="0"/>
          <w:bCs/>
          <w:sz w:val="28"/>
          <w:szCs w:val="28"/>
          <w:rtl/>
        </w:rPr>
      </w:pPr>
      <w:r w:rsidRPr="000A08B4">
        <w:rPr>
          <w:rFonts w:cs="Arial"/>
          <w:b w:val="0"/>
          <w:bCs/>
          <w:sz w:val="28"/>
          <w:szCs w:val="28"/>
          <w:rtl/>
        </w:rPr>
        <w:t>ما هي الاعتبارات التي تؤثر على قيمة التحويلات النقدية</w:t>
      </w:r>
    </w:p>
    <w:p w:rsidR="00301C9B" w:rsidRPr="000A08B4" w:rsidRDefault="00301C9B" w:rsidP="00301C9B">
      <w:pPr>
        <w:bidi/>
        <w:jc w:val="left"/>
        <w:rPr>
          <w:rFonts w:cs="Arial"/>
          <w:b/>
          <w:sz w:val="28"/>
          <w:szCs w:val="28"/>
          <w:rtl/>
        </w:rPr>
      </w:pPr>
      <w:r w:rsidRPr="000A08B4">
        <w:rPr>
          <w:rFonts w:cs="Arial"/>
          <w:b/>
          <w:sz w:val="28"/>
          <w:szCs w:val="28"/>
          <w:rtl/>
        </w:rPr>
        <w:t>يتمحور تحديد قيمة التحويل النقدي بشكل يتناسب مع الهدف المرجو منها حول السؤال التالي: "ما هي الحاجات التي من المتوقع أن يغطيها التحويل النقدي؟"</w:t>
      </w:r>
    </w:p>
    <w:p w:rsidR="00301C9B" w:rsidRPr="000A08B4" w:rsidRDefault="00301C9B" w:rsidP="00301C9B">
      <w:pPr>
        <w:pStyle w:val="ListParagraph"/>
        <w:numPr>
          <w:ilvl w:val="0"/>
          <w:numId w:val="31"/>
        </w:numPr>
        <w:bidi/>
        <w:jc w:val="left"/>
        <w:rPr>
          <w:rFonts w:cs="Arial"/>
          <w:b/>
          <w:sz w:val="28"/>
          <w:szCs w:val="28"/>
        </w:rPr>
      </w:pPr>
      <w:r w:rsidRPr="000A08B4">
        <w:rPr>
          <w:rFonts w:cs="Arial"/>
          <w:b/>
          <w:sz w:val="28"/>
          <w:szCs w:val="28"/>
          <w:rtl/>
        </w:rPr>
        <w:t>ما هي التكلفة التي سيتكبدها المستفيد لشراء السلع من السوق المحلية؟</w:t>
      </w:r>
    </w:p>
    <w:p w:rsidR="00301C9B" w:rsidRPr="000A08B4" w:rsidRDefault="00301C9B" w:rsidP="00301C9B">
      <w:pPr>
        <w:pStyle w:val="ListParagraph"/>
        <w:numPr>
          <w:ilvl w:val="0"/>
          <w:numId w:val="31"/>
        </w:numPr>
        <w:bidi/>
        <w:jc w:val="left"/>
        <w:rPr>
          <w:rFonts w:cs="Arial"/>
          <w:b/>
          <w:sz w:val="28"/>
          <w:szCs w:val="28"/>
        </w:rPr>
      </w:pPr>
      <w:r w:rsidRPr="000A08B4">
        <w:rPr>
          <w:rFonts w:cs="Arial"/>
          <w:b/>
          <w:sz w:val="28"/>
          <w:szCs w:val="28"/>
          <w:rtl/>
        </w:rPr>
        <w:t>هل من سلع أو خدمات أخرى قد ينفق المستفيد من التحويل النقدي لشرائها؟</w:t>
      </w:r>
    </w:p>
    <w:p w:rsidR="00301C9B" w:rsidRPr="000A08B4" w:rsidRDefault="00301C9B" w:rsidP="00301C9B">
      <w:pPr>
        <w:pStyle w:val="ListParagraph"/>
        <w:numPr>
          <w:ilvl w:val="0"/>
          <w:numId w:val="31"/>
        </w:numPr>
        <w:bidi/>
        <w:jc w:val="left"/>
        <w:rPr>
          <w:rFonts w:cs="Arial"/>
          <w:b/>
          <w:sz w:val="28"/>
          <w:szCs w:val="28"/>
        </w:rPr>
      </w:pPr>
      <w:r w:rsidRPr="000A08B4">
        <w:rPr>
          <w:rFonts w:cs="Arial"/>
          <w:b/>
          <w:sz w:val="28"/>
          <w:szCs w:val="28"/>
          <w:rtl/>
        </w:rPr>
        <w:t>ما هي السلع والخدمات التي يمكن للأسرة الحصول عليها من مدخولها أو وسائل الدعم الأخرى؟</w:t>
      </w:r>
    </w:p>
    <w:p w:rsidR="003952F0" w:rsidRPr="000A08B4" w:rsidRDefault="00301C9B" w:rsidP="00301C9B">
      <w:pPr>
        <w:pStyle w:val="ListParagraph"/>
        <w:numPr>
          <w:ilvl w:val="0"/>
          <w:numId w:val="31"/>
        </w:numPr>
        <w:bidi/>
        <w:jc w:val="left"/>
        <w:rPr>
          <w:rFonts w:cs="Arial"/>
          <w:b/>
          <w:sz w:val="28"/>
          <w:szCs w:val="28"/>
        </w:rPr>
      </w:pPr>
      <w:r w:rsidRPr="000A08B4">
        <w:rPr>
          <w:rFonts w:cs="Arial"/>
          <w:b/>
          <w:sz w:val="28"/>
          <w:szCs w:val="28"/>
          <w:rtl/>
        </w:rPr>
        <w:t>هل من المتوقع أو ترتفع السعار في خلال المشروع؟</w:t>
      </w:r>
    </w:p>
    <w:tbl>
      <w:tblPr>
        <w:tblStyle w:val="Tablaconcuadrcula1"/>
        <w:bidiVisual/>
        <w:tblW w:w="5000" w:type="pct"/>
        <w:tblLook w:val="04A0"/>
      </w:tblPr>
      <w:tblGrid>
        <w:gridCol w:w="1956"/>
        <w:gridCol w:w="7892"/>
      </w:tblGrid>
      <w:tr w:rsidR="00E93B1D" w:rsidRPr="000A08B4" w:rsidTr="00301C9B">
        <w:tc>
          <w:tcPr>
            <w:tcW w:w="993" w:type="pct"/>
            <w:tcBorders>
              <w:bottom w:val="single" w:sz="4" w:space="0" w:color="auto"/>
            </w:tcBorders>
            <w:shd w:val="clear" w:color="auto" w:fill="DC281E"/>
            <w:vAlign w:val="center"/>
          </w:tcPr>
          <w:p w:rsidR="00321BFC" w:rsidRPr="000A08B4" w:rsidRDefault="00852F3B" w:rsidP="00E93B1D">
            <w:pPr>
              <w:spacing w:before="120" w:line="276" w:lineRule="auto"/>
              <w:jc w:val="center"/>
              <w:rPr>
                <w:rFonts w:cs="Arial"/>
                <w:b/>
                <w:color w:val="FFFFFF" w:themeColor="background1"/>
                <w:sz w:val="28"/>
                <w:szCs w:val="28"/>
              </w:rPr>
            </w:pPr>
            <w:r w:rsidRPr="000A08B4">
              <w:rPr>
                <w:rFonts w:cs="Arial"/>
                <w:b/>
                <w:color w:val="FFFFFF" w:themeColor="background1"/>
                <w:sz w:val="28"/>
                <w:szCs w:val="28"/>
                <w:rtl/>
              </w:rPr>
              <w:t>الوسائل</w:t>
            </w:r>
          </w:p>
        </w:tc>
        <w:tc>
          <w:tcPr>
            <w:tcW w:w="4007" w:type="pct"/>
            <w:tcBorders>
              <w:bottom w:val="single" w:sz="4" w:space="0" w:color="auto"/>
            </w:tcBorders>
            <w:shd w:val="clear" w:color="auto" w:fill="DC281E"/>
            <w:vAlign w:val="center"/>
          </w:tcPr>
          <w:p w:rsidR="00321BFC" w:rsidRPr="000A08B4" w:rsidRDefault="00852F3B" w:rsidP="00E93B1D">
            <w:pPr>
              <w:autoSpaceDE w:val="0"/>
              <w:autoSpaceDN w:val="0"/>
              <w:adjustRightInd w:val="0"/>
              <w:spacing w:before="120"/>
              <w:jc w:val="center"/>
              <w:rPr>
                <w:rFonts w:cs="Arial"/>
                <w:b/>
                <w:color w:val="FFFFFF" w:themeColor="background1"/>
                <w:sz w:val="28"/>
                <w:szCs w:val="28"/>
              </w:rPr>
            </w:pPr>
            <w:r w:rsidRPr="000A08B4">
              <w:rPr>
                <w:rFonts w:cs="Arial"/>
                <w:b/>
                <w:color w:val="FFFFFF" w:themeColor="background1"/>
                <w:sz w:val="28"/>
                <w:szCs w:val="28"/>
                <w:rtl/>
              </w:rPr>
              <w:t>الاعتبارات</w:t>
            </w:r>
          </w:p>
        </w:tc>
      </w:tr>
      <w:tr w:rsidR="009142B0" w:rsidRPr="000A08B4" w:rsidTr="00301C9B">
        <w:tc>
          <w:tcPr>
            <w:tcW w:w="993" w:type="pct"/>
            <w:shd w:val="clear" w:color="auto" w:fill="A6A6A6"/>
            <w:vAlign w:val="center"/>
          </w:tcPr>
          <w:p w:rsidR="009142B0" w:rsidRPr="000A08B4" w:rsidRDefault="00852F3B" w:rsidP="00B65F9B">
            <w:pPr>
              <w:spacing w:before="120" w:after="60" w:line="276" w:lineRule="auto"/>
              <w:jc w:val="left"/>
              <w:rPr>
                <w:rFonts w:cs="Arial"/>
                <w:b/>
                <w:sz w:val="28"/>
                <w:szCs w:val="28"/>
              </w:rPr>
            </w:pPr>
            <w:r w:rsidRPr="000A08B4">
              <w:rPr>
                <w:rFonts w:cs="Arial"/>
                <w:b/>
                <w:sz w:val="28"/>
                <w:szCs w:val="28"/>
                <w:rtl/>
              </w:rPr>
              <w:t xml:space="preserve">اعتبارات عامة تنطبق على كل الوسائل </w:t>
            </w:r>
          </w:p>
        </w:tc>
        <w:tc>
          <w:tcPr>
            <w:tcW w:w="4007" w:type="pct"/>
            <w:shd w:val="clear" w:color="auto" w:fill="E6E6E6"/>
          </w:tcPr>
          <w:p w:rsidR="00852F3B" w:rsidRPr="000A08B4" w:rsidRDefault="00852F3B" w:rsidP="00852F3B">
            <w:pPr>
              <w:pStyle w:val="BulletTableau"/>
              <w:framePr w:wrap="around"/>
              <w:bidi/>
              <w:spacing w:before="144" w:after="48"/>
              <w:rPr>
                <w:sz w:val="28"/>
                <w:szCs w:val="28"/>
              </w:rPr>
            </w:pPr>
            <w:r w:rsidRPr="000A08B4">
              <w:rPr>
                <w:sz w:val="28"/>
                <w:szCs w:val="28"/>
                <w:rtl/>
              </w:rPr>
              <w:t xml:space="preserve">اللجوء إلى تحاليل الاستجابة والتقييمات لتحديد السكان المستهدفين والثغرات التي يهدف البرنامج إلى سدها. </w:t>
            </w:r>
          </w:p>
          <w:p w:rsidR="00852F3B" w:rsidRPr="000A08B4" w:rsidRDefault="00852F3B" w:rsidP="00852F3B">
            <w:pPr>
              <w:pStyle w:val="BulletTableau"/>
              <w:framePr w:wrap="around"/>
              <w:numPr>
                <w:ilvl w:val="0"/>
                <w:numId w:val="0"/>
              </w:numPr>
              <w:bidi/>
              <w:spacing w:before="144" w:after="48"/>
              <w:ind w:left="1080"/>
              <w:rPr>
                <w:sz w:val="28"/>
                <w:szCs w:val="28"/>
              </w:rPr>
            </w:pPr>
            <w:r w:rsidRPr="000A08B4">
              <w:rPr>
                <w:sz w:val="28"/>
                <w:szCs w:val="28"/>
                <w:rtl/>
              </w:rPr>
              <w:t>تحديد أهداف التحويل وطرق استخدامه مثلاً:</w:t>
            </w:r>
          </w:p>
          <w:p w:rsidR="00852F3B" w:rsidRPr="000A08B4" w:rsidRDefault="00852F3B" w:rsidP="00852F3B">
            <w:pPr>
              <w:pStyle w:val="BulletTableau"/>
              <w:framePr w:wrap="around"/>
              <w:numPr>
                <w:ilvl w:val="1"/>
                <w:numId w:val="30"/>
              </w:numPr>
              <w:bidi/>
              <w:spacing w:before="144" w:after="48"/>
              <w:ind w:left="1077" w:hanging="357"/>
              <w:rPr>
                <w:sz w:val="28"/>
                <w:szCs w:val="28"/>
              </w:rPr>
            </w:pPr>
            <w:r w:rsidRPr="000A08B4">
              <w:rPr>
                <w:sz w:val="28"/>
                <w:szCs w:val="28"/>
                <w:rtl/>
              </w:rPr>
              <w:t>الحاجات الرئيسية اليومية كالسلع الغذائية، والمياه، والوقود، وخدمات النقل.</w:t>
            </w:r>
          </w:p>
          <w:p w:rsidR="00852F3B" w:rsidRPr="000A08B4" w:rsidRDefault="00852F3B" w:rsidP="00852F3B">
            <w:pPr>
              <w:pStyle w:val="BulletTableau"/>
              <w:framePr w:wrap="around"/>
              <w:numPr>
                <w:ilvl w:val="1"/>
                <w:numId w:val="30"/>
              </w:numPr>
              <w:bidi/>
              <w:spacing w:before="144" w:after="48"/>
              <w:ind w:left="1077" w:hanging="357"/>
              <w:rPr>
                <w:sz w:val="28"/>
                <w:szCs w:val="28"/>
              </w:rPr>
            </w:pPr>
            <w:r w:rsidRPr="000A08B4">
              <w:rPr>
                <w:sz w:val="28"/>
                <w:szCs w:val="28"/>
                <w:rtl/>
              </w:rPr>
              <w:t>السلع المنزلية كالأسرة، ومعدات المطبخ، والثياب.</w:t>
            </w:r>
          </w:p>
          <w:p w:rsidR="009142B0" w:rsidRPr="000A08B4" w:rsidRDefault="00852F3B" w:rsidP="00852F3B">
            <w:pPr>
              <w:pStyle w:val="BulletTableau"/>
              <w:framePr w:wrap="around"/>
              <w:numPr>
                <w:ilvl w:val="1"/>
                <w:numId w:val="30"/>
              </w:numPr>
              <w:bidi/>
              <w:spacing w:before="144" w:after="48"/>
              <w:ind w:left="1077" w:hanging="357"/>
              <w:rPr>
                <w:sz w:val="28"/>
                <w:szCs w:val="28"/>
              </w:rPr>
            </w:pPr>
            <w:r w:rsidRPr="000A08B4">
              <w:rPr>
                <w:sz w:val="28"/>
                <w:szCs w:val="28"/>
                <w:rtl/>
              </w:rPr>
              <w:t>بدائل سبل العيش مثل الأدوات</w:t>
            </w:r>
          </w:p>
          <w:p w:rsidR="00852F3B" w:rsidRPr="000A08B4" w:rsidRDefault="00852F3B" w:rsidP="00852F3B">
            <w:pPr>
              <w:pStyle w:val="BulletTableau"/>
              <w:framePr w:wrap="around"/>
              <w:numPr>
                <w:ilvl w:val="1"/>
                <w:numId w:val="30"/>
              </w:numPr>
              <w:bidi/>
              <w:spacing w:before="144" w:after="48"/>
              <w:ind w:left="1077" w:hanging="357"/>
              <w:rPr>
                <w:sz w:val="28"/>
                <w:szCs w:val="28"/>
              </w:rPr>
            </w:pPr>
            <w:r w:rsidRPr="000A08B4">
              <w:rPr>
                <w:sz w:val="28"/>
                <w:szCs w:val="28"/>
                <w:rtl/>
              </w:rPr>
              <w:t>أدوات الإيواء التي تسمح بغجراء أعمال بناء طفيفة</w:t>
            </w:r>
          </w:p>
          <w:p w:rsidR="00852F3B" w:rsidRPr="000A08B4" w:rsidRDefault="00852F3B" w:rsidP="00DB04EC">
            <w:pPr>
              <w:pStyle w:val="BulletTableau"/>
              <w:framePr w:wrap="around"/>
              <w:bidi/>
              <w:spacing w:before="144" w:after="48"/>
              <w:rPr>
                <w:sz w:val="28"/>
                <w:szCs w:val="28"/>
                <w:lang w:eastAsia="en-GB"/>
              </w:rPr>
            </w:pPr>
            <w:r w:rsidRPr="000A08B4">
              <w:rPr>
                <w:sz w:val="28"/>
                <w:szCs w:val="28"/>
                <w:rtl/>
                <w:lang w:eastAsia="en-GB"/>
              </w:rPr>
              <w:t>تحليل الحد الأدنى للإنفاق على مستوى الأسرة، و</w:t>
            </w:r>
            <w:r w:rsidR="00DB04EC" w:rsidRPr="000A08B4">
              <w:rPr>
                <w:sz w:val="28"/>
                <w:szCs w:val="28"/>
                <w:rtl/>
                <w:lang w:eastAsia="en-GB"/>
              </w:rPr>
              <w:t xml:space="preserve">تحديد النفقات التي من المتوقع أن تصرف عليها قيمة التحويل، وتعديل هذه الأخيرة للتتناسب مع التغيرات في أسعار السوق. </w:t>
            </w:r>
          </w:p>
          <w:p w:rsidR="00DB04EC" w:rsidRPr="000A08B4" w:rsidRDefault="00DB04EC" w:rsidP="00DB04EC">
            <w:pPr>
              <w:pStyle w:val="BulletTableau"/>
              <w:framePr w:wrap="around"/>
              <w:bidi/>
              <w:spacing w:before="144" w:after="48"/>
              <w:rPr>
                <w:sz w:val="28"/>
                <w:szCs w:val="28"/>
                <w:lang w:eastAsia="en-GB"/>
              </w:rPr>
            </w:pPr>
            <w:r w:rsidRPr="000A08B4">
              <w:rPr>
                <w:sz w:val="28"/>
                <w:szCs w:val="28"/>
                <w:rtl/>
                <w:lang w:eastAsia="en-GB"/>
              </w:rPr>
              <w:t>احتساب قيمة التحويل النقدي بالاستناد إلى السعار المستقبلية المتوقعة، من أجل ضمان القدرة الشرائية للأسر.</w:t>
            </w:r>
          </w:p>
          <w:p w:rsidR="00DB04EC" w:rsidRPr="000A08B4" w:rsidRDefault="00DB04EC" w:rsidP="00DB04EC">
            <w:pPr>
              <w:pStyle w:val="BulletTableau"/>
              <w:framePr w:wrap="around"/>
              <w:bidi/>
              <w:spacing w:before="144" w:after="48"/>
              <w:rPr>
                <w:sz w:val="28"/>
                <w:szCs w:val="28"/>
                <w:lang w:eastAsia="en-GB"/>
              </w:rPr>
            </w:pPr>
            <w:r w:rsidRPr="000A08B4">
              <w:rPr>
                <w:sz w:val="28"/>
                <w:szCs w:val="28"/>
                <w:rtl/>
                <w:lang w:eastAsia="en-GB"/>
              </w:rPr>
              <w:t xml:space="preserve">تقييم مدى تكيف قيمة التحويل مع حجم الأسرة أو </w:t>
            </w:r>
            <w:r w:rsidR="001D1010" w:rsidRPr="000A08B4">
              <w:rPr>
                <w:sz w:val="28"/>
                <w:szCs w:val="28"/>
                <w:rtl/>
                <w:lang w:eastAsia="en-GB"/>
              </w:rPr>
              <w:t>مدة ثباتها (مثلاً 10$ للفرد/شهرياً أو 50$ للأسرة لتغطية نفقات الغذء، والمياه، والوقود).</w:t>
            </w:r>
          </w:p>
          <w:p w:rsidR="002564FF" w:rsidRPr="000A08B4" w:rsidRDefault="001D1010" w:rsidP="001D1010">
            <w:pPr>
              <w:pStyle w:val="BulletTableau"/>
              <w:framePr w:wrap="around"/>
              <w:bidi/>
              <w:spacing w:before="144" w:after="48"/>
              <w:rPr>
                <w:sz w:val="28"/>
                <w:szCs w:val="28"/>
                <w:lang w:eastAsia="en-GB"/>
              </w:rPr>
            </w:pPr>
            <w:r w:rsidRPr="000A08B4">
              <w:rPr>
                <w:sz w:val="28"/>
                <w:szCs w:val="28"/>
                <w:rtl/>
                <w:lang w:eastAsia="en-GB"/>
              </w:rPr>
              <w:t>تقييم المخاطر الأمنية المرتبطة بتأمين تحويلات نقدية على شكل دفعة واحدة، وبكون الكمستفيد مضطراً إلى التنقل مرة واحدة للحصول على المبلغ، والمخاطر المرتبطة بتأمين التحويلات النقدية على شكل دفعات متعددة ومتواترة.</w:t>
            </w:r>
          </w:p>
          <w:p w:rsidR="001D1010" w:rsidRPr="000A08B4" w:rsidRDefault="001D1010" w:rsidP="001D1010">
            <w:pPr>
              <w:pStyle w:val="BulletTableau"/>
              <w:framePr w:wrap="around"/>
              <w:bidi/>
              <w:spacing w:before="144" w:after="48"/>
              <w:rPr>
                <w:sz w:val="28"/>
                <w:szCs w:val="28"/>
                <w:lang w:eastAsia="en-GB"/>
              </w:rPr>
            </w:pPr>
            <w:r w:rsidRPr="000A08B4">
              <w:rPr>
                <w:sz w:val="28"/>
                <w:szCs w:val="28"/>
                <w:rtl/>
                <w:lang w:eastAsia="en-GB"/>
              </w:rPr>
              <w:t>تقييم مدى سهولة تنفيذ التحويل النقدي باستخدام آلية التسليم المختارة (التوزيع المباشر للتحويلات النقدية مقابل التحويلات النقدية عبر الهاتف المحمول).</w:t>
            </w:r>
          </w:p>
          <w:p w:rsidR="001D1010" w:rsidRPr="000A08B4" w:rsidRDefault="001D1010" w:rsidP="001D1010">
            <w:pPr>
              <w:pStyle w:val="BulletTableau"/>
              <w:framePr w:wrap="around"/>
              <w:bidi/>
              <w:spacing w:before="144" w:after="48"/>
              <w:rPr>
                <w:sz w:val="28"/>
                <w:szCs w:val="28"/>
                <w:lang w:eastAsia="en-GB"/>
              </w:rPr>
            </w:pPr>
            <w:r w:rsidRPr="000A08B4">
              <w:rPr>
                <w:sz w:val="28"/>
                <w:szCs w:val="28"/>
                <w:rtl/>
                <w:lang w:eastAsia="en-GB"/>
              </w:rPr>
              <w:t>إشراك واستشارة المستفيدين، والممثلين عن المجتمع، و</w:t>
            </w:r>
            <w:r w:rsidR="0019707D" w:rsidRPr="000A08B4">
              <w:rPr>
                <w:sz w:val="28"/>
                <w:szCs w:val="28"/>
                <w:rtl/>
                <w:lang w:eastAsia="en-GB"/>
              </w:rPr>
              <w:t>الجهات المعنية الرئيسية، من أجل ضمان أن جودة التحويل تتطابق مع التوقعات وتتلائم مع التغيرات التي طرأت على السياق.</w:t>
            </w:r>
          </w:p>
          <w:p w:rsidR="00743AEB" w:rsidRPr="000A08B4" w:rsidRDefault="006765AE" w:rsidP="00D375CF">
            <w:pPr>
              <w:pStyle w:val="BulletTableau"/>
              <w:framePr w:wrap="around"/>
              <w:bidi/>
              <w:spacing w:before="144" w:after="48"/>
              <w:rPr>
                <w:sz w:val="28"/>
                <w:szCs w:val="28"/>
                <w:lang w:eastAsia="en-GB"/>
              </w:rPr>
            </w:pPr>
            <w:r w:rsidRPr="000A08B4">
              <w:rPr>
                <w:sz w:val="28"/>
                <w:szCs w:val="28"/>
                <w:rtl/>
                <w:lang w:eastAsia="en-GB"/>
              </w:rPr>
              <w:t xml:space="preserve">تقييم مدى احتفاظ قيمة التحويلات النقدية على قدرتها الشرائية </w:t>
            </w:r>
            <w:r w:rsidR="00D375CF" w:rsidRPr="000A08B4">
              <w:rPr>
                <w:sz w:val="28"/>
                <w:szCs w:val="28"/>
                <w:rtl/>
                <w:lang w:eastAsia="en-GB"/>
              </w:rPr>
              <w:t xml:space="preserve">في الوق المحلية ومدى توفر خطة طوارئ في حال حدوث تضخم (زيادة قيمة </w:t>
            </w:r>
            <w:r w:rsidR="00D375CF" w:rsidRPr="000A08B4">
              <w:rPr>
                <w:sz w:val="28"/>
                <w:szCs w:val="28"/>
                <w:rtl/>
                <w:lang w:eastAsia="en-GB"/>
              </w:rPr>
              <w:lastRenderedPageBreak/>
              <w:t>التحويل، زيادة وتيرة التحويل، اللجوء إلى المساعدات العينية أو القسائم).</w:t>
            </w:r>
          </w:p>
        </w:tc>
      </w:tr>
      <w:tr w:rsidR="00321BFC" w:rsidRPr="000A08B4" w:rsidTr="00301C9B">
        <w:tc>
          <w:tcPr>
            <w:tcW w:w="993" w:type="pct"/>
            <w:tcBorders>
              <w:bottom w:val="single" w:sz="4" w:space="0" w:color="auto"/>
            </w:tcBorders>
            <w:shd w:val="clear" w:color="auto" w:fill="A6A6A6"/>
            <w:vAlign w:val="center"/>
          </w:tcPr>
          <w:p w:rsidR="00321BFC" w:rsidRPr="000A08B4" w:rsidRDefault="00301C9B" w:rsidP="00B65F9B">
            <w:pPr>
              <w:spacing w:before="120" w:after="60" w:line="276" w:lineRule="auto"/>
              <w:jc w:val="left"/>
              <w:rPr>
                <w:rFonts w:cs="Arial"/>
                <w:b/>
                <w:sz w:val="28"/>
                <w:szCs w:val="28"/>
              </w:rPr>
            </w:pPr>
            <w:r w:rsidRPr="000A08B4">
              <w:rPr>
                <w:rFonts w:cs="Arial"/>
                <w:b/>
                <w:sz w:val="28"/>
                <w:szCs w:val="28"/>
                <w:rtl/>
              </w:rPr>
              <w:lastRenderedPageBreak/>
              <w:t>التحويلات النقدية غير المشروطة</w:t>
            </w:r>
          </w:p>
        </w:tc>
        <w:tc>
          <w:tcPr>
            <w:tcW w:w="4007" w:type="pct"/>
            <w:shd w:val="clear" w:color="auto" w:fill="E6E6E6"/>
          </w:tcPr>
          <w:p w:rsidR="00EC0BE1" w:rsidRPr="000A08B4" w:rsidRDefault="00EC0BE1" w:rsidP="00070569">
            <w:pPr>
              <w:pStyle w:val="BulletTableau"/>
              <w:framePr w:wrap="around"/>
              <w:bidi/>
              <w:spacing w:before="144" w:after="48"/>
              <w:rPr>
                <w:sz w:val="28"/>
                <w:szCs w:val="28"/>
                <w:lang w:eastAsia="en-GB"/>
              </w:rPr>
            </w:pPr>
            <w:r w:rsidRPr="000A08B4">
              <w:rPr>
                <w:sz w:val="28"/>
                <w:szCs w:val="28"/>
                <w:rtl/>
                <w:lang w:eastAsia="en-GB"/>
              </w:rPr>
              <w:t>اتخاذ القرار حول تقديم تحويلات نقدية على شكل دفعة واحدة أو دفعات متكررة ومنتظمة، و</w:t>
            </w:r>
            <w:r w:rsidR="00070569" w:rsidRPr="000A08B4">
              <w:rPr>
                <w:sz w:val="28"/>
                <w:szCs w:val="28"/>
                <w:rtl/>
                <w:lang w:eastAsia="en-GB"/>
              </w:rPr>
              <w:t xml:space="preserve">حول </w:t>
            </w:r>
            <w:r w:rsidRPr="000A08B4">
              <w:rPr>
                <w:sz w:val="28"/>
                <w:szCs w:val="28"/>
                <w:rtl/>
                <w:lang w:eastAsia="en-GB"/>
              </w:rPr>
              <w:t xml:space="preserve">قيمة </w:t>
            </w:r>
            <w:r w:rsidR="00070569" w:rsidRPr="000A08B4">
              <w:rPr>
                <w:sz w:val="28"/>
                <w:szCs w:val="28"/>
                <w:rtl/>
                <w:lang w:eastAsia="en-GB"/>
              </w:rPr>
              <w:t>التحويل (مثلاً دفعة واحدة بقيمة 200$ أو 4 دفعات بقيمة 50$ تقدم للمستفيد كل اسبوعين من أجل تلبية حاجات الأسرة)</w:t>
            </w:r>
          </w:p>
          <w:p w:rsidR="00070569" w:rsidRPr="000A08B4" w:rsidRDefault="00070569" w:rsidP="00070569">
            <w:pPr>
              <w:pStyle w:val="BulletTableau"/>
              <w:framePr w:wrap="around"/>
              <w:bidi/>
              <w:spacing w:before="144" w:after="48"/>
              <w:rPr>
                <w:sz w:val="28"/>
                <w:szCs w:val="28"/>
                <w:lang w:eastAsia="en-GB"/>
              </w:rPr>
            </w:pPr>
            <w:r w:rsidRPr="000A08B4">
              <w:rPr>
                <w:sz w:val="28"/>
                <w:szCs w:val="28"/>
                <w:rtl/>
                <w:lang w:eastAsia="en-GB"/>
              </w:rPr>
              <w:t>يجب التنبه غلى أن الأسر الغارقة في الديون  قد تستعين بالتحويلات النقدية لتسديد ديونها بدلاً من شراء السلع الرئيسية.</w:t>
            </w:r>
          </w:p>
          <w:p w:rsidR="00321BFC" w:rsidRPr="000A08B4" w:rsidRDefault="00321BFC" w:rsidP="00070569">
            <w:pPr>
              <w:pStyle w:val="BulletTableau"/>
              <w:framePr w:wrap="around"/>
              <w:numPr>
                <w:ilvl w:val="0"/>
                <w:numId w:val="0"/>
              </w:numPr>
              <w:spacing w:before="144" w:after="48"/>
              <w:ind w:left="720"/>
              <w:rPr>
                <w:sz w:val="28"/>
                <w:szCs w:val="28"/>
                <w:lang w:eastAsia="en-GB"/>
              </w:rPr>
            </w:pPr>
          </w:p>
        </w:tc>
      </w:tr>
      <w:tr w:rsidR="006B75B1" w:rsidRPr="000A08B4" w:rsidTr="00301C9B">
        <w:tc>
          <w:tcPr>
            <w:tcW w:w="993" w:type="pct"/>
            <w:shd w:val="clear" w:color="auto" w:fill="A6A6A6"/>
            <w:vAlign w:val="center"/>
          </w:tcPr>
          <w:p w:rsidR="006B75B1" w:rsidRPr="000A08B4" w:rsidRDefault="00301C9B" w:rsidP="00B65F9B">
            <w:pPr>
              <w:keepNext/>
              <w:keepLines/>
              <w:spacing w:before="120" w:after="60" w:line="276" w:lineRule="auto"/>
              <w:jc w:val="left"/>
              <w:rPr>
                <w:rFonts w:cs="Arial"/>
                <w:b/>
                <w:sz w:val="28"/>
                <w:szCs w:val="28"/>
              </w:rPr>
            </w:pPr>
            <w:r w:rsidRPr="000A08B4">
              <w:rPr>
                <w:rFonts w:cs="Arial"/>
                <w:b/>
                <w:sz w:val="28"/>
                <w:szCs w:val="28"/>
                <w:rtl/>
              </w:rPr>
              <w:t>التحويلات النقدية المشروطة</w:t>
            </w:r>
          </w:p>
        </w:tc>
        <w:tc>
          <w:tcPr>
            <w:tcW w:w="4007" w:type="pct"/>
            <w:shd w:val="clear" w:color="auto" w:fill="E6E6E6"/>
          </w:tcPr>
          <w:p w:rsidR="00846D7E" w:rsidRPr="000A08B4" w:rsidRDefault="00836D38" w:rsidP="00836D38">
            <w:pPr>
              <w:pStyle w:val="BulletTableau"/>
              <w:framePr w:wrap="around"/>
              <w:bidi/>
              <w:spacing w:before="144" w:after="48"/>
              <w:rPr>
                <w:sz w:val="28"/>
                <w:szCs w:val="28"/>
              </w:rPr>
            </w:pPr>
            <w:r w:rsidRPr="000A08B4">
              <w:rPr>
                <w:sz w:val="28"/>
                <w:szCs w:val="28"/>
                <w:rtl/>
              </w:rPr>
              <w:t>يجب الأخذ في الاعتبار عند اختيار التحويلات النقدية المشروطة أن كلفة الأدوات قد تتغير من مكان إلى آخر وبحسب نشاطات الأسرة، لذا لا بد من تكيف قيمة التحويل بحسب هذه الاعتبارات.</w:t>
            </w:r>
          </w:p>
          <w:p w:rsidR="006B75B1" w:rsidRPr="000A08B4" w:rsidRDefault="00836D38" w:rsidP="00836D38">
            <w:pPr>
              <w:pStyle w:val="BulletTableau"/>
              <w:framePr w:wrap="around"/>
              <w:bidi/>
              <w:spacing w:before="144" w:after="48"/>
              <w:rPr>
                <w:sz w:val="28"/>
                <w:szCs w:val="28"/>
              </w:rPr>
            </w:pPr>
            <w:r w:rsidRPr="000A08B4">
              <w:rPr>
                <w:sz w:val="28"/>
                <w:szCs w:val="28"/>
                <w:rtl/>
              </w:rPr>
              <w:t>يجب ادراج تكلفة الأدوات، واليد العاملة، والنقل ضمن تكليف التحويلات النقدية أو تحويلات القسائم التي تهدف إلى تأمين سبل العيش أو المأوى.</w:t>
            </w:r>
          </w:p>
        </w:tc>
      </w:tr>
      <w:tr w:rsidR="00075E48" w:rsidRPr="000A08B4" w:rsidTr="00301C9B">
        <w:tc>
          <w:tcPr>
            <w:tcW w:w="993" w:type="pct"/>
            <w:shd w:val="clear" w:color="auto" w:fill="A6A6A6"/>
            <w:vAlign w:val="center"/>
          </w:tcPr>
          <w:p w:rsidR="00075E48" w:rsidRPr="000A08B4" w:rsidRDefault="00301C9B" w:rsidP="00B65F9B">
            <w:pPr>
              <w:spacing w:before="120" w:after="60" w:line="276" w:lineRule="auto"/>
              <w:jc w:val="left"/>
              <w:rPr>
                <w:rFonts w:cs="Arial"/>
                <w:b/>
                <w:sz w:val="28"/>
                <w:szCs w:val="28"/>
              </w:rPr>
            </w:pPr>
            <w:r w:rsidRPr="000A08B4">
              <w:rPr>
                <w:rFonts w:cs="Arial"/>
                <w:b/>
                <w:sz w:val="28"/>
                <w:szCs w:val="28"/>
                <w:rtl/>
              </w:rPr>
              <w:t xml:space="preserve">برامج النقد مقابل العمل </w:t>
            </w:r>
          </w:p>
        </w:tc>
        <w:tc>
          <w:tcPr>
            <w:tcW w:w="4007" w:type="pct"/>
            <w:shd w:val="clear" w:color="auto" w:fill="E6E6E6"/>
          </w:tcPr>
          <w:p w:rsidR="002D19CD" w:rsidRPr="000A08B4" w:rsidRDefault="002D19CD" w:rsidP="002D19CD">
            <w:pPr>
              <w:pStyle w:val="BulletTableau"/>
              <w:framePr w:wrap="around"/>
              <w:bidi/>
              <w:spacing w:before="144" w:after="48"/>
              <w:rPr>
                <w:sz w:val="28"/>
                <w:szCs w:val="28"/>
              </w:rPr>
            </w:pPr>
            <w:r w:rsidRPr="000A08B4">
              <w:rPr>
                <w:sz w:val="28"/>
                <w:szCs w:val="28"/>
                <w:rtl/>
              </w:rPr>
              <w:t>يجب إدراج معدلات سوق العمل مباشرة تحت معدلات السوق، بشكل يسمح للفئات الضعيفة باختيار الوظائف، أو التمسك بالمشاريع المحلية والحفاظ على القدرة الطويلة الأمد على تأمين سبل العيش. نادراً ما تتمكن برامج النقد مقابل العمل من تغطية أكثر من الحاجات الرئيسية للأسر.</w:t>
            </w:r>
          </w:p>
          <w:p w:rsidR="002D19CD" w:rsidRPr="000A08B4" w:rsidRDefault="002D19CD" w:rsidP="002D2A8B">
            <w:pPr>
              <w:pStyle w:val="BulletTableau"/>
              <w:framePr w:wrap="around"/>
              <w:bidi/>
              <w:spacing w:before="144" w:after="48"/>
              <w:rPr>
                <w:sz w:val="28"/>
                <w:szCs w:val="28"/>
              </w:rPr>
            </w:pPr>
            <w:r w:rsidRPr="000A08B4">
              <w:rPr>
                <w:sz w:val="28"/>
                <w:szCs w:val="28"/>
                <w:rtl/>
              </w:rPr>
              <w:t>تختلف الدفعات بحسب مهارات العامل، و</w:t>
            </w:r>
            <w:r w:rsidR="002D2A8B" w:rsidRPr="000A08B4">
              <w:rPr>
                <w:sz w:val="28"/>
                <w:szCs w:val="28"/>
                <w:rtl/>
              </w:rPr>
              <w:t>ساعات</w:t>
            </w:r>
            <w:r w:rsidRPr="000A08B4">
              <w:rPr>
                <w:sz w:val="28"/>
                <w:szCs w:val="28"/>
                <w:rtl/>
              </w:rPr>
              <w:t xml:space="preserve"> العمل، </w:t>
            </w:r>
            <w:r w:rsidR="002D2A8B" w:rsidRPr="000A08B4">
              <w:rPr>
                <w:sz w:val="28"/>
                <w:szCs w:val="28"/>
                <w:rtl/>
              </w:rPr>
              <w:t>ومدة المشروع.</w:t>
            </w:r>
          </w:p>
          <w:p w:rsidR="002D2A8B" w:rsidRPr="000A08B4" w:rsidRDefault="002D2A8B" w:rsidP="002D2A8B">
            <w:pPr>
              <w:pStyle w:val="BulletTableau"/>
              <w:framePr w:wrap="around"/>
              <w:bidi/>
              <w:spacing w:before="144" w:after="48"/>
              <w:rPr>
                <w:sz w:val="28"/>
                <w:szCs w:val="28"/>
              </w:rPr>
            </w:pPr>
            <w:r w:rsidRPr="000A08B4">
              <w:rPr>
                <w:sz w:val="28"/>
                <w:szCs w:val="28"/>
                <w:rtl/>
              </w:rPr>
              <w:t>يجب التأكد من تغطية النقود المقدمة تكاليف النقل من وإلى العمل.</w:t>
            </w:r>
          </w:p>
          <w:p w:rsidR="002D2A8B" w:rsidRPr="000A08B4" w:rsidRDefault="002D2A8B" w:rsidP="002D2A8B">
            <w:pPr>
              <w:pStyle w:val="BulletTableau"/>
              <w:framePr w:wrap="around"/>
              <w:bidi/>
              <w:spacing w:before="144" w:after="48"/>
              <w:rPr>
                <w:sz w:val="28"/>
                <w:szCs w:val="28"/>
              </w:rPr>
            </w:pPr>
            <w:r w:rsidRPr="000A08B4">
              <w:rPr>
                <w:sz w:val="28"/>
                <w:szCs w:val="28"/>
                <w:rtl/>
              </w:rPr>
              <w:t>إذا كانت عدة منظمات تطبق برامج النقد مقابل العمل، يجب التأكد من أنها تقدم الراتب نفسه.</w:t>
            </w:r>
          </w:p>
          <w:p w:rsidR="002D2A8B" w:rsidRPr="000A08B4" w:rsidRDefault="002D2A8B" w:rsidP="002D2A8B">
            <w:pPr>
              <w:pStyle w:val="BulletTableau"/>
              <w:framePr w:wrap="around"/>
              <w:bidi/>
              <w:spacing w:before="144" w:after="48"/>
              <w:rPr>
                <w:sz w:val="28"/>
                <w:szCs w:val="28"/>
              </w:rPr>
            </w:pPr>
            <w:r w:rsidRPr="000A08B4">
              <w:rPr>
                <w:sz w:val="28"/>
                <w:szCs w:val="28"/>
                <w:rtl/>
              </w:rPr>
              <w:t>يجب التأكد باستمرار من أن الرواتب تتلائم مع المعدلات المحلية ومن أن برامج النقد مقابل العمل لا تؤدي إلى قصور في اليد العاملة أمام السوق المحلية. وإن أدت هذه البرامج إلى هذه الحالة، يجب خفض الرواتب، وتقييد المشاركة.</w:t>
            </w:r>
          </w:p>
          <w:p w:rsidR="002D2A8B" w:rsidRPr="000A08B4" w:rsidRDefault="002D2A8B" w:rsidP="002D2A8B">
            <w:pPr>
              <w:pStyle w:val="BulletTableau"/>
              <w:framePr w:wrap="around"/>
              <w:bidi/>
              <w:spacing w:before="144" w:after="48"/>
              <w:rPr>
                <w:sz w:val="28"/>
                <w:szCs w:val="28"/>
              </w:rPr>
            </w:pPr>
            <w:r w:rsidRPr="000A08B4">
              <w:rPr>
                <w:sz w:val="28"/>
                <w:szCs w:val="28"/>
                <w:rtl/>
              </w:rPr>
              <w:t>التأكد من احترام التشريعات المحلية، بما أنه من الممكن أن تكون قيمة الرواتب منصوص عليها في القوانين.</w:t>
            </w:r>
          </w:p>
          <w:p w:rsidR="00075E48" w:rsidRPr="000A08B4" w:rsidRDefault="00075E48" w:rsidP="002D2A8B">
            <w:pPr>
              <w:pStyle w:val="BulletTableau"/>
              <w:framePr w:wrap="around"/>
              <w:numPr>
                <w:ilvl w:val="0"/>
                <w:numId w:val="0"/>
              </w:numPr>
              <w:spacing w:before="144" w:after="48"/>
              <w:ind w:left="1080" w:hanging="360"/>
              <w:rPr>
                <w:sz w:val="28"/>
                <w:szCs w:val="28"/>
              </w:rPr>
            </w:pPr>
          </w:p>
        </w:tc>
      </w:tr>
    </w:tbl>
    <w:p w:rsidR="002D2A8B" w:rsidRPr="000A08B4" w:rsidRDefault="002D2A8B" w:rsidP="002D2A8B">
      <w:pPr>
        <w:spacing w:before="120"/>
        <w:jc w:val="right"/>
        <w:rPr>
          <w:rFonts w:cs="Arial"/>
          <w:sz w:val="28"/>
          <w:szCs w:val="28"/>
          <w:rtl/>
        </w:rPr>
      </w:pPr>
      <w:bookmarkStart w:id="0" w:name="_GoBack"/>
      <w:bookmarkEnd w:id="0"/>
      <w:r w:rsidRPr="000A08B4">
        <w:rPr>
          <w:rFonts w:cs="Arial"/>
          <w:sz w:val="28"/>
          <w:szCs w:val="28"/>
          <w:rtl/>
        </w:rPr>
        <w:t>المصدر: المبادء التوجيهية لبرمجة التحويلات النقدية (الاتحاد الدولي لجمعيات الصليب الحمر والهلال الأحمر (2007)).</w:t>
      </w:r>
    </w:p>
    <w:p w:rsidR="00321BFC" w:rsidRPr="000A08B4" w:rsidRDefault="00321BFC" w:rsidP="002D2A8B">
      <w:pPr>
        <w:spacing w:before="120"/>
        <w:jc w:val="center"/>
        <w:rPr>
          <w:rFonts w:cs="Arial"/>
          <w:sz w:val="28"/>
          <w:szCs w:val="28"/>
        </w:rPr>
      </w:pPr>
    </w:p>
    <w:sectPr w:rsidR="00321BFC" w:rsidRPr="000A08B4" w:rsidSect="00D51550">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4D9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38" w:rsidRDefault="00DD3D38" w:rsidP="00EB7075">
      <w:r>
        <w:separator/>
      </w:r>
    </w:p>
  </w:endnote>
  <w:endnote w:type="continuationSeparator" w:id="1">
    <w:p w:rsidR="00DD3D38" w:rsidRDefault="00DD3D38" w:rsidP="00EB7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80" w:rsidRDefault="002061E4" w:rsidP="00EA3AAF">
    <w:pPr>
      <w:pStyle w:val="Footer"/>
      <w:framePr w:wrap="around" w:vAnchor="text" w:hAnchor="margin" w:xAlign="right" w:y="1"/>
      <w:rPr>
        <w:rStyle w:val="PageNumber"/>
      </w:rPr>
    </w:pPr>
    <w:r>
      <w:rPr>
        <w:rStyle w:val="PageNumber"/>
      </w:rPr>
      <w:fldChar w:fldCharType="begin"/>
    </w:r>
    <w:r w:rsidR="00251B80">
      <w:rPr>
        <w:rStyle w:val="PageNumber"/>
      </w:rPr>
      <w:instrText xml:space="preserve">PAGE  </w:instrText>
    </w:r>
    <w:r>
      <w:rPr>
        <w:rStyle w:val="PageNumber"/>
      </w:rPr>
      <w:fldChar w:fldCharType="end"/>
    </w:r>
  </w:p>
  <w:p w:rsidR="00251B80" w:rsidRDefault="00251B80" w:rsidP="00EB70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50" w:rsidRPr="00B45C74" w:rsidRDefault="002061E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D5155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A08B4">
      <w:rPr>
        <w:b/>
        <w:noProof/>
        <w:color w:val="808080" w:themeColor="background1" w:themeShade="80"/>
        <w:sz w:val="18"/>
        <w:szCs w:val="18"/>
      </w:rPr>
      <w:t>1</w:t>
    </w:r>
    <w:r w:rsidRPr="00B45C74">
      <w:rPr>
        <w:b/>
        <w:color w:val="808080" w:themeColor="background1" w:themeShade="80"/>
        <w:sz w:val="18"/>
        <w:szCs w:val="18"/>
      </w:rPr>
      <w:fldChar w:fldCharType="end"/>
    </w:r>
  </w:p>
  <w:p w:rsidR="00D51550" w:rsidRPr="00D51550" w:rsidRDefault="00D51550" w:rsidP="00ED1B2B">
    <w:pPr>
      <w:pStyle w:val="Footer"/>
    </w:pPr>
    <w:r w:rsidRPr="00107E15">
      <w:rPr>
        <w:b/>
      </w:rPr>
      <w:t xml:space="preserve">Module </w:t>
    </w:r>
    <w:r>
      <w:rPr>
        <w:b/>
      </w:rPr>
      <w:t>3</w:t>
    </w:r>
    <w:r w:rsidRPr="00107E15">
      <w:rPr>
        <w:b/>
      </w:rPr>
      <w:t>.</w:t>
    </w:r>
    <w:r w:rsidRPr="00107E15">
      <w:t xml:space="preserve"> Step </w:t>
    </w:r>
    <w:r>
      <w:t>2</w:t>
    </w:r>
    <w:r w:rsidRPr="00107E15">
      <w:t>.</w:t>
    </w:r>
    <w:r>
      <w:t xml:space="preserve"> Sub-step 1. </w:t>
    </w:r>
    <w:fldSimple w:instr=" STYLEREF  H1 \t  \* MERGEFORMAT ">
      <w:r w:rsidR="000A08B4">
        <w:rPr>
          <w:noProof/>
          <w:rtl/>
        </w:rPr>
        <w:t>ما هي الاعتبارات التي تؤثر على قيمة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38" w:rsidRDefault="00DD3D38" w:rsidP="00EB7075">
      <w:r>
        <w:separator/>
      </w:r>
    </w:p>
  </w:footnote>
  <w:footnote w:type="continuationSeparator" w:id="1">
    <w:p w:rsidR="00DD3D38" w:rsidRDefault="00DD3D38" w:rsidP="00EB7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50" w:rsidRPr="00074036" w:rsidRDefault="00D51550"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724F2"/>
    <w:multiLevelType w:val="hybridMultilevel"/>
    <w:tmpl w:val="0628A04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DFF"/>
    <w:multiLevelType w:val="hybridMultilevel"/>
    <w:tmpl w:val="9AEE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5F5E"/>
    <w:multiLevelType w:val="hybridMultilevel"/>
    <w:tmpl w:val="F06CF9B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6380B"/>
    <w:multiLevelType w:val="hybridMultilevel"/>
    <w:tmpl w:val="6360EC9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F42DA6"/>
    <w:multiLevelType w:val="hybridMultilevel"/>
    <w:tmpl w:val="910AA2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466826"/>
    <w:multiLevelType w:val="hybridMultilevel"/>
    <w:tmpl w:val="6FFEC100"/>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82C45"/>
    <w:multiLevelType w:val="hybridMultilevel"/>
    <w:tmpl w:val="1B7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1563D"/>
    <w:multiLevelType w:val="hybridMultilevel"/>
    <w:tmpl w:val="26003378"/>
    <w:lvl w:ilvl="0" w:tplc="100C0005">
      <w:start w:val="1"/>
      <w:numFmt w:val="bullet"/>
      <w:lvlText w:val=""/>
      <w:lvlJc w:val="left"/>
      <w:pPr>
        <w:ind w:left="720" w:hanging="360"/>
      </w:pPr>
      <w:rPr>
        <w:rFonts w:ascii="Wingdings" w:hAnsi="Wingdings" w:hint="default"/>
      </w:rPr>
    </w:lvl>
    <w:lvl w:ilvl="1" w:tplc="ED4633BE">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70436"/>
    <w:multiLevelType w:val="hybridMultilevel"/>
    <w:tmpl w:val="5168629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551FA"/>
    <w:multiLevelType w:val="hybridMultilevel"/>
    <w:tmpl w:val="5A3C141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61BD4"/>
    <w:multiLevelType w:val="hybridMultilevel"/>
    <w:tmpl w:val="AA40DFEC"/>
    <w:lvl w:ilvl="0" w:tplc="906C12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4434F"/>
    <w:multiLevelType w:val="hybridMultilevel"/>
    <w:tmpl w:val="CEAE82E8"/>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F5CE3"/>
    <w:multiLevelType w:val="hybridMultilevel"/>
    <w:tmpl w:val="6FEADCEC"/>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55657"/>
    <w:multiLevelType w:val="hybridMultilevel"/>
    <w:tmpl w:val="FD50915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9A183F"/>
    <w:multiLevelType w:val="hybridMultilevel"/>
    <w:tmpl w:val="5A8282C6"/>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51E14CE"/>
    <w:multiLevelType w:val="hybridMultilevel"/>
    <w:tmpl w:val="3566120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663E1D"/>
    <w:multiLevelType w:val="hybridMultilevel"/>
    <w:tmpl w:val="7382CDB2"/>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6F5DC7"/>
    <w:multiLevelType w:val="hybridMultilevel"/>
    <w:tmpl w:val="A8F431E6"/>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453FB"/>
    <w:multiLevelType w:val="hybridMultilevel"/>
    <w:tmpl w:val="134E0BFC"/>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615D1"/>
    <w:multiLevelType w:val="hybridMultilevel"/>
    <w:tmpl w:val="740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E0584"/>
    <w:multiLevelType w:val="hybridMultilevel"/>
    <w:tmpl w:val="9606DA82"/>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A66D74"/>
    <w:multiLevelType w:val="hybridMultilevel"/>
    <w:tmpl w:val="A53CA0AC"/>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0B4320"/>
    <w:multiLevelType w:val="hybridMultilevel"/>
    <w:tmpl w:val="CF0E03A4"/>
    <w:lvl w:ilvl="0" w:tplc="611CFDBE">
      <w:start w:val="1"/>
      <w:numFmt w:val="bullet"/>
      <w:lvlText w:val="•"/>
      <w:lvlJc w:val="left"/>
      <w:pPr>
        <w:ind w:left="1032" w:hanging="360"/>
      </w:pPr>
      <w:rPr>
        <w:rFonts w:ascii="Times New Roman" w:hAnsi="Times New Roman"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9">
    <w:nsid w:val="77485F9E"/>
    <w:multiLevelType w:val="hybridMultilevel"/>
    <w:tmpl w:val="FDCADE8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C3052"/>
    <w:multiLevelType w:val="hybridMultilevel"/>
    <w:tmpl w:val="02E6A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
  </w:num>
  <w:num w:numId="4">
    <w:abstractNumId w:val="19"/>
  </w:num>
  <w:num w:numId="5">
    <w:abstractNumId w:val="24"/>
  </w:num>
  <w:num w:numId="6">
    <w:abstractNumId w:val="16"/>
  </w:num>
  <w:num w:numId="7">
    <w:abstractNumId w:val="30"/>
  </w:num>
  <w:num w:numId="8">
    <w:abstractNumId w:val="15"/>
  </w:num>
  <w:num w:numId="9">
    <w:abstractNumId w:val="29"/>
  </w:num>
  <w:num w:numId="10">
    <w:abstractNumId w:val="1"/>
  </w:num>
  <w:num w:numId="11">
    <w:abstractNumId w:val="27"/>
  </w:num>
  <w:num w:numId="12">
    <w:abstractNumId w:val="7"/>
  </w:num>
  <w:num w:numId="13">
    <w:abstractNumId w:val="26"/>
  </w:num>
  <w:num w:numId="14">
    <w:abstractNumId w:val="18"/>
  </w:num>
  <w:num w:numId="15">
    <w:abstractNumId w:val="11"/>
  </w:num>
  <w:num w:numId="16">
    <w:abstractNumId w:val="6"/>
  </w:num>
  <w:num w:numId="17">
    <w:abstractNumId w:val="3"/>
  </w:num>
  <w:num w:numId="18">
    <w:abstractNumId w:val="9"/>
  </w:num>
  <w:num w:numId="19">
    <w:abstractNumId w:val="13"/>
  </w:num>
  <w:num w:numId="20">
    <w:abstractNumId w:val="23"/>
  </w:num>
  <w:num w:numId="21">
    <w:abstractNumId w:val="28"/>
  </w:num>
  <w:num w:numId="22">
    <w:abstractNumId w:val="14"/>
  </w:num>
  <w:num w:numId="23">
    <w:abstractNumId w:val="10"/>
  </w:num>
  <w:num w:numId="24">
    <w:abstractNumId w:val="8"/>
  </w:num>
  <w:num w:numId="25">
    <w:abstractNumId w:val="0"/>
  </w:num>
  <w:num w:numId="26">
    <w:abstractNumId w:val="17"/>
  </w:num>
  <w:num w:numId="27">
    <w:abstractNumId w:val="4"/>
  </w:num>
  <w:num w:numId="28">
    <w:abstractNumId w:val="20"/>
  </w:num>
  <w:num w:numId="29">
    <w:abstractNumId w:val="22"/>
  </w:num>
  <w:num w:numId="30">
    <w:abstractNumId w:val="21"/>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AA0620"/>
    <w:rsid w:val="00052869"/>
    <w:rsid w:val="00070569"/>
    <w:rsid w:val="00075E48"/>
    <w:rsid w:val="00090EFE"/>
    <w:rsid w:val="0009623B"/>
    <w:rsid w:val="000A08B4"/>
    <w:rsid w:val="000B799F"/>
    <w:rsid w:val="00112ACD"/>
    <w:rsid w:val="00117901"/>
    <w:rsid w:val="001479B4"/>
    <w:rsid w:val="00170CF3"/>
    <w:rsid w:val="0019707D"/>
    <w:rsid w:val="001D1010"/>
    <w:rsid w:val="002014EE"/>
    <w:rsid w:val="002061E4"/>
    <w:rsid w:val="00221EED"/>
    <w:rsid w:val="00251B80"/>
    <w:rsid w:val="002564FF"/>
    <w:rsid w:val="0028432F"/>
    <w:rsid w:val="002A4CB2"/>
    <w:rsid w:val="002C6FB6"/>
    <w:rsid w:val="002D19CD"/>
    <w:rsid w:val="002D2A8B"/>
    <w:rsid w:val="002F25B8"/>
    <w:rsid w:val="00301C9B"/>
    <w:rsid w:val="00321BFC"/>
    <w:rsid w:val="003952F0"/>
    <w:rsid w:val="003A4233"/>
    <w:rsid w:val="003A7787"/>
    <w:rsid w:val="003E4D4F"/>
    <w:rsid w:val="005343E3"/>
    <w:rsid w:val="005344B1"/>
    <w:rsid w:val="005F7BB1"/>
    <w:rsid w:val="00614878"/>
    <w:rsid w:val="006765AE"/>
    <w:rsid w:val="006A7284"/>
    <w:rsid w:val="006B16ED"/>
    <w:rsid w:val="006B3D70"/>
    <w:rsid w:val="006B75B1"/>
    <w:rsid w:val="00743AEB"/>
    <w:rsid w:val="007D5420"/>
    <w:rsid w:val="007F6C03"/>
    <w:rsid w:val="00836D38"/>
    <w:rsid w:val="00842488"/>
    <w:rsid w:val="00846D7E"/>
    <w:rsid w:val="00852F3B"/>
    <w:rsid w:val="009142B0"/>
    <w:rsid w:val="00933E34"/>
    <w:rsid w:val="00971D15"/>
    <w:rsid w:val="009C6F67"/>
    <w:rsid w:val="009D61C7"/>
    <w:rsid w:val="00A13267"/>
    <w:rsid w:val="00A43239"/>
    <w:rsid w:val="00A55B3D"/>
    <w:rsid w:val="00AA0620"/>
    <w:rsid w:val="00B65F9B"/>
    <w:rsid w:val="00B77EE4"/>
    <w:rsid w:val="00BB76D0"/>
    <w:rsid w:val="00C14EBD"/>
    <w:rsid w:val="00C83B4D"/>
    <w:rsid w:val="00CD72A3"/>
    <w:rsid w:val="00D375CF"/>
    <w:rsid w:val="00D51550"/>
    <w:rsid w:val="00DB04EC"/>
    <w:rsid w:val="00DB20F6"/>
    <w:rsid w:val="00DB3795"/>
    <w:rsid w:val="00DD3D38"/>
    <w:rsid w:val="00DE0307"/>
    <w:rsid w:val="00E21EDD"/>
    <w:rsid w:val="00E474BA"/>
    <w:rsid w:val="00E81BF8"/>
    <w:rsid w:val="00E843C4"/>
    <w:rsid w:val="00E93B1D"/>
    <w:rsid w:val="00EA3AAF"/>
    <w:rsid w:val="00EB7075"/>
    <w:rsid w:val="00EC0BE1"/>
    <w:rsid w:val="00EF2E5B"/>
    <w:rsid w:val="00EF6A28"/>
    <w:rsid w:val="00F97D16"/>
    <w:rsid w:val="00FB4C7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C4"/>
    <w:pPr>
      <w:spacing w:after="120"/>
      <w:jc w:val="both"/>
    </w:pPr>
    <w:rPr>
      <w:rFonts w:ascii="Arial" w:hAnsi="Arial" w:cs="Times New Roman"/>
    </w:rPr>
  </w:style>
  <w:style w:type="paragraph" w:styleId="Heading1">
    <w:name w:val="heading 1"/>
    <w:basedOn w:val="H1"/>
    <w:next w:val="Normal"/>
    <w:link w:val="Heading1Char"/>
    <w:uiPriority w:val="9"/>
    <w:rsid w:val="00E843C4"/>
  </w:style>
  <w:style w:type="paragraph" w:styleId="Heading2">
    <w:name w:val="heading 2"/>
    <w:basedOn w:val="Normal"/>
    <w:next w:val="Normal"/>
    <w:link w:val="Heading2Char"/>
    <w:uiPriority w:val="9"/>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843C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C4"/>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843C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E843C4"/>
    <w:pPr>
      <w:spacing w:after="0" w:line="288" w:lineRule="auto"/>
      <w:jc w:val="left"/>
    </w:pPr>
    <w:rPr>
      <w:sz w:val="16"/>
    </w:rPr>
  </w:style>
  <w:style w:type="character" w:customStyle="1" w:styleId="HeaderChar">
    <w:name w:val="Header Char"/>
    <w:basedOn w:val="DefaultParagraphFont"/>
    <w:link w:val="Header"/>
    <w:uiPriority w:val="99"/>
    <w:rsid w:val="00E843C4"/>
    <w:rPr>
      <w:rFonts w:ascii="Arial" w:hAnsi="Arial" w:cs="Times New Roman"/>
      <w:sz w:val="16"/>
    </w:rPr>
  </w:style>
  <w:style w:type="paragraph" w:styleId="Footer">
    <w:name w:val="footer"/>
    <w:basedOn w:val="Normal"/>
    <w:link w:val="FooterChar"/>
    <w:uiPriority w:val="99"/>
    <w:unhideWhenUsed/>
    <w:rsid w:val="00E843C4"/>
    <w:pPr>
      <w:spacing w:after="0"/>
      <w:jc w:val="left"/>
    </w:pPr>
    <w:rPr>
      <w:sz w:val="16"/>
      <w:szCs w:val="18"/>
    </w:rPr>
  </w:style>
  <w:style w:type="character" w:customStyle="1" w:styleId="FooterChar">
    <w:name w:val="Footer Char"/>
    <w:basedOn w:val="DefaultParagraphFont"/>
    <w:link w:val="Footer"/>
    <w:uiPriority w:val="99"/>
    <w:rsid w:val="00E843C4"/>
    <w:rPr>
      <w:rFonts w:ascii="Arial" w:hAnsi="Arial" w:cs="Times New Roman"/>
      <w:sz w:val="16"/>
      <w:szCs w:val="18"/>
    </w:rPr>
  </w:style>
  <w:style w:type="character" w:styleId="PageNumber">
    <w:name w:val="page number"/>
    <w:basedOn w:val="DefaultParagraphFont"/>
    <w:uiPriority w:val="99"/>
    <w:unhideWhenUsed/>
    <w:rsid w:val="00E843C4"/>
    <w:rPr>
      <w:b/>
    </w:rPr>
  </w:style>
  <w:style w:type="character" w:styleId="CommentReference">
    <w:name w:val="annotation reference"/>
    <w:basedOn w:val="DefaultParagraphFont"/>
    <w:uiPriority w:val="99"/>
    <w:semiHidden/>
    <w:unhideWhenUsed/>
    <w:rsid w:val="00E843C4"/>
    <w:rPr>
      <w:sz w:val="18"/>
      <w:szCs w:val="18"/>
    </w:rPr>
  </w:style>
  <w:style w:type="paragraph" w:styleId="CommentText">
    <w:name w:val="annotation text"/>
    <w:basedOn w:val="Normal"/>
    <w:link w:val="CommentTextChar"/>
    <w:uiPriority w:val="99"/>
    <w:semiHidden/>
    <w:unhideWhenUsed/>
    <w:rsid w:val="00C83B4D"/>
  </w:style>
  <w:style w:type="character" w:customStyle="1" w:styleId="CommentTextChar">
    <w:name w:val="Comment Text Char"/>
    <w:basedOn w:val="DefaultParagraphFont"/>
    <w:link w:val="CommentText"/>
    <w:uiPriority w:val="99"/>
    <w:semiHidden/>
    <w:rsid w:val="00C83B4D"/>
    <w:rPr>
      <w:lang w:val="en-GB"/>
    </w:rPr>
  </w:style>
  <w:style w:type="paragraph" w:styleId="CommentSubject">
    <w:name w:val="annotation subject"/>
    <w:basedOn w:val="Normal"/>
    <w:link w:val="CommentSubjectChar"/>
    <w:uiPriority w:val="99"/>
    <w:semiHidden/>
    <w:unhideWhenUsed/>
    <w:rsid w:val="00E843C4"/>
    <w:rPr>
      <w:b/>
      <w:bCs/>
    </w:rPr>
  </w:style>
  <w:style w:type="character" w:customStyle="1" w:styleId="CommentSubjectChar">
    <w:name w:val="Comment Subject Char"/>
    <w:basedOn w:val="DefaultParagraphFont"/>
    <w:link w:val="CommentSubject"/>
    <w:uiPriority w:val="99"/>
    <w:semiHidden/>
    <w:rsid w:val="00E843C4"/>
    <w:rPr>
      <w:rFonts w:ascii="Arial" w:hAnsi="Arial" w:cs="Times New Roman"/>
      <w:b/>
      <w:bCs/>
    </w:rPr>
  </w:style>
  <w:style w:type="paragraph" w:styleId="BalloonText">
    <w:name w:val="Balloon Text"/>
    <w:basedOn w:val="Normal"/>
    <w:link w:val="BalloonTextChar"/>
    <w:uiPriority w:val="99"/>
    <w:semiHidden/>
    <w:unhideWhenUsed/>
    <w:rsid w:val="00E843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3C4"/>
    <w:rPr>
      <w:rFonts w:ascii="Lucida Grande" w:hAnsi="Lucida Grande" w:cs="Lucida Grande"/>
      <w:sz w:val="18"/>
      <w:szCs w:val="18"/>
    </w:rPr>
  </w:style>
  <w:style w:type="table" w:customStyle="1" w:styleId="Tablaconcuadrcula1">
    <w:name w:val="Tabla con cuadrícula1"/>
    <w:basedOn w:val="TableNormal"/>
    <w:next w:val="TableGrid"/>
    <w:uiPriority w:val="59"/>
    <w:rsid w:val="00321BFC"/>
    <w:pPr>
      <w:jc w:val="both"/>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3C4"/>
    <w:rPr>
      <w:color w:val="0000FF" w:themeColor="hyperlink"/>
      <w:u w:val="single"/>
    </w:rPr>
  </w:style>
  <w:style w:type="paragraph" w:styleId="NoSpacing">
    <w:name w:val="No Spacing"/>
    <w:uiPriority w:val="1"/>
    <w:qFormat/>
    <w:rsid w:val="009142B0"/>
    <w:rPr>
      <w:lang w:val="en-GB"/>
    </w:rPr>
  </w:style>
  <w:style w:type="character" w:customStyle="1" w:styleId="Heading1Char">
    <w:name w:val="Heading 1 Char"/>
    <w:basedOn w:val="DefaultParagraphFont"/>
    <w:link w:val="Heading1"/>
    <w:uiPriority w:val="9"/>
    <w:rsid w:val="00E843C4"/>
    <w:rPr>
      <w:rFonts w:ascii="Arial" w:hAnsi="Arial" w:cs="Times New Roman"/>
      <w:b/>
      <w:sz w:val="40"/>
      <w:szCs w:val="52"/>
    </w:rPr>
  </w:style>
  <w:style w:type="character" w:customStyle="1" w:styleId="Heading2Char">
    <w:name w:val="Heading 2 Char"/>
    <w:basedOn w:val="DefaultParagraphFont"/>
    <w:link w:val="Heading2"/>
    <w:uiPriority w:val="9"/>
    <w:rsid w:val="00E843C4"/>
    <w:rPr>
      <w:rFonts w:ascii="Arial" w:hAnsi="Arial" w:cs="Times New Roman"/>
      <w:b/>
      <w:caps/>
      <w:sz w:val="24"/>
      <w:szCs w:val="26"/>
    </w:rPr>
  </w:style>
  <w:style w:type="character" w:customStyle="1" w:styleId="Heading3Char">
    <w:name w:val="Heading 3 Char"/>
    <w:basedOn w:val="DefaultParagraphFont"/>
    <w:link w:val="Heading3"/>
    <w:uiPriority w:val="9"/>
    <w:rsid w:val="00E843C4"/>
    <w:rPr>
      <w:rFonts w:ascii="Arial" w:hAnsi="Arial" w:cs="Times New Roman"/>
      <w:b/>
      <w:sz w:val="22"/>
      <w:szCs w:val="24"/>
    </w:rPr>
  </w:style>
  <w:style w:type="character" w:customStyle="1" w:styleId="ListParagraphChar">
    <w:name w:val="List Paragraph Char"/>
    <w:basedOn w:val="DefaultParagraphFont"/>
    <w:link w:val="ListParagraph"/>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843C4"/>
    <w:rPr>
      <w:color w:val="800080" w:themeColor="followedHyperlink"/>
      <w:u w:val="single"/>
    </w:rPr>
  </w:style>
  <w:style w:type="paragraph" w:styleId="FootnoteText">
    <w:name w:val="footnote text"/>
    <w:basedOn w:val="Normal"/>
    <w:link w:val="FootnoteTextChar"/>
    <w:uiPriority w:val="99"/>
    <w:unhideWhenUsed/>
    <w:rsid w:val="00E843C4"/>
    <w:pPr>
      <w:spacing w:after="0"/>
    </w:pPr>
    <w:rPr>
      <w:sz w:val="16"/>
      <w:szCs w:val="22"/>
    </w:rPr>
  </w:style>
  <w:style w:type="character" w:customStyle="1" w:styleId="FootnoteTextChar">
    <w:name w:val="Footnote Text Char"/>
    <w:basedOn w:val="DefaultParagraphFont"/>
    <w:link w:val="FootnoteText"/>
    <w:uiPriority w:val="99"/>
    <w:rsid w:val="00E843C4"/>
    <w:rPr>
      <w:rFonts w:ascii="Arial" w:hAnsi="Arial" w:cs="Times New Roman"/>
      <w:sz w:val="16"/>
      <w:szCs w:val="22"/>
    </w:rPr>
  </w:style>
  <w:style w:type="character" w:styleId="FootnoteReference">
    <w:name w:val="footnote reference"/>
    <w:basedOn w:val="DefaultParagraphFont"/>
    <w:uiPriority w:val="99"/>
    <w:unhideWhenUsed/>
    <w:rsid w:val="00E843C4"/>
    <w:rPr>
      <w:vertAlign w:val="superscript"/>
    </w:rPr>
  </w:style>
  <w:style w:type="paragraph" w:styleId="Revision">
    <w:name w:val="Revision"/>
    <w:hidden/>
    <w:uiPriority w:val="99"/>
    <w:semiHidden/>
    <w:rsid w:val="00E843C4"/>
    <w:rPr>
      <w:rFonts w:ascii="Arial" w:hAnsi="Arial" w:cs="Arial"/>
      <w:sz w:val="21"/>
      <w:szCs w:val="21"/>
    </w:rPr>
  </w:style>
  <w:style w:type="paragraph" w:customStyle="1" w:styleId="BasicParagraph">
    <w:name w:val="[Basic Paragraph]"/>
    <w:basedOn w:val="Normal"/>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843C4"/>
    <w:pPr>
      <w:spacing w:before="360" w:after="240"/>
      <w:jc w:val="left"/>
      <w:outlineLvl w:val="0"/>
    </w:pPr>
    <w:rPr>
      <w:b/>
      <w:sz w:val="40"/>
      <w:szCs w:val="52"/>
    </w:rPr>
  </w:style>
  <w:style w:type="paragraph" w:customStyle="1" w:styleId="Bullet1">
    <w:name w:val="Bullet 1"/>
    <w:basedOn w:val="Normal"/>
    <w:rsid w:val="00E843C4"/>
    <w:pPr>
      <w:numPr>
        <w:numId w:val="27"/>
      </w:numPr>
      <w:spacing w:before="60"/>
    </w:pPr>
    <w:rPr>
      <w:rFonts w:eastAsia="Times New Roman"/>
      <w:color w:val="000000"/>
    </w:rPr>
  </w:style>
  <w:style w:type="paragraph" w:customStyle="1" w:styleId="RefItem1">
    <w:name w:val="Ref Item 1"/>
    <w:basedOn w:val="Normal"/>
    <w:rsid w:val="00E843C4"/>
    <w:pPr>
      <w:jc w:val="left"/>
    </w:pPr>
    <w:rPr>
      <w:color w:val="000000"/>
      <w:szCs w:val="24"/>
      <w:lang w:eastAsia="it-IT"/>
    </w:rPr>
  </w:style>
  <w:style w:type="paragraph" w:customStyle="1" w:styleId="RefTitre">
    <w:name w:val="Ref Titre"/>
    <w:basedOn w:val="Normal"/>
    <w:rsid w:val="00E843C4"/>
    <w:pPr>
      <w:jc w:val="left"/>
    </w:pPr>
    <w:rPr>
      <w:rFonts w:eastAsia="Times New Roman"/>
      <w:b/>
      <w:bCs/>
      <w:sz w:val="26"/>
      <w:szCs w:val="26"/>
    </w:rPr>
  </w:style>
  <w:style w:type="paragraph" w:customStyle="1" w:styleId="Header1">
    <w:name w:val="Header 1"/>
    <w:basedOn w:val="Header"/>
    <w:rsid w:val="00E843C4"/>
    <w:rPr>
      <w:b/>
      <w:sz w:val="24"/>
      <w:szCs w:val="24"/>
    </w:rPr>
  </w:style>
  <w:style w:type="character" w:customStyle="1" w:styleId="Pantone485">
    <w:name w:val="Pantone 485"/>
    <w:basedOn w:val="DefaultParagraphFont"/>
    <w:uiPriority w:val="1"/>
    <w:qFormat/>
    <w:rsid w:val="00E843C4"/>
    <w:rPr>
      <w:rFonts w:cs="Caecilia-Light"/>
      <w:color w:val="DC281E"/>
      <w:szCs w:val="16"/>
    </w:rPr>
  </w:style>
  <w:style w:type="character" w:customStyle="1" w:styleId="H1Char">
    <w:name w:val="H1 Char"/>
    <w:basedOn w:val="DefaultParagraphFont"/>
    <w:link w:val="H1"/>
    <w:rsid w:val="00E843C4"/>
    <w:rPr>
      <w:rFonts w:ascii="Arial" w:hAnsi="Arial" w:cs="Times New Roman"/>
      <w:b/>
      <w:sz w:val="40"/>
      <w:szCs w:val="52"/>
    </w:rPr>
  </w:style>
  <w:style w:type="table" w:customStyle="1" w:styleId="TableGray">
    <w:name w:val="Table Gray"/>
    <w:basedOn w:val="TableNormal"/>
    <w:uiPriority w:val="99"/>
    <w:rsid w:val="00E843C4"/>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843C4"/>
    <w:pPr>
      <w:numPr>
        <w:numId w:val="28"/>
      </w:numPr>
      <w:tabs>
        <w:tab w:val="left" w:pos="7230"/>
      </w:tabs>
      <w:spacing w:before="120" w:after="120"/>
      <w:contextualSpacing w:val="0"/>
    </w:pPr>
    <w:rPr>
      <w:rFonts w:cs="Arial"/>
    </w:rPr>
  </w:style>
  <w:style w:type="paragraph" w:customStyle="1" w:styleId="ListNumber1">
    <w:name w:val="List Number 1"/>
    <w:basedOn w:val="Normal"/>
    <w:rsid w:val="00E843C4"/>
    <w:pPr>
      <w:numPr>
        <w:ilvl w:val="1"/>
        <w:numId w:val="25"/>
      </w:numPr>
      <w:contextualSpacing/>
    </w:pPr>
    <w:rPr>
      <w:rFonts w:eastAsiaTheme="minorHAnsi" w:cstheme="minorHAnsi"/>
      <w:szCs w:val="22"/>
    </w:rPr>
  </w:style>
  <w:style w:type="paragraph" w:customStyle="1" w:styleId="NormalNo">
    <w:name w:val="Normal + No"/>
    <w:basedOn w:val="Normal"/>
    <w:qFormat/>
    <w:rsid w:val="00E843C4"/>
    <w:pPr>
      <w:numPr>
        <w:numId w:val="26"/>
      </w:numPr>
    </w:pPr>
    <w:rPr>
      <w:rFonts w:eastAsia="MS Mincho"/>
      <w:b/>
      <w:sz w:val="22"/>
    </w:rPr>
  </w:style>
  <w:style w:type="paragraph" w:customStyle="1" w:styleId="Bullet3">
    <w:name w:val="Bullet 3"/>
    <w:basedOn w:val="ListParagraph"/>
    <w:qFormat/>
    <w:rsid w:val="00E843C4"/>
    <w:pPr>
      <w:numPr>
        <w:numId w:val="29"/>
      </w:numPr>
      <w:spacing w:before="120" w:after="120"/>
      <w:ind w:right="425"/>
    </w:pPr>
    <w:rPr>
      <w:rFonts w:cs="Arial"/>
      <w:i/>
      <w:iCs/>
    </w:rPr>
  </w:style>
  <w:style w:type="paragraph" w:customStyle="1" w:styleId="Indent">
    <w:name w:val="Indent"/>
    <w:basedOn w:val="Normal"/>
    <w:qFormat/>
    <w:rsid w:val="00E843C4"/>
    <w:pPr>
      <w:ind w:left="567"/>
    </w:pPr>
    <w:rPr>
      <w:rFonts w:cs="Arial"/>
      <w:b/>
    </w:rPr>
  </w:style>
  <w:style w:type="paragraph" w:customStyle="1" w:styleId="TitreTableau">
    <w:name w:val="Titre Tableau"/>
    <w:basedOn w:val="Normal"/>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numPr>
        <w:numId w:val="3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C4"/>
    <w:pPr>
      <w:spacing w:after="120"/>
      <w:jc w:val="both"/>
    </w:pPr>
    <w:rPr>
      <w:rFonts w:ascii="Arial" w:hAnsi="Arial" w:cs="Times New Roman"/>
    </w:rPr>
  </w:style>
  <w:style w:type="paragraph" w:styleId="Heading1">
    <w:name w:val="heading 1"/>
    <w:basedOn w:val="H1"/>
    <w:next w:val="Normal"/>
    <w:link w:val="Heading1Char"/>
    <w:uiPriority w:val="9"/>
    <w:rsid w:val="00E843C4"/>
  </w:style>
  <w:style w:type="paragraph" w:styleId="Heading2">
    <w:name w:val="heading 2"/>
    <w:basedOn w:val="Normal"/>
    <w:next w:val="Normal"/>
    <w:link w:val="Heading2Char"/>
    <w:uiPriority w:val="9"/>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843C4"/>
    <w:pPr>
      <w:keepNext/>
      <w:spacing w:before="240"/>
      <w:jc w:val="left"/>
      <w:outlineLvl w:val="2"/>
    </w:pPr>
    <w:rPr>
      <w:b/>
      <w:sz w:val="22"/>
      <w:szCs w:val="24"/>
    </w:rPr>
  </w:style>
  <w:style w:type="character" w:default="1" w:styleId="DefaultParagraphFont">
    <w:name w:val="Default Paragraph Font"/>
    <w:uiPriority w:val="1"/>
    <w:semiHidden/>
    <w:unhideWhenUsed/>
    <w:rsid w:val="00E84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3C4"/>
  </w:style>
  <w:style w:type="table" w:styleId="TableGrid">
    <w:name w:val="Table Grid"/>
    <w:basedOn w:val="TableNormal"/>
    <w:uiPriority w:val="59"/>
    <w:rsid w:val="00E843C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43C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E843C4"/>
    <w:pPr>
      <w:spacing w:after="0" w:line="288" w:lineRule="auto"/>
      <w:jc w:val="left"/>
    </w:pPr>
    <w:rPr>
      <w:sz w:val="16"/>
    </w:rPr>
  </w:style>
  <w:style w:type="character" w:customStyle="1" w:styleId="HeaderChar">
    <w:name w:val="Header Char"/>
    <w:basedOn w:val="DefaultParagraphFont"/>
    <w:link w:val="Header"/>
    <w:uiPriority w:val="99"/>
    <w:rsid w:val="00E843C4"/>
    <w:rPr>
      <w:rFonts w:ascii="Arial" w:hAnsi="Arial" w:cs="Times New Roman"/>
      <w:sz w:val="16"/>
    </w:rPr>
  </w:style>
  <w:style w:type="paragraph" w:styleId="Footer">
    <w:name w:val="footer"/>
    <w:basedOn w:val="Normal"/>
    <w:link w:val="FooterChar"/>
    <w:uiPriority w:val="99"/>
    <w:unhideWhenUsed/>
    <w:rsid w:val="00E843C4"/>
    <w:pPr>
      <w:spacing w:after="0"/>
      <w:jc w:val="left"/>
    </w:pPr>
    <w:rPr>
      <w:sz w:val="16"/>
      <w:szCs w:val="18"/>
    </w:rPr>
  </w:style>
  <w:style w:type="character" w:customStyle="1" w:styleId="FooterChar">
    <w:name w:val="Footer Char"/>
    <w:basedOn w:val="DefaultParagraphFont"/>
    <w:link w:val="Footer"/>
    <w:uiPriority w:val="99"/>
    <w:rsid w:val="00E843C4"/>
    <w:rPr>
      <w:rFonts w:ascii="Arial" w:hAnsi="Arial" w:cs="Times New Roman"/>
      <w:sz w:val="16"/>
      <w:szCs w:val="18"/>
    </w:rPr>
  </w:style>
  <w:style w:type="character" w:styleId="PageNumber">
    <w:name w:val="page number"/>
    <w:basedOn w:val="DefaultParagraphFont"/>
    <w:uiPriority w:val="99"/>
    <w:unhideWhenUsed/>
    <w:rsid w:val="00E843C4"/>
    <w:rPr>
      <w:b/>
    </w:rPr>
  </w:style>
  <w:style w:type="character" w:styleId="CommentReference">
    <w:name w:val="annotation reference"/>
    <w:basedOn w:val="DefaultParagraphFont"/>
    <w:uiPriority w:val="99"/>
    <w:semiHidden/>
    <w:unhideWhenUsed/>
    <w:rsid w:val="00E843C4"/>
    <w:rPr>
      <w:sz w:val="18"/>
      <w:szCs w:val="18"/>
    </w:rPr>
  </w:style>
  <w:style w:type="paragraph" w:styleId="CommentText">
    <w:name w:val="annotation text"/>
    <w:basedOn w:val="Normal"/>
    <w:link w:val="CommentTextChar"/>
    <w:uiPriority w:val="99"/>
    <w:semiHidden/>
    <w:unhideWhenUsed/>
    <w:rsid w:val="00C83B4D"/>
  </w:style>
  <w:style w:type="character" w:customStyle="1" w:styleId="CommentTextChar">
    <w:name w:val="Comment Text Char"/>
    <w:basedOn w:val="DefaultParagraphFont"/>
    <w:link w:val="CommentText"/>
    <w:uiPriority w:val="99"/>
    <w:semiHidden/>
    <w:rsid w:val="00C83B4D"/>
    <w:rPr>
      <w:lang w:val="en-GB"/>
    </w:rPr>
  </w:style>
  <w:style w:type="paragraph" w:styleId="CommentSubject">
    <w:name w:val="annotation subject"/>
    <w:basedOn w:val="Normal"/>
    <w:link w:val="CommentSubjectChar"/>
    <w:uiPriority w:val="99"/>
    <w:semiHidden/>
    <w:unhideWhenUsed/>
    <w:rsid w:val="00E843C4"/>
    <w:rPr>
      <w:b/>
      <w:bCs/>
    </w:rPr>
  </w:style>
  <w:style w:type="character" w:customStyle="1" w:styleId="CommentSubjectChar">
    <w:name w:val="Comment Subject Char"/>
    <w:basedOn w:val="DefaultParagraphFont"/>
    <w:link w:val="CommentSubject"/>
    <w:uiPriority w:val="99"/>
    <w:semiHidden/>
    <w:rsid w:val="00E843C4"/>
    <w:rPr>
      <w:rFonts w:ascii="Arial" w:hAnsi="Arial" w:cs="Times New Roman"/>
      <w:b/>
      <w:bCs/>
    </w:rPr>
  </w:style>
  <w:style w:type="paragraph" w:styleId="BalloonText">
    <w:name w:val="Balloon Text"/>
    <w:basedOn w:val="Normal"/>
    <w:link w:val="BalloonTextChar"/>
    <w:uiPriority w:val="99"/>
    <w:semiHidden/>
    <w:unhideWhenUsed/>
    <w:rsid w:val="00E843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3C4"/>
    <w:rPr>
      <w:rFonts w:ascii="Lucida Grande" w:hAnsi="Lucida Grande" w:cs="Lucida Grande"/>
      <w:sz w:val="18"/>
      <w:szCs w:val="18"/>
    </w:rPr>
  </w:style>
  <w:style w:type="table" w:customStyle="1" w:styleId="Tablaconcuadrcula1">
    <w:name w:val="Tabla con cuadrícula1"/>
    <w:basedOn w:val="TableNormal"/>
    <w:next w:val="TableGrid"/>
    <w:uiPriority w:val="59"/>
    <w:rsid w:val="00321BFC"/>
    <w:pPr>
      <w:jc w:val="both"/>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3C4"/>
    <w:rPr>
      <w:color w:val="0000FF" w:themeColor="hyperlink"/>
      <w:u w:val="single"/>
    </w:rPr>
  </w:style>
  <w:style w:type="paragraph" w:styleId="NoSpacing">
    <w:name w:val="No Spacing"/>
    <w:uiPriority w:val="1"/>
    <w:qFormat/>
    <w:rsid w:val="009142B0"/>
    <w:rPr>
      <w:lang w:val="en-GB"/>
    </w:rPr>
  </w:style>
  <w:style w:type="character" w:customStyle="1" w:styleId="Heading1Char">
    <w:name w:val="Heading 1 Char"/>
    <w:basedOn w:val="DefaultParagraphFont"/>
    <w:link w:val="Heading1"/>
    <w:uiPriority w:val="9"/>
    <w:rsid w:val="00E843C4"/>
    <w:rPr>
      <w:rFonts w:ascii="Arial" w:hAnsi="Arial" w:cs="Times New Roman"/>
      <w:b/>
      <w:sz w:val="40"/>
      <w:szCs w:val="52"/>
    </w:rPr>
  </w:style>
  <w:style w:type="character" w:customStyle="1" w:styleId="Heading2Char">
    <w:name w:val="Heading 2 Char"/>
    <w:basedOn w:val="DefaultParagraphFont"/>
    <w:link w:val="Heading2"/>
    <w:uiPriority w:val="9"/>
    <w:rsid w:val="00E843C4"/>
    <w:rPr>
      <w:rFonts w:ascii="Arial" w:hAnsi="Arial" w:cs="Times New Roman"/>
      <w:b/>
      <w:caps/>
      <w:sz w:val="24"/>
      <w:szCs w:val="26"/>
    </w:rPr>
  </w:style>
  <w:style w:type="character" w:customStyle="1" w:styleId="Heading3Char">
    <w:name w:val="Heading 3 Char"/>
    <w:basedOn w:val="DefaultParagraphFont"/>
    <w:link w:val="Heading3"/>
    <w:uiPriority w:val="9"/>
    <w:rsid w:val="00E843C4"/>
    <w:rPr>
      <w:rFonts w:ascii="Arial" w:hAnsi="Arial" w:cs="Times New Roman"/>
      <w:b/>
      <w:sz w:val="22"/>
      <w:szCs w:val="24"/>
    </w:rPr>
  </w:style>
  <w:style w:type="character" w:customStyle="1" w:styleId="ListParagraphChar">
    <w:name w:val="List Paragraph Char"/>
    <w:basedOn w:val="DefaultParagraphFont"/>
    <w:link w:val="ListParagraph"/>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843C4"/>
    <w:rPr>
      <w:color w:val="800080" w:themeColor="followedHyperlink"/>
      <w:u w:val="single"/>
    </w:rPr>
  </w:style>
  <w:style w:type="paragraph" w:styleId="FootnoteText">
    <w:name w:val="footnote text"/>
    <w:basedOn w:val="Normal"/>
    <w:link w:val="FootnoteTextChar"/>
    <w:uiPriority w:val="99"/>
    <w:unhideWhenUsed/>
    <w:rsid w:val="00E843C4"/>
    <w:pPr>
      <w:spacing w:after="0"/>
    </w:pPr>
    <w:rPr>
      <w:sz w:val="16"/>
      <w:szCs w:val="22"/>
    </w:rPr>
  </w:style>
  <w:style w:type="character" w:customStyle="1" w:styleId="FootnoteTextChar">
    <w:name w:val="Footnote Text Char"/>
    <w:basedOn w:val="DefaultParagraphFont"/>
    <w:link w:val="FootnoteText"/>
    <w:uiPriority w:val="99"/>
    <w:rsid w:val="00E843C4"/>
    <w:rPr>
      <w:rFonts w:ascii="Arial" w:hAnsi="Arial" w:cs="Times New Roman"/>
      <w:sz w:val="16"/>
      <w:szCs w:val="22"/>
    </w:rPr>
  </w:style>
  <w:style w:type="character" w:styleId="FootnoteReference">
    <w:name w:val="footnote reference"/>
    <w:basedOn w:val="DefaultParagraphFont"/>
    <w:uiPriority w:val="99"/>
    <w:unhideWhenUsed/>
    <w:rsid w:val="00E843C4"/>
    <w:rPr>
      <w:vertAlign w:val="superscript"/>
    </w:rPr>
  </w:style>
  <w:style w:type="paragraph" w:styleId="Revision">
    <w:name w:val="Revision"/>
    <w:hidden/>
    <w:uiPriority w:val="99"/>
    <w:semiHidden/>
    <w:rsid w:val="00E843C4"/>
    <w:rPr>
      <w:rFonts w:ascii="Arial" w:hAnsi="Arial" w:cs="Arial"/>
      <w:sz w:val="21"/>
      <w:szCs w:val="21"/>
    </w:rPr>
  </w:style>
  <w:style w:type="paragraph" w:customStyle="1" w:styleId="BasicParagraph">
    <w:name w:val="[Basic Paragraph]"/>
    <w:basedOn w:val="Normal"/>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843C4"/>
    <w:pPr>
      <w:spacing w:before="360" w:after="240"/>
      <w:jc w:val="left"/>
      <w:outlineLvl w:val="0"/>
    </w:pPr>
    <w:rPr>
      <w:b/>
      <w:sz w:val="40"/>
      <w:szCs w:val="52"/>
    </w:rPr>
  </w:style>
  <w:style w:type="paragraph" w:customStyle="1" w:styleId="Bullet1">
    <w:name w:val="Bullet 1"/>
    <w:basedOn w:val="Normal"/>
    <w:rsid w:val="00E843C4"/>
    <w:pPr>
      <w:numPr>
        <w:numId w:val="27"/>
      </w:numPr>
      <w:spacing w:before="60"/>
    </w:pPr>
    <w:rPr>
      <w:rFonts w:eastAsia="Times New Roman"/>
      <w:color w:val="000000"/>
    </w:rPr>
  </w:style>
  <w:style w:type="paragraph" w:customStyle="1" w:styleId="RefItem1">
    <w:name w:val="Ref Item 1"/>
    <w:basedOn w:val="Normal"/>
    <w:rsid w:val="00E843C4"/>
    <w:pPr>
      <w:jc w:val="left"/>
    </w:pPr>
    <w:rPr>
      <w:color w:val="000000"/>
      <w:szCs w:val="24"/>
      <w:lang w:eastAsia="it-IT"/>
    </w:rPr>
  </w:style>
  <w:style w:type="paragraph" w:customStyle="1" w:styleId="RefTitre">
    <w:name w:val="Ref Titre"/>
    <w:basedOn w:val="Normal"/>
    <w:rsid w:val="00E843C4"/>
    <w:pPr>
      <w:jc w:val="left"/>
    </w:pPr>
    <w:rPr>
      <w:rFonts w:eastAsia="Times New Roman"/>
      <w:b/>
      <w:bCs/>
      <w:sz w:val="26"/>
      <w:szCs w:val="26"/>
    </w:rPr>
  </w:style>
  <w:style w:type="paragraph" w:customStyle="1" w:styleId="Header1">
    <w:name w:val="Header 1"/>
    <w:basedOn w:val="Header"/>
    <w:rsid w:val="00E843C4"/>
    <w:rPr>
      <w:b/>
      <w:sz w:val="24"/>
      <w:szCs w:val="24"/>
    </w:rPr>
  </w:style>
  <w:style w:type="character" w:customStyle="1" w:styleId="Pantone485">
    <w:name w:val="Pantone 485"/>
    <w:basedOn w:val="DefaultParagraphFont"/>
    <w:uiPriority w:val="1"/>
    <w:qFormat/>
    <w:rsid w:val="00E843C4"/>
    <w:rPr>
      <w:rFonts w:cs="Caecilia-Light"/>
      <w:color w:val="DC281E"/>
      <w:szCs w:val="16"/>
    </w:rPr>
  </w:style>
  <w:style w:type="character" w:customStyle="1" w:styleId="H1Char">
    <w:name w:val="H1 Char"/>
    <w:basedOn w:val="DefaultParagraphFont"/>
    <w:link w:val="H1"/>
    <w:rsid w:val="00E843C4"/>
    <w:rPr>
      <w:rFonts w:ascii="Arial" w:hAnsi="Arial" w:cs="Times New Roman"/>
      <w:b/>
      <w:sz w:val="40"/>
      <w:szCs w:val="52"/>
    </w:rPr>
  </w:style>
  <w:style w:type="table" w:customStyle="1" w:styleId="TableGray">
    <w:name w:val="Table Gray"/>
    <w:basedOn w:val="TableNormal"/>
    <w:uiPriority w:val="99"/>
    <w:rsid w:val="00E843C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843C4"/>
    <w:pPr>
      <w:numPr>
        <w:numId w:val="28"/>
      </w:numPr>
      <w:tabs>
        <w:tab w:val="left" w:pos="7230"/>
      </w:tabs>
      <w:spacing w:before="120" w:after="120"/>
      <w:contextualSpacing w:val="0"/>
    </w:pPr>
    <w:rPr>
      <w:rFonts w:cs="Arial"/>
    </w:rPr>
  </w:style>
  <w:style w:type="paragraph" w:customStyle="1" w:styleId="ListNumber1">
    <w:name w:val="List Number 1"/>
    <w:basedOn w:val="Normal"/>
    <w:rsid w:val="00E843C4"/>
    <w:pPr>
      <w:numPr>
        <w:ilvl w:val="1"/>
        <w:numId w:val="25"/>
      </w:numPr>
      <w:contextualSpacing/>
    </w:pPr>
    <w:rPr>
      <w:rFonts w:eastAsiaTheme="minorHAnsi" w:cstheme="minorHAnsi"/>
      <w:szCs w:val="22"/>
    </w:rPr>
  </w:style>
  <w:style w:type="paragraph" w:customStyle="1" w:styleId="NormalNo">
    <w:name w:val="Normal + No"/>
    <w:basedOn w:val="Normal"/>
    <w:qFormat/>
    <w:rsid w:val="00E843C4"/>
    <w:pPr>
      <w:numPr>
        <w:numId w:val="26"/>
      </w:numPr>
    </w:pPr>
    <w:rPr>
      <w:rFonts w:eastAsia="MS Mincho"/>
      <w:b/>
      <w:sz w:val="22"/>
    </w:rPr>
  </w:style>
  <w:style w:type="paragraph" w:customStyle="1" w:styleId="Bullet3">
    <w:name w:val="Bullet 3"/>
    <w:basedOn w:val="ListParagraph"/>
    <w:qFormat/>
    <w:rsid w:val="00E843C4"/>
    <w:pPr>
      <w:numPr>
        <w:numId w:val="29"/>
      </w:numPr>
      <w:spacing w:before="120" w:after="120"/>
      <w:ind w:right="425"/>
    </w:pPr>
    <w:rPr>
      <w:rFonts w:cs="Arial"/>
      <w:i/>
      <w:iCs/>
    </w:rPr>
  </w:style>
  <w:style w:type="paragraph" w:customStyle="1" w:styleId="Indent">
    <w:name w:val="Indent"/>
    <w:basedOn w:val="Normal"/>
    <w:qFormat/>
    <w:rsid w:val="00E843C4"/>
    <w:pPr>
      <w:ind w:left="567"/>
    </w:pPr>
    <w:rPr>
      <w:rFonts w:cs="Arial"/>
      <w:b/>
    </w:rPr>
  </w:style>
  <w:style w:type="paragraph" w:customStyle="1" w:styleId="TitreTableau">
    <w:name w:val="Titre Tableau"/>
    <w:basedOn w:val="Normal"/>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numPr>
        <w:numId w:val="3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727756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4A4B-F6C1-4911-B81D-C05EE1BD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251</TotalTime>
  <Pages>2</Pages>
  <Words>535</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30</cp:revision>
  <cp:lastPrinted>2015-09-28T20:05:00Z</cp:lastPrinted>
  <dcterms:created xsi:type="dcterms:W3CDTF">2015-06-02T16:32:00Z</dcterms:created>
  <dcterms:modified xsi:type="dcterms:W3CDTF">2016-01-14T14:18:00Z</dcterms:modified>
</cp:coreProperties>
</file>