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3A" w:rsidRPr="008716B9" w:rsidRDefault="00BC633A" w:rsidP="008716B9">
      <w:pPr>
        <w:pStyle w:val="H1"/>
        <w:bidi/>
        <w:jc w:val="center"/>
        <w:rPr>
          <w:rFonts w:cs="Arial"/>
          <w:b w:val="0"/>
          <w:bCs/>
          <w:sz w:val="28"/>
          <w:szCs w:val="28"/>
          <w:rtl/>
        </w:rPr>
      </w:pPr>
      <w:r w:rsidRPr="008716B9">
        <w:rPr>
          <w:rFonts w:cs="Arial"/>
          <w:b w:val="0"/>
          <w:bCs/>
          <w:sz w:val="28"/>
          <w:szCs w:val="28"/>
          <w:rtl/>
        </w:rPr>
        <w:t>مسؤوليات فرق تنسيق التحويلات النقدية</w:t>
      </w:r>
    </w:p>
    <w:p w:rsidR="000D4C50" w:rsidRPr="008716B9" w:rsidRDefault="005E6A78" w:rsidP="008716B9">
      <w:pPr>
        <w:pStyle w:val="H1"/>
        <w:bidi/>
        <w:jc w:val="both"/>
        <w:rPr>
          <w:rFonts w:cs="Arial"/>
          <w:sz w:val="28"/>
          <w:szCs w:val="28"/>
          <w:rtl/>
        </w:rPr>
      </w:pPr>
      <w:r w:rsidRPr="008716B9">
        <w:rPr>
          <w:rFonts w:cs="Arial"/>
          <w:sz w:val="28"/>
          <w:szCs w:val="28"/>
          <w:rtl/>
        </w:rPr>
        <w:t xml:space="preserve">أنشأت فرق تنسيق في لبنان، والفلبين، وهايتي، والصومال، وجمهورية الكونغو الديمقراطية، وباكستان. وقد أعدت </w:t>
      </w:r>
      <w:r w:rsidRPr="008716B9">
        <w:rPr>
          <w:rFonts w:cs="Arial"/>
          <w:sz w:val="28"/>
          <w:szCs w:val="28"/>
        </w:rPr>
        <w:t>CaLP</w:t>
      </w:r>
      <w:r w:rsidRPr="008716B9">
        <w:rPr>
          <w:rFonts w:cs="Arial"/>
          <w:sz w:val="28"/>
          <w:szCs w:val="28"/>
          <w:rtl/>
        </w:rPr>
        <w:t xml:space="preserve"> بعض هذه الفرق، فيما تولت الوكالات المعنية تشكيل البعض الآخر. </w:t>
      </w:r>
    </w:p>
    <w:p w:rsidR="005E6A78" w:rsidRPr="008716B9" w:rsidRDefault="005E6A78" w:rsidP="008716B9">
      <w:pPr>
        <w:pStyle w:val="H1"/>
        <w:bidi/>
        <w:jc w:val="both"/>
        <w:rPr>
          <w:rFonts w:cs="Arial"/>
          <w:sz w:val="28"/>
          <w:szCs w:val="28"/>
          <w:rtl/>
        </w:rPr>
      </w:pPr>
      <w:r w:rsidRPr="008716B9">
        <w:rPr>
          <w:rFonts w:cs="Arial"/>
          <w:sz w:val="28"/>
          <w:szCs w:val="28"/>
          <w:rtl/>
        </w:rPr>
        <w:t>وفي ما يلي لمحة حول أبرز مسؤوليات هذه الفرق:</w:t>
      </w:r>
    </w:p>
    <w:p w:rsidR="005E6A78" w:rsidRPr="008716B9" w:rsidRDefault="00463FA4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 xml:space="preserve">الحرص على تنسيق برامج التحويلات النقدية بين الوكالات، بما في ذلك تحديد الموقع الجغرافي، والاطار الزمني للتدخلات، وقيمة التحويل. </w:t>
      </w:r>
    </w:p>
    <w:p w:rsidR="00463FA4" w:rsidRPr="008716B9" w:rsidRDefault="00D02DE8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تتبع المعلومات الخاصة بالتدخلات النقدية التي تضطلع بها وكالة، والمنطقة الجغرافية، ونوع برنامج التحويل النقدي، وآليات التحويل.</w:t>
      </w:r>
    </w:p>
    <w:p w:rsidR="00D02DE8" w:rsidRPr="008716B9" w:rsidRDefault="00D02DE8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توثيق الدروس المستفادة من التدخلات النقدية وتعميمها في اجتماعات التنسيق.</w:t>
      </w:r>
    </w:p>
    <w:p w:rsidR="00D02DE8" w:rsidRPr="008716B9" w:rsidRDefault="003F3B05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تقديم التوصيات لتحسين أدوات البرامج والإرشادات (ادوات الرصد والتتبع، آليات تقديم الشكاوى المشتركة، أدوات المساءلة، توحيد المعدلات).</w:t>
      </w:r>
    </w:p>
    <w:p w:rsidR="003F3B05" w:rsidRPr="008716B9" w:rsidRDefault="00F96557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القيام بزيارات ميدانية مشتركة لرصد الحاجات، ودعم فرق العمل، وإصدار دراسات الحالة.</w:t>
      </w:r>
    </w:p>
    <w:p w:rsidR="00F96557" w:rsidRPr="008716B9" w:rsidRDefault="00F96557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وضع نهج معيارية ومشتركة.</w:t>
      </w:r>
    </w:p>
    <w:p w:rsidR="00F96557" w:rsidRPr="008716B9" w:rsidRDefault="007417B7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تحديد مجالات التعاون بين الوكالات.</w:t>
      </w:r>
    </w:p>
    <w:p w:rsidR="007417B7" w:rsidRPr="008716B9" w:rsidRDefault="00B85028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 xml:space="preserve">تبادل المعلومات حول آليات التحويل النقدي، </w:t>
      </w:r>
    </w:p>
    <w:p w:rsidR="00B85028" w:rsidRPr="008716B9" w:rsidRDefault="00B85028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تبادل المعلومات بشأن آليات التحويل النقدي، وتشجيع النقاش، وتحديد مجالات الابتكار والمواءمة.</w:t>
      </w:r>
    </w:p>
    <w:p w:rsidR="00B85028" w:rsidRPr="008716B9" w:rsidRDefault="00B85028" w:rsidP="008716B9">
      <w:pPr>
        <w:pStyle w:val="Bullet2"/>
        <w:numPr>
          <w:ilvl w:val="0"/>
          <w:numId w:val="9"/>
        </w:numPr>
        <w:bidi/>
        <w:spacing w:before="144" w:after="48"/>
        <w:rPr>
          <w:sz w:val="28"/>
          <w:szCs w:val="28"/>
          <w:lang w:val="en-GB"/>
        </w:rPr>
      </w:pPr>
      <w:r w:rsidRPr="008716B9">
        <w:rPr>
          <w:sz w:val="28"/>
          <w:szCs w:val="28"/>
          <w:rtl/>
          <w:lang w:val="en-GB"/>
        </w:rPr>
        <w:t xml:space="preserve"> إشراك القطاع الخاص،</w:t>
      </w:r>
      <w:r w:rsidR="002D5C6E" w:rsidRPr="008716B9">
        <w:rPr>
          <w:sz w:val="28"/>
          <w:szCs w:val="28"/>
          <w:rtl/>
          <w:lang w:val="en-GB"/>
        </w:rPr>
        <w:t xml:space="preserve"> والمؤسسات الأكاديمية، والمالية في المناقشات وعملية اتخاذ القرارات.</w:t>
      </w:r>
    </w:p>
    <w:p w:rsidR="00612A17" w:rsidRPr="008716B9" w:rsidRDefault="00612A17" w:rsidP="008716B9">
      <w:pPr>
        <w:pStyle w:val="ListParagraph"/>
        <w:numPr>
          <w:ilvl w:val="0"/>
          <w:numId w:val="9"/>
        </w:numPr>
        <w:bidi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 xml:space="preserve">إنشاء مراكز مشتركة خاصة ببرامج التحويلات النقدية عبر التعميم، والتأثير في الجهات الفاعلة الرئيسية، وصياغة السياسات. </w:t>
      </w:r>
    </w:p>
    <w:p w:rsidR="00612A17" w:rsidRPr="008716B9" w:rsidRDefault="00612A17" w:rsidP="008716B9">
      <w:pPr>
        <w:pStyle w:val="Bullet2"/>
        <w:numPr>
          <w:ilvl w:val="0"/>
          <w:numId w:val="9"/>
        </w:numPr>
        <w:bidi/>
        <w:spacing w:before="144" w:after="48"/>
        <w:rPr>
          <w:sz w:val="28"/>
          <w:szCs w:val="28"/>
          <w:lang w:val="en-GB"/>
        </w:rPr>
      </w:pPr>
      <w:r w:rsidRPr="008716B9">
        <w:rPr>
          <w:sz w:val="28"/>
          <w:szCs w:val="28"/>
          <w:rtl/>
          <w:lang w:val="en-GB"/>
        </w:rPr>
        <w:t xml:space="preserve">الامتثال لمعايير </w:t>
      </w:r>
      <w:r w:rsidRPr="008716B9">
        <w:rPr>
          <w:sz w:val="28"/>
          <w:szCs w:val="28"/>
        </w:rPr>
        <w:t>EMMA</w:t>
      </w:r>
      <w:r w:rsidRPr="008716B9">
        <w:rPr>
          <w:sz w:val="28"/>
          <w:szCs w:val="28"/>
          <w:rtl/>
        </w:rPr>
        <w:t xml:space="preserve"> وتقييمات السوق الأخرى</w:t>
      </w:r>
    </w:p>
    <w:p w:rsidR="00B85028" w:rsidRPr="008716B9" w:rsidRDefault="00612A17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مراجعة تنفيذ البرامج</w:t>
      </w:r>
    </w:p>
    <w:p w:rsidR="003774DC" w:rsidRPr="008716B9" w:rsidRDefault="003774DC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>إشراك المنظمات غير الحكومية والهيئات الحكومية ومؤسسات التمويل الصغرى المحلية في زيادة المعرفة وتحسين الممارسات ووضع البرامج.</w:t>
      </w:r>
    </w:p>
    <w:p w:rsidR="00612A17" w:rsidRPr="008716B9" w:rsidRDefault="003774DC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 xml:space="preserve"> تحديد الطرق المناسبة للمساهمة في مناقشات ال</w:t>
      </w:r>
      <w:r w:rsidR="004956CE" w:rsidRPr="008716B9">
        <w:rPr>
          <w:rFonts w:cs="Arial"/>
          <w:sz w:val="28"/>
          <w:szCs w:val="28"/>
          <w:rtl/>
        </w:rPr>
        <w:t>تجمعات</w:t>
      </w:r>
      <w:r w:rsidRPr="008716B9">
        <w:rPr>
          <w:rFonts w:cs="Arial"/>
          <w:sz w:val="28"/>
          <w:szCs w:val="28"/>
          <w:rtl/>
        </w:rPr>
        <w:t xml:space="preserve"> حول التحويلات النقدية.</w:t>
      </w:r>
    </w:p>
    <w:p w:rsidR="004956CE" w:rsidRPr="008716B9" w:rsidRDefault="004956CE" w:rsidP="008716B9">
      <w:pPr>
        <w:pStyle w:val="ListParagraph"/>
        <w:numPr>
          <w:ilvl w:val="0"/>
          <w:numId w:val="8"/>
        </w:numPr>
        <w:bidi/>
        <w:spacing w:after="0"/>
        <w:rPr>
          <w:rFonts w:cs="Arial"/>
          <w:sz w:val="28"/>
          <w:szCs w:val="28"/>
          <w:lang w:val="en-GB"/>
        </w:rPr>
      </w:pPr>
      <w:r w:rsidRPr="008716B9">
        <w:rPr>
          <w:rFonts w:cs="Arial"/>
          <w:sz w:val="28"/>
          <w:szCs w:val="28"/>
          <w:rtl/>
        </w:rPr>
        <w:t>إنشاء قائمة بموارد التحويلات النقدية.</w:t>
      </w:r>
    </w:p>
    <w:p w:rsidR="004956CE" w:rsidRPr="008716B9" w:rsidRDefault="004956CE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lastRenderedPageBreak/>
        <w:t>المشاركة في تعميم القضايا الهامة على النحو المحدد من قبل المشاركين.</w:t>
      </w:r>
    </w:p>
    <w:p w:rsidR="004956CE" w:rsidRPr="008716B9" w:rsidRDefault="004956CE" w:rsidP="008716B9">
      <w:pPr>
        <w:pStyle w:val="H1"/>
        <w:numPr>
          <w:ilvl w:val="0"/>
          <w:numId w:val="8"/>
        </w:numPr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 xml:space="preserve"> التأكد من أن جميع الأنشطة تتوافق مع مدونة قواعد السلوك ومعايير اسفير"</w:t>
      </w:r>
      <w:r w:rsidRPr="008716B9">
        <w:rPr>
          <w:rFonts w:cs="Arial"/>
          <w:sz w:val="28"/>
          <w:szCs w:val="28"/>
        </w:rPr>
        <w:t>Sphere</w:t>
      </w:r>
      <w:r w:rsidRPr="008716B9">
        <w:rPr>
          <w:rFonts w:cs="Arial"/>
          <w:sz w:val="28"/>
          <w:szCs w:val="28"/>
          <w:rtl/>
        </w:rPr>
        <w:t>".</w:t>
      </w:r>
    </w:p>
    <w:p w:rsidR="004956CE" w:rsidRPr="008716B9" w:rsidRDefault="00BA29FB" w:rsidP="008716B9">
      <w:pPr>
        <w:pStyle w:val="H1"/>
        <w:bidi/>
        <w:jc w:val="both"/>
        <w:rPr>
          <w:rFonts w:cs="Arial"/>
          <w:sz w:val="28"/>
          <w:szCs w:val="28"/>
        </w:rPr>
      </w:pPr>
      <w:r w:rsidRPr="008716B9">
        <w:rPr>
          <w:rFonts w:cs="Arial"/>
          <w:sz w:val="28"/>
          <w:szCs w:val="28"/>
          <w:rtl/>
        </w:rPr>
        <w:t xml:space="preserve">المصدر: </w:t>
      </w:r>
      <w:r w:rsidR="00434590" w:rsidRPr="008716B9">
        <w:rPr>
          <w:rFonts w:cs="Arial"/>
          <w:sz w:val="28"/>
          <w:szCs w:val="28"/>
        </w:rPr>
        <w:t>Harvey P. (2011)  “Cash transfer programming in emergencies”</w:t>
      </w:r>
    </w:p>
    <w:p w:rsidR="00C62B57" w:rsidRPr="008716B9" w:rsidRDefault="00C62B57" w:rsidP="008716B9">
      <w:pPr>
        <w:pStyle w:val="Bullet2"/>
        <w:numPr>
          <w:ilvl w:val="0"/>
          <w:numId w:val="0"/>
        </w:numPr>
        <w:rPr>
          <w:sz w:val="28"/>
          <w:szCs w:val="28"/>
        </w:rPr>
      </w:pPr>
    </w:p>
    <w:sectPr w:rsidR="00C62B57" w:rsidRPr="008716B9" w:rsidSect="00502572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1B03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27" w:rsidRDefault="00163B27" w:rsidP="00AB4B5C">
      <w:r>
        <w:separator/>
      </w:r>
    </w:p>
  </w:endnote>
  <w:endnote w:type="continuationSeparator" w:id="1">
    <w:p w:rsidR="00163B27" w:rsidRDefault="00163B27" w:rsidP="00AB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B5C" w:rsidRDefault="009723D2" w:rsidP="00AB4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B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B5C" w:rsidRDefault="00AB4B5C" w:rsidP="00AB4B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72" w:rsidRPr="00B45C74" w:rsidRDefault="009723D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0257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716B9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02572" w:rsidRPr="00502572" w:rsidRDefault="005025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3. </w:t>
    </w:r>
    <w:fldSimple w:instr=" STYLEREF  H1 \t  \* MERGEFORMAT ">
      <w:r w:rsidR="008716B9">
        <w:rPr>
          <w:noProof/>
          <w:rtl/>
        </w:rPr>
        <w:t>المشاركة في تعميم القضايا الهامة على النحو المحدد من قبل المشاركين</w:t>
      </w:r>
      <w:r w:rsidR="008716B9">
        <w:rPr>
          <w:noProof/>
        </w:rPr>
        <w:t>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27" w:rsidRDefault="00163B27" w:rsidP="00AB4B5C">
      <w:r>
        <w:separator/>
      </w:r>
    </w:p>
  </w:footnote>
  <w:footnote w:type="continuationSeparator" w:id="1">
    <w:p w:rsidR="00163B27" w:rsidRDefault="00163B27" w:rsidP="00AB4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72" w:rsidRPr="00074036" w:rsidRDefault="005025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17CD"/>
    <w:multiLevelType w:val="hybridMultilevel"/>
    <w:tmpl w:val="3B3A7CEA"/>
    <w:lvl w:ilvl="0" w:tplc="C87840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89D"/>
    <w:multiLevelType w:val="hybridMultilevel"/>
    <w:tmpl w:val="0BF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C5D0B"/>
    <w:multiLevelType w:val="hybridMultilevel"/>
    <w:tmpl w:val="A7F04B4C"/>
    <w:lvl w:ilvl="0" w:tplc="798669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C50"/>
    <w:rsid w:val="000A3CB6"/>
    <w:rsid w:val="000D4C50"/>
    <w:rsid w:val="000E51D4"/>
    <w:rsid w:val="000F50E3"/>
    <w:rsid w:val="00113F10"/>
    <w:rsid w:val="00163B27"/>
    <w:rsid w:val="002D5C6E"/>
    <w:rsid w:val="00375B2E"/>
    <w:rsid w:val="003774DC"/>
    <w:rsid w:val="003C4F92"/>
    <w:rsid w:val="003F3B05"/>
    <w:rsid w:val="00434590"/>
    <w:rsid w:val="00463FA4"/>
    <w:rsid w:val="004956CE"/>
    <w:rsid w:val="00502572"/>
    <w:rsid w:val="005A2607"/>
    <w:rsid w:val="005D4F96"/>
    <w:rsid w:val="005E083D"/>
    <w:rsid w:val="005E5E6B"/>
    <w:rsid w:val="005E6A78"/>
    <w:rsid w:val="00612A17"/>
    <w:rsid w:val="006318EE"/>
    <w:rsid w:val="00635EA3"/>
    <w:rsid w:val="0065202B"/>
    <w:rsid w:val="0069493C"/>
    <w:rsid w:val="006D270A"/>
    <w:rsid w:val="007417B7"/>
    <w:rsid w:val="008716B9"/>
    <w:rsid w:val="009723D2"/>
    <w:rsid w:val="009D5A86"/>
    <w:rsid w:val="00A227CB"/>
    <w:rsid w:val="00A30793"/>
    <w:rsid w:val="00AB4B5C"/>
    <w:rsid w:val="00B03AA1"/>
    <w:rsid w:val="00B85028"/>
    <w:rsid w:val="00BA29FB"/>
    <w:rsid w:val="00BC633A"/>
    <w:rsid w:val="00C62B57"/>
    <w:rsid w:val="00C80A20"/>
    <w:rsid w:val="00D02DE8"/>
    <w:rsid w:val="00F965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3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5E08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3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83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083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20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E083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E083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83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E083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5E083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083D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E083D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083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083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83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083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5E083D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8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83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083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83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E083D"/>
    <w:rPr>
      <w:vertAlign w:val="superscript"/>
    </w:rPr>
  </w:style>
  <w:style w:type="paragraph" w:styleId="Revision">
    <w:name w:val="Revision"/>
    <w:hidden/>
    <w:uiPriority w:val="99"/>
    <w:semiHidden/>
    <w:rsid w:val="005E083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E083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E083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E083D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E083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E083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E083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E083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E083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E083D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E083D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E083D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E083D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E083D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E083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E083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E083D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3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5E08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3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83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083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20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E083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E083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83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E083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5E083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083D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E083D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083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083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83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083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5E083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8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83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083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83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E083D"/>
    <w:rPr>
      <w:vertAlign w:val="superscript"/>
    </w:rPr>
  </w:style>
  <w:style w:type="paragraph" w:styleId="Revision">
    <w:name w:val="Revision"/>
    <w:hidden/>
    <w:uiPriority w:val="99"/>
    <w:semiHidden/>
    <w:rsid w:val="005E083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E083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E083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E083D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E083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E083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E083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E083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E083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E083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E083D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E083D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E083D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E083D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E083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E083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E083D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72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joelle</cp:lastModifiedBy>
  <cp:revision>22</cp:revision>
  <cp:lastPrinted>2015-10-11T22:17:00Z</cp:lastPrinted>
  <dcterms:created xsi:type="dcterms:W3CDTF">2015-10-07T17:45:00Z</dcterms:created>
  <dcterms:modified xsi:type="dcterms:W3CDTF">2016-01-20T15:49:00Z</dcterms:modified>
</cp:coreProperties>
</file>