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62" w:rsidRPr="00DF003D" w:rsidRDefault="00B8491C" w:rsidP="00DF003D">
      <w:pPr>
        <w:bidi/>
        <w:jc w:val="center"/>
        <w:rPr>
          <w:b/>
          <w:bCs/>
          <w:sz w:val="40"/>
          <w:szCs w:val="40"/>
          <w:rtl/>
        </w:rPr>
      </w:pPr>
      <w:r w:rsidRPr="00DF003D">
        <w:rPr>
          <w:rFonts w:hint="cs"/>
          <w:b/>
          <w:bCs/>
          <w:sz w:val="40"/>
          <w:szCs w:val="40"/>
          <w:rtl/>
        </w:rPr>
        <w:t xml:space="preserve">خارطة </w:t>
      </w:r>
      <w:r w:rsidR="00986D98" w:rsidRPr="00DF003D">
        <w:rPr>
          <w:rFonts w:hint="cs"/>
          <w:b/>
          <w:bCs/>
          <w:sz w:val="40"/>
          <w:szCs w:val="40"/>
          <w:rtl/>
        </w:rPr>
        <w:t xml:space="preserve">الطريق لاختيار مقدمي الخدمات في مجال برامج </w:t>
      </w:r>
      <w:r w:rsidR="00DF003D">
        <w:rPr>
          <w:rFonts w:hint="cs"/>
          <w:b/>
          <w:bCs/>
          <w:sz w:val="40"/>
          <w:szCs w:val="40"/>
          <w:rtl/>
        </w:rPr>
        <w:t>التحويلات النقدية والتعاقد معهم</w:t>
      </w:r>
    </w:p>
    <w:p w:rsidR="00986D98" w:rsidRPr="00DF003D" w:rsidRDefault="00986D98" w:rsidP="00986D98">
      <w:pPr>
        <w:bidi/>
        <w:rPr>
          <w:b/>
          <w:bCs/>
          <w:sz w:val="40"/>
          <w:szCs w:val="40"/>
          <w:rtl/>
        </w:rPr>
      </w:pPr>
      <w:r w:rsidRPr="00DF003D">
        <w:rPr>
          <w:rFonts w:hint="cs"/>
          <w:b/>
          <w:bCs/>
          <w:sz w:val="40"/>
          <w:szCs w:val="40"/>
          <w:rtl/>
        </w:rPr>
        <w:t>المقدمة</w:t>
      </w:r>
    </w:p>
    <w:p w:rsidR="006F401C" w:rsidRDefault="006F401C" w:rsidP="002C05CA">
      <w:pPr>
        <w:bidi/>
        <w:rPr>
          <w:sz w:val="40"/>
          <w:szCs w:val="40"/>
          <w:rtl/>
        </w:rPr>
      </w:pPr>
      <w:r>
        <w:rPr>
          <w:rFonts w:hint="cs"/>
          <w:sz w:val="40"/>
          <w:szCs w:val="40"/>
          <w:rtl/>
        </w:rPr>
        <w:t>تهدف خارطة الطريق هذه إلى تقديم المبادئ التوجيهية لاختيار الشركاء المناسبين والتعاقد معهم.</w:t>
      </w:r>
      <w:r w:rsidR="00F40EAB">
        <w:rPr>
          <w:rFonts w:hint="cs"/>
          <w:sz w:val="40"/>
          <w:szCs w:val="40"/>
          <w:rtl/>
        </w:rPr>
        <w:t xml:space="preserve"> إذ أن لعقد الشراكات مع الجهات المنفذة ومقدمي خدمات التحويلات النقدية </w:t>
      </w:r>
      <w:r w:rsidR="002C05CA">
        <w:rPr>
          <w:rFonts w:hint="cs"/>
          <w:sz w:val="40"/>
          <w:szCs w:val="40"/>
          <w:rtl/>
        </w:rPr>
        <w:t>للمستفيدين أهمية كبيرة في نجاح برامج التحويلات النقدية.</w:t>
      </w:r>
    </w:p>
    <w:p w:rsidR="00986D98" w:rsidRDefault="002C05CA" w:rsidP="00986D98">
      <w:pPr>
        <w:bidi/>
        <w:rPr>
          <w:sz w:val="40"/>
          <w:szCs w:val="40"/>
          <w:rtl/>
        </w:rPr>
      </w:pPr>
      <w:r>
        <w:rPr>
          <w:rFonts w:hint="cs"/>
          <w:sz w:val="40"/>
          <w:szCs w:val="40"/>
          <w:rtl/>
        </w:rPr>
        <w:t>وتقدم هذه الخارطة اقتراحات حو</w:t>
      </w:r>
      <w:r w:rsidR="008C0AD2">
        <w:rPr>
          <w:rFonts w:hint="cs"/>
          <w:sz w:val="40"/>
          <w:szCs w:val="40"/>
          <w:rtl/>
        </w:rPr>
        <w:t>ل الأدوات المفيدة لهذه الخطوة الأ</w:t>
      </w:r>
      <w:r>
        <w:rPr>
          <w:rFonts w:hint="cs"/>
          <w:sz w:val="40"/>
          <w:szCs w:val="40"/>
          <w:rtl/>
        </w:rPr>
        <w:t xml:space="preserve">ساسية والخطوات الفرعية، من مجموعة أدوات التحويلات النقدية في حالات الطوارئ. </w:t>
      </w:r>
      <w:r w:rsidR="00C0189A">
        <w:rPr>
          <w:rFonts w:hint="cs"/>
          <w:sz w:val="40"/>
          <w:szCs w:val="40"/>
          <w:rtl/>
        </w:rPr>
        <w:t xml:space="preserve">على أن يتم تكييف الأدوات للتوافق مع السياق المطروح. </w:t>
      </w:r>
    </w:p>
    <w:p w:rsidR="004844B2" w:rsidRDefault="004844B2" w:rsidP="004844B2">
      <w:pPr>
        <w:bidi/>
        <w:rPr>
          <w:sz w:val="40"/>
          <w:szCs w:val="40"/>
          <w:rtl/>
        </w:rPr>
      </w:pPr>
      <w:r>
        <w:rPr>
          <w:rFonts w:hint="cs"/>
          <w:sz w:val="40"/>
          <w:szCs w:val="40"/>
          <w:rtl/>
        </w:rPr>
        <w:t>ويجب في كل الأحوال الامتثال للمعايير الدنيا المذكورة في ما يلي، لتعزيز جودة الاستجابة.</w:t>
      </w:r>
    </w:p>
    <w:p w:rsidR="004844B2" w:rsidRDefault="00E07900" w:rsidP="00DB3797">
      <w:pPr>
        <w:bidi/>
        <w:rPr>
          <w:sz w:val="40"/>
          <w:szCs w:val="40"/>
          <w:rtl/>
        </w:rPr>
      </w:pPr>
      <w:r>
        <w:rPr>
          <w:rFonts w:hint="cs"/>
          <w:sz w:val="40"/>
          <w:szCs w:val="40"/>
          <w:rtl/>
        </w:rPr>
        <w:t xml:space="preserve">ومن الممكن التأرجح بين الخطوات الفرعية المختلفة لاتخاذ القرار المناسب على أن </w:t>
      </w:r>
      <w:r w:rsidR="00DB3797">
        <w:rPr>
          <w:rFonts w:hint="cs"/>
          <w:sz w:val="40"/>
          <w:szCs w:val="40"/>
          <w:rtl/>
        </w:rPr>
        <w:t xml:space="preserve">يتم جمع المعلومات والقيام بكل الاجراءات المطلوبة في كل خطوة فرعية. </w:t>
      </w:r>
    </w:p>
    <w:p w:rsidR="00DB3797" w:rsidRDefault="00DB3797" w:rsidP="004112CD">
      <w:pPr>
        <w:bidi/>
        <w:rPr>
          <w:sz w:val="40"/>
          <w:szCs w:val="40"/>
          <w:rtl/>
        </w:rPr>
      </w:pPr>
      <w:r>
        <w:rPr>
          <w:rFonts w:hint="cs"/>
          <w:sz w:val="40"/>
          <w:szCs w:val="40"/>
          <w:rtl/>
        </w:rPr>
        <w:t>وإن احتجت إلى المزيد من الإرشادات حول اختيار الشركاء المناسبين والتعا</w:t>
      </w:r>
      <w:r w:rsidR="005C4DB3">
        <w:rPr>
          <w:rFonts w:hint="cs"/>
          <w:sz w:val="40"/>
          <w:szCs w:val="40"/>
          <w:rtl/>
        </w:rPr>
        <w:t xml:space="preserve">قد معهم، يمكن اللجوء إلى </w:t>
      </w:r>
      <w:r w:rsidR="004112CD">
        <w:rPr>
          <w:rFonts w:hint="cs"/>
          <w:sz w:val="40"/>
          <w:szCs w:val="40"/>
          <w:rtl/>
        </w:rPr>
        <w:t>المراجع</w:t>
      </w:r>
      <w:r>
        <w:rPr>
          <w:rFonts w:hint="cs"/>
          <w:sz w:val="40"/>
          <w:szCs w:val="40"/>
          <w:rtl/>
        </w:rPr>
        <w:t xml:space="preserve"> المذكورة في نهاية خارطة الطريق.</w:t>
      </w:r>
    </w:p>
    <w:p w:rsidR="00DB3797" w:rsidRPr="00DF003D" w:rsidRDefault="00DB3797" w:rsidP="00DB3797">
      <w:pPr>
        <w:bidi/>
        <w:rPr>
          <w:b/>
          <w:bCs/>
          <w:sz w:val="40"/>
          <w:szCs w:val="40"/>
          <w:rtl/>
        </w:rPr>
      </w:pPr>
      <w:r w:rsidRPr="00DF003D">
        <w:rPr>
          <w:rFonts w:hint="cs"/>
          <w:b/>
          <w:bCs/>
          <w:sz w:val="40"/>
          <w:szCs w:val="40"/>
          <w:rtl/>
        </w:rPr>
        <w:t>المعايير الدنيا</w:t>
      </w:r>
    </w:p>
    <w:p w:rsidR="00DB3797" w:rsidRDefault="00A84BB8" w:rsidP="00DB3797">
      <w:pPr>
        <w:pStyle w:val="ListParagraph"/>
        <w:numPr>
          <w:ilvl w:val="0"/>
          <w:numId w:val="1"/>
        </w:numPr>
        <w:bidi/>
        <w:rPr>
          <w:sz w:val="40"/>
          <w:szCs w:val="40"/>
        </w:rPr>
      </w:pPr>
      <w:r>
        <w:rPr>
          <w:rFonts w:hint="cs"/>
          <w:sz w:val="40"/>
          <w:szCs w:val="40"/>
          <w:rtl/>
        </w:rPr>
        <w:t>تشارك الأقسام المعنية بالشؤون المالية واللوجيستية في</w:t>
      </w:r>
      <w:r w:rsidR="00E20117">
        <w:rPr>
          <w:rFonts w:hint="cs"/>
          <w:sz w:val="40"/>
          <w:szCs w:val="40"/>
          <w:rtl/>
        </w:rPr>
        <w:t xml:space="preserve"> اختيار مقدمي الخدمات المحتملين.</w:t>
      </w:r>
    </w:p>
    <w:p w:rsidR="00E20117" w:rsidRDefault="00E20117" w:rsidP="00E20117">
      <w:pPr>
        <w:pStyle w:val="ListParagraph"/>
        <w:numPr>
          <w:ilvl w:val="0"/>
          <w:numId w:val="1"/>
        </w:numPr>
        <w:bidi/>
        <w:rPr>
          <w:sz w:val="40"/>
          <w:szCs w:val="40"/>
        </w:rPr>
      </w:pPr>
      <w:r>
        <w:rPr>
          <w:rFonts w:hint="cs"/>
          <w:sz w:val="40"/>
          <w:szCs w:val="40"/>
          <w:rtl/>
        </w:rPr>
        <w:lastRenderedPageBreak/>
        <w:t>تدمج معايير الاختيار في الشروط المرجعية لعملية المناقصة.</w:t>
      </w:r>
    </w:p>
    <w:p w:rsidR="00E20117" w:rsidRDefault="008275D1" w:rsidP="00E20117">
      <w:pPr>
        <w:pStyle w:val="ListParagraph"/>
        <w:numPr>
          <w:ilvl w:val="0"/>
          <w:numId w:val="1"/>
        </w:numPr>
        <w:bidi/>
        <w:rPr>
          <w:sz w:val="40"/>
          <w:szCs w:val="40"/>
        </w:rPr>
      </w:pPr>
      <w:r>
        <w:rPr>
          <w:rFonts w:hint="cs"/>
          <w:sz w:val="40"/>
          <w:szCs w:val="40"/>
          <w:rtl/>
        </w:rPr>
        <w:t>التأكد من أن العقود المبرمة مع مقدمي الخدمات تمتثل لأحكام التعاقد العامة.</w:t>
      </w:r>
    </w:p>
    <w:p w:rsidR="008C3928" w:rsidRPr="00DF003D" w:rsidRDefault="008C3928" w:rsidP="008C3928">
      <w:pPr>
        <w:bidi/>
        <w:ind w:left="360"/>
        <w:rPr>
          <w:b/>
          <w:bCs/>
          <w:sz w:val="40"/>
          <w:szCs w:val="40"/>
          <w:rtl/>
        </w:rPr>
      </w:pPr>
      <w:r w:rsidRPr="00DF003D">
        <w:rPr>
          <w:rFonts w:hint="cs"/>
          <w:b/>
          <w:bCs/>
          <w:sz w:val="40"/>
          <w:szCs w:val="40"/>
          <w:rtl/>
        </w:rPr>
        <w:t>الخطوات الفرعية والأدوات</w:t>
      </w:r>
    </w:p>
    <w:p w:rsidR="008C3928" w:rsidRPr="00DF003D" w:rsidRDefault="008C3928" w:rsidP="008C3928">
      <w:pPr>
        <w:bidi/>
        <w:ind w:left="360"/>
        <w:rPr>
          <w:b/>
          <w:bCs/>
          <w:sz w:val="40"/>
          <w:szCs w:val="40"/>
          <w:rtl/>
        </w:rPr>
      </w:pPr>
      <w:r w:rsidRPr="00DF003D">
        <w:rPr>
          <w:rFonts w:hint="cs"/>
          <w:b/>
          <w:bCs/>
          <w:sz w:val="40"/>
          <w:szCs w:val="40"/>
          <w:rtl/>
        </w:rPr>
        <w:t>البحث عن مقدمي الخدمات وغربلتهم</w:t>
      </w:r>
    </w:p>
    <w:p w:rsidR="008C3928" w:rsidRDefault="008C3928" w:rsidP="005E3034">
      <w:pPr>
        <w:bidi/>
        <w:ind w:left="360"/>
        <w:rPr>
          <w:sz w:val="40"/>
          <w:szCs w:val="40"/>
          <w:rtl/>
        </w:rPr>
      </w:pPr>
      <w:r>
        <w:rPr>
          <w:rFonts w:hint="cs"/>
          <w:sz w:val="40"/>
          <w:szCs w:val="40"/>
          <w:rtl/>
        </w:rPr>
        <w:t>يجب النظر في قدرة مقدمي الخدمات المحتملين على التعامل مع التحويلات النقدية في حالات الطوارئ والمخاطر المرتبطة بالعمل معهم.</w:t>
      </w:r>
      <w:r w:rsidR="005E3034">
        <w:rPr>
          <w:rFonts w:hint="cs"/>
          <w:sz w:val="40"/>
          <w:szCs w:val="40"/>
          <w:rtl/>
        </w:rPr>
        <w:t xml:space="preserve"> وقد لا يتوفر في السوق سوى عدد محدود من مقدمي الخدمات الموثوقين، ويمكن اللجوء إلى النقاط التالية لتسهيل عملية الاختيار في ما بينهم:</w:t>
      </w:r>
    </w:p>
    <w:p w:rsidR="005E3034" w:rsidRDefault="00DD1084" w:rsidP="005E3034">
      <w:pPr>
        <w:pStyle w:val="ListParagraph"/>
        <w:numPr>
          <w:ilvl w:val="0"/>
          <w:numId w:val="1"/>
        </w:numPr>
        <w:bidi/>
        <w:rPr>
          <w:sz w:val="40"/>
          <w:szCs w:val="40"/>
        </w:rPr>
      </w:pPr>
      <w:r>
        <w:rPr>
          <w:rFonts w:hint="cs"/>
          <w:sz w:val="40"/>
          <w:szCs w:val="40"/>
          <w:rtl/>
        </w:rPr>
        <w:t>قدرة مقدم الخدمات وطريقته في تلبية حاجات المنظمة والسكان المستهدفين.</w:t>
      </w:r>
    </w:p>
    <w:p w:rsidR="00DD1084" w:rsidRDefault="00290DC6" w:rsidP="00DD1084">
      <w:pPr>
        <w:pStyle w:val="ListParagraph"/>
        <w:numPr>
          <w:ilvl w:val="0"/>
          <w:numId w:val="1"/>
        </w:numPr>
        <w:bidi/>
        <w:rPr>
          <w:sz w:val="40"/>
          <w:szCs w:val="40"/>
        </w:rPr>
      </w:pPr>
      <w:r>
        <w:rPr>
          <w:rFonts w:hint="cs"/>
          <w:sz w:val="40"/>
          <w:szCs w:val="40"/>
          <w:rtl/>
        </w:rPr>
        <w:t>نطاق التغطية الجغرافي.</w:t>
      </w:r>
    </w:p>
    <w:p w:rsidR="00290DC6" w:rsidRDefault="00290DC6" w:rsidP="00290DC6">
      <w:pPr>
        <w:pStyle w:val="ListParagraph"/>
        <w:numPr>
          <w:ilvl w:val="0"/>
          <w:numId w:val="1"/>
        </w:numPr>
        <w:bidi/>
        <w:rPr>
          <w:sz w:val="40"/>
          <w:szCs w:val="40"/>
        </w:rPr>
      </w:pPr>
      <w:r>
        <w:rPr>
          <w:rFonts w:hint="cs"/>
          <w:sz w:val="40"/>
          <w:szCs w:val="40"/>
          <w:rtl/>
        </w:rPr>
        <w:t>الرسوم المفروضة</w:t>
      </w:r>
      <w:r w:rsidR="00E173F7">
        <w:rPr>
          <w:rFonts w:hint="cs"/>
          <w:sz w:val="40"/>
          <w:szCs w:val="40"/>
          <w:rtl/>
        </w:rPr>
        <w:t>.</w:t>
      </w:r>
    </w:p>
    <w:p w:rsidR="00290DC6" w:rsidRDefault="00290DC6" w:rsidP="00290DC6">
      <w:pPr>
        <w:pStyle w:val="ListParagraph"/>
        <w:numPr>
          <w:ilvl w:val="0"/>
          <w:numId w:val="1"/>
        </w:numPr>
        <w:bidi/>
        <w:rPr>
          <w:sz w:val="40"/>
          <w:szCs w:val="40"/>
        </w:rPr>
      </w:pPr>
      <w:r>
        <w:rPr>
          <w:rFonts w:hint="cs"/>
          <w:sz w:val="40"/>
          <w:szCs w:val="40"/>
          <w:rtl/>
        </w:rPr>
        <w:t>جودة الخدمات المقدمة.</w:t>
      </w:r>
    </w:p>
    <w:p w:rsidR="00290DC6" w:rsidRPr="00E173F7" w:rsidRDefault="00112516" w:rsidP="00E173F7">
      <w:pPr>
        <w:bidi/>
        <w:ind w:left="360"/>
        <w:rPr>
          <w:sz w:val="40"/>
          <w:szCs w:val="40"/>
          <w:rtl/>
        </w:rPr>
      </w:pPr>
      <w:r>
        <w:rPr>
          <w:rFonts w:hint="cs"/>
          <w:sz w:val="40"/>
          <w:szCs w:val="40"/>
          <w:rtl/>
        </w:rPr>
        <w:t>وتساهم الأدوات المذكورة في الخطوات الفرعية في تحديد ما يمكن توقعه من مقدمي الخدمات لتسهيل عملية الاختيار.</w:t>
      </w:r>
    </w:p>
    <w:p w:rsidR="005E3034" w:rsidRPr="00DF003D" w:rsidRDefault="00473365" w:rsidP="005E3034">
      <w:pPr>
        <w:bidi/>
        <w:ind w:left="360"/>
        <w:rPr>
          <w:b/>
          <w:bCs/>
          <w:sz w:val="40"/>
          <w:szCs w:val="40"/>
          <w:rtl/>
        </w:rPr>
      </w:pPr>
      <w:r w:rsidRPr="00DF003D">
        <w:rPr>
          <w:rFonts w:hint="cs"/>
          <w:b/>
          <w:bCs/>
          <w:sz w:val="40"/>
          <w:szCs w:val="40"/>
          <w:rtl/>
        </w:rPr>
        <w:t>المناقصة واختيار مقدمي الخدمات</w:t>
      </w:r>
    </w:p>
    <w:p w:rsidR="00473365" w:rsidRDefault="00F76652" w:rsidP="00853CE9">
      <w:pPr>
        <w:bidi/>
        <w:ind w:left="360"/>
        <w:rPr>
          <w:sz w:val="40"/>
          <w:szCs w:val="40"/>
          <w:rtl/>
        </w:rPr>
      </w:pPr>
      <w:r>
        <w:rPr>
          <w:rFonts w:hint="cs"/>
          <w:sz w:val="40"/>
          <w:szCs w:val="40"/>
          <w:rtl/>
        </w:rPr>
        <w:t xml:space="preserve">تعتمد الخطوة التالية على بروتوكول ابرام العقود الذي تتبعه المنظمة. </w:t>
      </w:r>
      <w:r w:rsidR="004F5FF9">
        <w:rPr>
          <w:rFonts w:hint="cs"/>
          <w:sz w:val="40"/>
          <w:szCs w:val="40"/>
          <w:rtl/>
        </w:rPr>
        <w:t xml:space="preserve">وهو عادة يتبع عملية المناقصة التي ينظمها قسم الشؤون اللوجيستية بعد البحث عن مقدمي الخدمات المحتملين وغربلتهم والتدقيق بامكانياتهم. </w:t>
      </w:r>
      <w:r w:rsidR="00853CE9">
        <w:rPr>
          <w:rFonts w:hint="cs"/>
          <w:sz w:val="40"/>
          <w:szCs w:val="40"/>
          <w:rtl/>
        </w:rPr>
        <w:lastRenderedPageBreak/>
        <w:t>وإن لم ينتج عن عملية البحث والغربلة سوى مدم خدمات معقول واحد، يمكن عدم اللجوء إلى المناقصة أو ابرام عقد حصري.</w:t>
      </w:r>
    </w:p>
    <w:p w:rsidR="00853CE9" w:rsidRDefault="00853CE9" w:rsidP="00853CE9">
      <w:pPr>
        <w:bidi/>
        <w:ind w:left="360"/>
        <w:rPr>
          <w:sz w:val="40"/>
          <w:szCs w:val="40"/>
          <w:rtl/>
        </w:rPr>
      </w:pPr>
      <w:r>
        <w:rPr>
          <w:rFonts w:hint="cs"/>
          <w:sz w:val="40"/>
          <w:szCs w:val="40"/>
          <w:rtl/>
        </w:rPr>
        <w:t xml:space="preserve">ويجب أن تشمل الشروط المرجعية الخاصة بالمناقصة الهدف من الخدمة المرجوة، والمهام المتوقعة، والجودة المطلوبة. ويجب وصف </w:t>
      </w:r>
      <w:r w:rsidRPr="00853CE9">
        <w:rPr>
          <w:rFonts w:cs="Arial" w:hint="eastAsia"/>
          <w:sz w:val="40"/>
          <w:szCs w:val="40"/>
          <w:rtl/>
        </w:rPr>
        <w:t>محتويات</w:t>
      </w:r>
      <w:r w:rsidRPr="00853CE9">
        <w:rPr>
          <w:rFonts w:cs="Arial"/>
          <w:sz w:val="40"/>
          <w:szCs w:val="40"/>
          <w:rtl/>
        </w:rPr>
        <w:t xml:space="preserve"> </w:t>
      </w:r>
      <w:r w:rsidRPr="00853CE9">
        <w:rPr>
          <w:rFonts w:cs="Arial" w:hint="eastAsia"/>
          <w:sz w:val="40"/>
          <w:szCs w:val="40"/>
          <w:rtl/>
        </w:rPr>
        <w:t>العرض</w:t>
      </w:r>
      <w:r w:rsidRPr="00853CE9">
        <w:rPr>
          <w:rFonts w:cs="Arial"/>
          <w:sz w:val="40"/>
          <w:szCs w:val="40"/>
          <w:rtl/>
        </w:rPr>
        <w:t xml:space="preserve"> </w:t>
      </w:r>
      <w:r w:rsidRPr="00853CE9">
        <w:rPr>
          <w:rFonts w:cs="Arial" w:hint="eastAsia"/>
          <w:sz w:val="40"/>
          <w:szCs w:val="40"/>
          <w:rtl/>
        </w:rPr>
        <w:t>الفني</w:t>
      </w:r>
      <w:r w:rsidRPr="00853CE9">
        <w:rPr>
          <w:rFonts w:cs="Arial"/>
          <w:sz w:val="40"/>
          <w:szCs w:val="40"/>
          <w:rtl/>
        </w:rPr>
        <w:t xml:space="preserve"> </w:t>
      </w:r>
      <w:r w:rsidRPr="00853CE9">
        <w:rPr>
          <w:rFonts w:cs="Arial" w:hint="eastAsia"/>
          <w:sz w:val="40"/>
          <w:szCs w:val="40"/>
          <w:rtl/>
        </w:rPr>
        <w:t>المتوقع</w:t>
      </w:r>
      <w:r w:rsidRPr="00853CE9">
        <w:rPr>
          <w:rFonts w:cs="Arial"/>
          <w:sz w:val="40"/>
          <w:szCs w:val="40"/>
          <w:rtl/>
        </w:rPr>
        <w:t xml:space="preserve"> </w:t>
      </w:r>
      <w:r w:rsidRPr="00853CE9">
        <w:rPr>
          <w:rFonts w:cs="Arial" w:hint="eastAsia"/>
          <w:sz w:val="40"/>
          <w:szCs w:val="40"/>
          <w:rtl/>
        </w:rPr>
        <w:t>ومعايير</w:t>
      </w:r>
      <w:r w:rsidRPr="00853CE9">
        <w:rPr>
          <w:rFonts w:cs="Arial"/>
          <w:sz w:val="40"/>
          <w:szCs w:val="40"/>
          <w:rtl/>
        </w:rPr>
        <w:t xml:space="preserve"> </w:t>
      </w:r>
      <w:r w:rsidRPr="00853CE9">
        <w:rPr>
          <w:rFonts w:cs="Arial" w:hint="eastAsia"/>
          <w:sz w:val="40"/>
          <w:szCs w:val="40"/>
          <w:rtl/>
        </w:rPr>
        <w:t>التقييم</w:t>
      </w:r>
      <w:r w:rsidRPr="00853CE9">
        <w:rPr>
          <w:rFonts w:cs="Arial"/>
          <w:sz w:val="40"/>
          <w:szCs w:val="40"/>
          <w:rtl/>
        </w:rPr>
        <w:t xml:space="preserve"> </w:t>
      </w:r>
      <w:r w:rsidRPr="00853CE9">
        <w:rPr>
          <w:rFonts w:cs="Arial" w:hint="eastAsia"/>
          <w:sz w:val="40"/>
          <w:szCs w:val="40"/>
          <w:rtl/>
        </w:rPr>
        <w:t>في</w:t>
      </w:r>
      <w:r w:rsidRPr="00853CE9">
        <w:rPr>
          <w:rFonts w:cs="Arial"/>
          <w:sz w:val="40"/>
          <w:szCs w:val="40"/>
          <w:rtl/>
        </w:rPr>
        <w:t xml:space="preserve"> </w:t>
      </w:r>
      <w:r w:rsidRPr="00853CE9">
        <w:rPr>
          <w:rFonts w:cs="Arial" w:hint="eastAsia"/>
          <w:sz w:val="40"/>
          <w:szCs w:val="40"/>
          <w:rtl/>
        </w:rPr>
        <w:t>المرفقات</w:t>
      </w:r>
      <w:r w:rsidRPr="00853CE9">
        <w:rPr>
          <w:rFonts w:cs="Arial"/>
          <w:sz w:val="40"/>
          <w:szCs w:val="40"/>
          <w:rtl/>
        </w:rPr>
        <w:t>.</w:t>
      </w:r>
      <w:r w:rsidR="004A3500">
        <w:rPr>
          <w:rFonts w:cs="Arial" w:hint="cs"/>
          <w:sz w:val="40"/>
          <w:szCs w:val="40"/>
          <w:rtl/>
        </w:rPr>
        <w:t xml:space="preserve"> ويمكن الحصول على نموذج الشروط المرجعية في أدوات الخطوات الفرعية.</w:t>
      </w:r>
    </w:p>
    <w:p w:rsidR="00760354" w:rsidRDefault="004A3500" w:rsidP="004A3500">
      <w:pPr>
        <w:bidi/>
        <w:ind w:left="360"/>
        <w:rPr>
          <w:sz w:val="40"/>
          <w:szCs w:val="40"/>
          <w:rtl/>
        </w:rPr>
      </w:pPr>
      <w:r>
        <w:rPr>
          <w:rFonts w:hint="cs"/>
          <w:sz w:val="40"/>
          <w:szCs w:val="40"/>
          <w:rtl/>
        </w:rPr>
        <w:t xml:space="preserve">ويستند تقييم العروضات على المعايير التي عممت على مقدمي المناقصات عبر الشروط المرجعية، على أن يشارك في هذا التقييم بعض موظفي أقسام الشؤون المالية وتكنولوجيا المعلومات من أجل ضمان أخذ  كل المعايير في الاعتبار. </w:t>
      </w:r>
    </w:p>
    <w:p w:rsidR="004718DB" w:rsidRDefault="004718DB" w:rsidP="004718DB">
      <w:pPr>
        <w:pStyle w:val="ListParagraph"/>
        <w:numPr>
          <w:ilvl w:val="0"/>
          <w:numId w:val="1"/>
        </w:numPr>
        <w:bidi/>
        <w:rPr>
          <w:sz w:val="40"/>
          <w:szCs w:val="40"/>
        </w:rPr>
      </w:pPr>
      <w:r>
        <w:rPr>
          <w:rFonts w:hint="cs"/>
          <w:sz w:val="40"/>
          <w:szCs w:val="40"/>
          <w:rtl/>
        </w:rPr>
        <w:t>التكاليف؛</w:t>
      </w:r>
    </w:p>
    <w:p w:rsidR="004718DB" w:rsidRDefault="004718DB" w:rsidP="004718DB">
      <w:pPr>
        <w:pStyle w:val="ListParagraph"/>
        <w:numPr>
          <w:ilvl w:val="0"/>
          <w:numId w:val="1"/>
        </w:numPr>
        <w:bidi/>
        <w:rPr>
          <w:sz w:val="40"/>
          <w:szCs w:val="40"/>
        </w:rPr>
      </w:pPr>
      <w:r>
        <w:rPr>
          <w:rFonts w:hint="cs"/>
          <w:sz w:val="40"/>
          <w:szCs w:val="40"/>
          <w:rtl/>
        </w:rPr>
        <w:t>السرعة؛</w:t>
      </w:r>
    </w:p>
    <w:p w:rsidR="004718DB" w:rsidRDefault="004718DB" w:rsidP="004718DB">
      <w:pPr>
        <w:pStyle w:val="ListParagraph"/>
        <w:numPr>
          <w:ilvl w:val="0"/>
          <w:numId w:val="1"/>
        </w:numPr>
        <w:bidi/>
        <w:rPr>
          <w:sz w:val="40"/>
          <w:szCs w:val="40"/>
        </w:rPr>
      </w:pPr>
      <w:r>
        <w:rPr>
          <w:rFonts w:hint="cs"/>
          <w:sz w:val="40"/>
          <w:szCs w:val="40"/>
          <w:rtl/>
        </w:rPr>
        <w:t>مرونة مقدم الخدمات في تلبية حاجات المشروع؛</w:t>
      </w:r>
    </w:p>
    <w:p w:rsidR="004718DB" w:rsidRDefault="004718DB" w:rsidP="004718DB">
      <w:pPr>
        <w:pStyle w:val="ListParagraph"/>
        <w:numPr>
          <w:ilvl w:val="0"/>
          <w:numId w:val="1"/>
        </w:numPr>
        <w:bidi/>
        <w:rPr>
          <w:sz w:val="40"/>
          <w:szCs w:val="40"/>
        </w:rPr>
      </w:pPr>
      <w:r>
        <w:rPr>
          <w:rFonts w:hint="cs"/>
          <w:sz w:val="40"/>
          <w:szCs w:val="40"/>
          <w:rtl/>
        </w:rPr>
        <w:t>سهولة التنسيق والتعاون مع مقدم الخدمات؛</w:t>
      </w:r>
    </w:p>
    <w:p w:rsidR="004718DB" w:rsidRDefault="004718DB" w:rsidP="004718DB">
      <w:pPr>
        <w:pStyle w:val="ListParagraph"/>
        <w:numPr>
          <w:ilvl w:val="0"/>
          <w:numId w:val="1"/>
        </w:numPr>
        <w:bidi/>
        <w:rPr>
          <w:sz w:val="40"/>
          <w:szCs w:val="40"/>
        </w:rPr>
      </w:pPr>
      <w:r>
        <w:rPr>
          <w:rFonts w:hint="cs"/>
          <w:sz w:val="40"/>
          <w:szCs w:val="40"/>
          <w:rtl/>
        </w:rPr>
        <w:t>القدرة على تقديم الدعم الفني؛</w:t>
      </w:r>
    </w:p>
    <w:p w:rsidR="004718DB" w:rsidRDefault="004718DB" w:rsidP="004718DB">
      <w:pPr>
        <w:pStyle w:val="ListParagraph"/>
        <w:numPr>
          <w:ilvl w:val="0"/>
          <w:numId w:val="1"/>
        </w:numPr>
        <w:bidi/>
        <w:rPr>
          <w:sz w:val="40"/>
          <w:szCs w:val="40"/>
        </w:rPr>
      </w:pPr>
      <w:r>
        <w:rPr>
          <w:rFonts w:hint="cs"/>
          <w:sz w:val="40"/>
          <w:szCs w:val="40"/>
          <w:rtl/>
        </w:rPr>
        <w:t>النظر في المساءل الطارئة التي سلط عليها الضوء في مرحلة البحث.</w:t>
      </w:r>
    </w:p>
    <w:p w:rsidR="004718DB" w:rsidRPr="00DF003D" w:rsidRDefault="004718DB" w:rsidP="004718DB">
      <w:pPr>
        <w:bidi/>
        <w:rPr>
          <w:b/>
          <w:bCs/>
          <w:sz w:val="40"/>
          <w:szCs w:val="40"/>
          <w:rtl/>
        </w:rPr>
      </w:pPr>
      <w:r w:rsidRPr="00DF003D">
        <w:rPr>
          <w:rFonts w:hint="cs"/>
          <w:b/>
          <w:bCs/>
          <w:sz w:val="40"/>
          <w:szCs w:val="40"/>
          <w:rtl/>
        </w:rPr>
        <w:t>ابرام العقود وتحديد طرق العمل</w:t>
      </w:r>
    </w:p>
    <w:p w:rsidR="004718DB" w:rsidRDefault="004718DB" w:rsidP="004718DB">
      <w:pPr>
        <w:bidi/>
        <w:rPr>
          <w:sz w:val="40"/>
          <w:szCs w:val="40"/>
          <w:rtl/>
        </w:rPr>
      </w:pPr>
      <w:r>
        <w:rPr>
          <w:rFonts w:hint="cs"/>
          <w:sz w:val="40"/>
          <w:szCs w:val="40"/>
          <w:rtl/>
        </w:rPr>
        <w:t xml:space="preserve">يمكن عقد شراكة مع مقدم الخدمات عبر اللجوء إلى أكثر من طريقة قانونية. وتكمن الطريقة البرز في ابرام عقد نموذجي، تدخل إليه بعض التعديلات الطفيفة. وبحسب العلاقة مغ الشريك وطبيعة البرنامج، يمكن اللجوء إلى خطاب اتفاق بسيط. وفي معظم الأحيان، تتبع الشركة المعنية لا سيما إذا كانت مصرفاً أو شركة هواتف محمولة، نموذج عقد معياري. وفي </w:t>
      </w:r>
      <w:r>
        <w:rPr>
          <w:rFonts w:hint="cs"/>
          <w:sz w:val="40"/>
          <w:szCs w:val="40"/>
          <w:rtl/>
        </w:rPr>
        <w:lastRenderedPageBreak/>
        <w:t>هذه الحالة، يجب التأكد من أن هذا النموذج يتناول الشؤون التنظيمية والبرنامجية. ويمكن اللجوء إلى أدوات الخطوات الفرعية للحصول على نموذج عقد، وقائمة بالشروط العامة التي يجب أن تتوفر في كل العقود البرمة مع مقدمي الخدمات، والمطلبات الدنيا للتعاقد مع مقدم خدمات الكتروني.</w:t>
      </w:r>
    </w:p>
    <w:p w:rsidR="004718DB" w:rsidRPr="00DF003D" w:rsidRDefault="004718DB" w:rsidP="004718DB">
      <w:pPr>
        <w:bidi/>
        <w:rPr>
          <w:b/>
          <w:bCs/>
          <w:sz w:val="40"/>
          <w:szCs w:val="40"/>
          <w:rtl/>
        </w:rPr>
      </w:pPr>
      <w:r w:rsidRPr="00DF003D">
        <w:rPr>
          <w:rFonts w:hint="cs"/>
          <w:b/>
          <w:bCs/>
          <w:sz w:val="40"/>
          <w:szCs w:val="40"/>
          <w:rtl/>
        </w:rPr>
        <w:t>إدارة بيانات المستفيدين وحمايتها</w:t>
      </w:r>
    </w:p>
    <w:p w:rsidR="004718DB" w:rsidRDefault="00C0309F" w:rsidP="00495CFF">
      <w:pPr>
        <w:bidi/>
        <w:rPr>
          <w:rFonts w:cs="Arial"/>
          <w:sz w:val="40"/>
          <w:szCs w:val="40"/>
          <w:rtl/>
        </w:rPr>
      </w:pPr>
      <w:r>
        <w:rPr>
          <w:rFonts w:hint="cs"/>
          <w:sz w:val="40"/>
          <w:szCs w:val="40"/>
          <w:rtl/>
        </w:rPr>
        <w:t>تولى إدارة بيانات المستفيدين وحمايتها أهمية كبيرة في التحويلات النقدية التي تنطوي على مقدم خدمات مالية. فيجب تشديد المراقبة في مرحلة جمع بيانات المستفيدين الشخصية، واستخدامها، وحفظها، من أجل تفاجي المخاطر</w:t>
      </w:r>
      <w:r w:rsidR="00495CFF" w:rsidRPr="00495CFF">
        <w:rPr>
          <w:rFonts w:cs="Arial"/>
          <w:sz w:val="40"/>
          <w:szCs w:val="40"/>
          <w:rtl/>
        </w:rPr>
        <w:t xml:space="preserve"> </w:t>
      </w:r>
      <w:r w:rsidR="00495CFF" w:rsidRPr="00495CFF">
        <w:rPr>
          <w:rFonts w:cs="Arial" w:hint="eastAsia"/>
          <w:sz w:val="40"/>
          <w:szCs w:val="40"/>
          <w:rtl/>
        </w:rPr>
        <w:t>المتعلقة</w:t>
      </w:r>
      <w:r w:rsidR="00495CFF" w:rsidRPr="00495CFF">
        <w:rPr>
          <w:rFonts w:cs="Arial"/>
          <w:sz w:val="40"/>
          <w:szCs w:val="40"/>
          <w:rtl/>
        </w:rPr>
        <w:t xml:space="preserve"> </w:t>
      </w:r>
      <w:r w:rsidR="00495CFF" w:rsidRPr="00495CFF">
        <w:rPr>
          <w:rFonts w:cs="Arial" w:hint="eastAsia"/>
          <w:sz w:val="40"/>
          <w:szCs w:val="40"/>
          <w:rtl/>
        </w:rPr>
        <w:t>بالخصوصية</w:t>
      </w:r>
      <w:r w:rsidR="00495CFF" w:rsidRPr="00495CFF">
        <w:rPr>
          <w:rFonts w:cs="Arial"/>
          <w:sz w:val="40"/>
          <w:szCs w:val="40"/>
          <w:rtl/>
        </w:rPr>
        <w:t xml:space="preserve"> </w:t>
      </w:r>
      <w:r w:rsidR="00495CFF" w:rsidRPr="00495CFF">
        <w:rPr>
          <w:rFonts w:cs="Arial" w:hint="eastAsia"/>
          <w:sz w:val="40"/>
          <w:szCs w:val="40"/>
          <w:rtl/>
        </w:rPr>
        <w:t>وكذلك</w:t>
      </w:r>
      <w:r w:rsidR="00495CFF" w:rsidRPr="00495CFF">
        <w:rPr>
          <w:rFonts w:cs="Arial"/>
          <w:sz w:val="40"/>
          <w:szCs w:val="40"/>
          <w:rtl/>
        </w:rPr>
        <w:t xml:space="preserve"> </w:t>
      </w:r>
      <w:r w:rsidR="00495CFF" w:rsidRPr="00495CFF">
        <w:rPr>
          <w:rFonts w:cs="Arial" w:hint="eastAsia"/>
          <w:sz w:val="40"/>
          <w:szCs w:val="40"/>
          <w:rtl/>
        </w:rPr>
        <w:t>الاحتيال</w:t>
      </w:r>
      <w:r w:rsidR="00495CFF" w:rsidRPr="00495CFF">
        <w:rPr>
          <w:rFonts w:cs="Arial"/>
          <w:sz w:val="40"/>
          <w:szCs w:val="40"/>
          <w:rtl/>
        </w:rPr>
        <w:t xml:space="preserve"> </w:t>
      </w:r>
      <w:r w:rsidR="00495CFF">
        <w:rPr>
          <w:rFonts w:cs="Arial" w:hint="cs"/>
          <w:sz w:val="40"/>
          <w:szCs w:val="40"/>
          <w:rtl/>
        </w:rPr>
        <w:t>و</w:t>
      </w:r>
      <w:r w:rsidR="00495CFF" w:rsidRPr="00495CFF">
        <w:rPr>
          <w:rFonts w:cs="Arial" w:hint="eastAsia"/>
          <w:sz w:val="40"/>
          <w:szCs w:val="40"/>
          <w:rtl/>
        </w:rPr>
        <w:t>سوء</w:t>
      </w:r>
      <w:r w:rsidR="00495CFF" w:rsidRPr="00495CFF">
        <w:rPr>
          <w:rFonts w:cs="Arial"/>
          <w:sz w:val="40"/>
          <w:szCs w:val="40"/>
          <w:rtl/>
        </w:rPr>
        <w:t xml:space="preserve"> </w:t>
      </w:r>
      <w:r w:rsidR="00495CFF" w:rsidRPr="00495CFF">
        <w:rPr>
          <w:rFonts w:cs="Arial" w:hint="eastAsia"/>
          <w:sz w:val="40"/>
          <w:szCs w:val="40"/>
          <w:rtl/>
        </w:rPr>
        <w:t>المعاملة</w:t>
      </w:r>
      <w:r w:rsidR="00495CFF" w:rsidRPr="00495CFF">
        <w:rPr>
          <w:rFonts w:cs="Arial"/>
          <w:sz w:val="40"/>
          <w:szCs w:val="40"/>
          <w:rtl/>
        </w:rPr>
        <w:t>.</w:t>
      </w:r>
    </w:p>
    <w:p w:rsidR="00495CFF" w:rsidRDefault="00495CFF" w:rsidP="00495CFF">
      <w:pPr>
        <w:bidi/>
        <w:rPr>
          <w:rFonts w:cs="Arial"/>
          <w:sz w:val="40"/>
          <w:szCs w:val="40"/>
          <w:rtl/>
        </w:rPr>
      </w:pPr>
      <w:r>
        <w:rPr>
          <w:rFonts w:cs="Arial" w:hint="cs"/>
          <w:sz w:val="40"/>
          <w:szCs w:val="40"/>
          <w:rtl/>
        </w:rPr>
        <w:t xml:space="preserve">ويمكن </w:t>
      </w:r>
      <w:r w:rsidR="0020315E">
        <w:rPr>
          <w:rFonts w:cs="Arial" w:hint="cs"/>
          <w:sz w:val="40"/>
          <w:szCs w:val="40"/>
          <w:rtl/>
        </w:rPr>
        <w:t>أن تتاثر وسائل إدارة البيانات وحمايتها بالعوامل التالية:</w:t>
      </w:r>
    </w:p>
    <w:p w:rsidR="0020315E" w:rsidRDefault="0020315E" w:rsidP="0020315E">
      <w:pPr>
        <w:pStyle w:val="ListParagraph"/>
        <w:numPr>
          <w:ilvl w:val="0"/>
          <w:numId w:val="1"/>
        </w:numPr>
        <w:bidi/>
        <w:rPr>
          <w:sz w:val="40"/>
          <w:szCs w:val="40"/>
        </w:rPr>
      </w:pPr>
      <w:r>
        <w:rPr>
          <w:rFonts w:hint="cs"/>
          <w:sz w:val="40"/>
          <w:szCs w:val="40"/>
          <w:rtl/>
        </w:rPr>
        <w:t>التشريعات المحلية؛</w:t>
      </w:r>
    </w:p>
    <w:p w:rsidR="0020315E" w:rsidRDefault="0020315E" w:rsidP="0020315E">
      <w:pPr>
        <w:pStyle w:val="ListParagraph"/>
        <w:numPr>
          <w:ilvl w:val="0"/>
          <w:numId w:val="1"/>
        </w:numPr>
        <w:bidi/>
        <w:rPr>
          <w:sz w:val="40"/>
          <w:szCs w:val="40"/>
        </w:rPr>
      </w:pPr>
      <w:r>
        <w:rPr>
          <w:rFonts w:hint="cs"/>
          <w:sz w:val="40"/>
          <w:szCs w:val="40"/>
          <w:rtl/>
        </w:rPr>
        <w:t>نطاق البرنامج؛</w:t>
      </w:r>
    </w:p>
    <w:p w:rsidR="0020315E" w:rsidRDefault="0020315E" w:rsidP="0020315E">
      <w:pPr>
        <w:pStyle w:val="ListParagraph"/>
        <w:numPr>
          <w:ilvl w:val="0"/>
          <w:numId w:val="1"/>
        </w:numPr>
        <w:bidi/>
        <w:rPr>
          <w:sz w:val="40"/>
          <w:szCs w:val="40"/>
        </w:rPr>
      </w:pPr>
      <w:r>
        <w:rPr>
          <w:rFonts w:hint="cs"/>
          <w:sz w:val="40"/>
          <w:szCs w:val="40"/>
          <w:rtl/>
        </w:rPr>
        <w:t>المعرفة الفنية والموارد المتاحة؛</w:t>
      </w:r>
    </w:p>
    <w:p w:rsidR="0020315E" w:rsidRDefault="0020315E" w:rsidP="0020315E">
      <w:pPr>
        <w:pStyle w:val="ListParagraph"/>
        <w:numPr>
          <w:ilvl w:val="0"/>
          <w:numId w:val="1"/>
        </w:numPr>
        <w:bidi/>
        <w:rPr>
          <w:sz w:val="40"/>
          <w:szCs w:val="40"/>
        </w:rPr>
      </w:pPr>
      <w:r>
        <w:rPr>
          <w:rFonts w:hint="cs"/>
          <w:sz w:val="40"/>
          <w:szCs w:val="40"/>
          <w:rtl/>
        </w:rPr>
        <w:t>متطلبات مقدم الخدمات.</w:t>
      </w:r>
    </w:p>
    <w:p w:rsidR="004718DB" w:rsidRDefault="00B454AC" w:rsidP="00B454AC">
      <w:pPr>
        <w:bidi/>
        <w:rPr>
          <w:sz w:val="40"/>
          <w:szCs w:val="40"/>
          <w:rtl/>
        </w:rPr>
      </w:pPr>
      <w:r>
        <w:rPr>
          <w:rFonts w:hint="cs"/>
          <w:sz w:val="40"/>
          <w:szCs w:val="40"/>
          <w:rtl/>
        </w:rPr>
        <w:t xml:space="preserve">ويمكن الحصول على مجموعة من المبادئ التي من شأنها حماية البيانات، والاقتراحات حول بنود حماية البيانات في أدوات الخطوات الفرعية. </w:t>
      </w:r>
    </w:p>
    <w:p w:rsidR="003A5ADD" w:rsidRDefault="003A5ADD" w:rsidP="003A5ADD">
      <w:pPr>
        <w:bidi/>
        <w:rPr>
          <w:sz w:val="40"/>
          <w:szCs w:val="40"/>
          <w:rtl/>
        </w:rPr>
      </w:pPr>
      <w:r>
        <w:rPr>
          <w:rFonts w:hint="cs"/>
          <w:sz w:val="40"/>
          <w:szCs w:val="40"/>
          <w:rtl/>
        </w:rPr>
        <w:t>المراجع:</w:t>
      </w:r>
    </w:p>
    <w:p w:rsidR="008C1B00" w:rsidRPr="008C1B00" w:rsidRDefault="008C1B00" w:rsidP="008C1B00">
      <w:pPr>
        <w:pStyle w:val="RefItem1"/>
        <w:bidi/>
        <w:rPr>
          <w:bCs/>
        </w:rPr>
      </w:pPr>
      <w:proofErr w:type="spellStart"/>
      <w:proofErr w:type="gramStart"/>
      <w:r w:rsidRPr="008C1B00">
        <w:rPr>
          <w:bCs/>
        </w:rPr>
        <w:t>USAID</w:t>
      </w:r>
      <w:proofErr w:type="spellEnd"/>
      <w:r w:rsidRPr="008C1B00">
        <w:rPr>
          <w:bCs/>
        </w:rPr>
        <w:t xml:space="preserve"> and </w:t>
      </w:r>
      <w:proofErr w:type="spellStart"/>
      <w:r w:rsidRPr="008C1B00">
        <w:rPr>
          <w:bCs/>
        </w:rPr>
        <w:t>NetHope</w:t>
      </w:r>
      <w:proofErr w:type="spellEnd"/>
      <w:r w:rsidRPr="008C1B00">
        <w:rPr>
          <w:bCs/>
        </w:rPr>
        <w:t xml:space="preserve"> Payment Innovations.</w:t>
      </w:r>
      <w:proofErr w:type="gramEnd"/>
      <w:r w:rsidRPr="008C1B00">
        <w:rPr>
          <w:bCs/>
        </w:rPr>
        <w:t xml:space="preserve"> </w:t>
      </w:r>
      <w:proofErr w:type="gramStart"/>
      <w:r w:rsidRPr="008C1B00">
        <w:rPr>
          <w:bCs/>
        </w:rPr>
        <w:t>e-Payment</w:t>
      </w:r>
      <w:proofErr w:type="gramEnd"/>
      <w:r w:rsidRPr="008C1B00">
        <w:rPr>
          <w:bCs/>
        </w:rPr>
        <w:t xml:space="preserve"> Toolkit. </w:t>
      </w:r>
      <w:hyperlink r:id="rId5" w:history="1">
        <w:r w:rsidRPr="008C1B00">
          <w:rPr>
            <w:rStyle w:val="Hyperlink"/>
            <w:bCs/>
          </w:rPr>
          <w:t>http://solutionscenter.nethope.org/programs/c2e-toolkit</w:t>
        </w:r>
      </w:hyperlink>
    </w:p>
    <w:p w:rsidR="008C1B00" w:rsidRPr="008C1B00" w:rsidRDefault="008C1B00" w:rsidP="008C1B00">
      <w:pPr>
        <w:pStyle w:val="RefItem1"/>
        <w:bidi/>
        <w:rPr>
          <w:bCs/>
          <w:color w:val="0000FF"/>
          <w:u w:val="single"/>
        </w:rPr>
      </w:pPr>
      <w:r w:rsidRPr="008C1B00">
        <w:rPr>
          <w:bCs/>
        </w:rPr>
        <w:t>Working With Banks: A field guide to negotiating with banks in cash transfer programming (2011) CaLP</w:t>
      </w:r>
      <w:hyperlink r:id="rId6" w:history="1">
        <w:r w:rsidRPr="008C1B00">
          <w:rPr>
            <w:rStyle w:val="Hyperlink"/>
            <w:bCs/>
          </w:rPr>
          <w:t>http://www.cashlearning.org/resources/library/34-working-with-banks-a-field-guide-to-negotiating-with-banks-in-cash-transfer-programming-screen-version</w:t>
        </w:r>
      </w:hyperlink>
    </w:p>
    <w:p w:rsidR="003A5ADD" w:rsidRPr="00B454AC" w:rsidRDefault="008C1B00" w:rsidP="008C1B00">
      <w:pPr>
        <w:bidi/>
        <w:rPr>
          <w:sz w:val="40"/>
          <w:szCs w:val="40"/>
        </w:rPr>
      </w:pPr>
      <w:r w:rsidRPr="008C1B00">
        <w:rPr>
          <w:bCs/>
        </w:rPr>
        <w:lastRenderedPageBreak/>
        <w:t>E-transfers in emergencies: implementation support guidelines" 2013 CaLP</w:t>
      </w:r>
      <w:hyperlink r:id="rId7" w:history="1">
        <w:r w:rsidRPr="008C1B00">
          <w:rPr>
            <w:rStyle w:val="Hyperlink"/>
            <w:rFonts w:eastAsia="Times New Roman"/>
            <w:bCs/>
          </w:rPr>
          <w:t>http://www.cashlearning.org/resources/library/390-e-transfers-in-emergencies-implementation-support-guideline</w:t>
        </w:r>
      </w:hyperlink>
    </w:p>
    <w:sectPr w:rsidR="003A5ADD" w:rsidRPr="00B454AC" w:rsidSect="00302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F33E6"/>
    <w:multiLevelType w:val="hybridMultilevel"/>
    <w:tmpl w:val="790675A4"/>
    <w:lvl w:ilvl="0" w:tplc="45F2CB8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8491C"/>
    <w:rsid w:val="00044E40"/>
    <w:rsid w:val="000506EE"/>
    <w:rsid w:val="00112516"/>
    <w:rsid w:val="0020315E"/>
    <w:rsid w:val="00290DC6"/>
    <w:rsid w:val="002C05CA"/>
    <w:rsid w:val="00302562"/>
    <w:rsid w:val="003A5ADD"/>
    <w:rsid w:val="004112CD"/>
    <w:rsid w:val="004402F4"/>
    <w:rsid w:val="004718DB"/>
    <w:rsid w:val="00473365"/>
    <w:rsid w:val="004844B2"/>
    <w:rsid w:val="00495CFF"/>
    <w:rsid w:val="004A3500"/>
    <w:rsid w:val="004F5FF9"/>
    <w:rsid w:val="005C4DB3"/>
    <w:rsid w:val="005E3034"/>
    <w:rsid w:val="006F401C"/>
    <w:rsid w:val="00760354"/>
    <w:rsid w:val="008275D1"/>
    <w:rsid w:val="00853CE9"/>
    <w:rsid w:val="008C0AD2"/>
    <w:rsid w:val="008C1B00"/>
    <w:rsid w:val="008C3928"/>
    <w:rsid w:val="00986D98"/>
    <w:rsid w:val="00A84BB8"/>
    <w:rsid w:val="00B454AC"/>
    <w:rsid w:val="00B8491C"/>
    <w:rsid w:val="00C0189A"/>
    <w:rsid w:val="00C0309F"/>
    <w:rsid w:val="00DB3797"/>
    <w:rsid w:val="00DD1084"/>
    <w:rsid w:val="00DF003D"/>
    <w:rsid w:val="00E07900"/>
    <w:rsid w:val="00E173F7"/>
    <w:rsid w:val="00E20117"/>
    <w:rsid w:val="00F40EAB"/>
    <w:rsid w:val="00F766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97"/>
    <w:pPr>
      <w:ind w:left="720"/>
      <w:contextualSpacing/>
    </w:pPr>
  </w:style>
  <w:style w:type="character" w:styleId="Hyperlink">
    <w:name w:val="Hyperlink"/>
    <w:basedOn w:val="DefaultParagraphFont"/>
    <w:uiPriority w:val="99"/>
    <w:unhideWhenUsed/>
    <w:rsid w:val="008C1B00"/>
    <w:rPr>
      <w:color w:val="0000FF" w:themeColor="hyperlink"/>
      <w:u w:val="single"/>
    </w:rPr>
  </w:style>
  <w:style w:type="paragraph" w:customStyle="1" w:styleId="RefItem1">
    <w:name w:val="Ref Item 1"/>
    <w:basedOn w:val="Normal"/>
    <w:rsid w:val="008C1B00"/>
    <w:pPr>
      <w:spacing w:after="120" w:line="240" w:lineRule="auto"/>
    </w:pPr>
    <w:rPr>
      <w:rFonts w:ascii="Arial" w:hAnsi="Arial" w:cs="Times New Roman"/>
      <w:color w:val="000000"/>
      <w:sz w:val="20"/>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hlearning.org/resources/library/390-e-transfers-in-emergencies-implementation-support-guid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hlearning.org/resources/library/34-working-with-banks-a-field-guide-to-negotiating-with-banks-in-cash-transfer-programming-screen-version" TargetMode="External"/><Relationship Id="rId5" Type="http://schemas.openxmlformats.org/officeDocument/2006/relationships/hyperlink" Target="http://solutionscenter.nethope.org/programs/c2e-toolk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27</cp:revision>
  <dcterms:created xsi:type="dcterms:W3CDTF">2015-12-21T12:24:00Z</dcterms:created>
  <dcterms:modified xsi:type="dcterms:W3CDTF">2015-12-28T13:09:00Z</dcterms:modified>
</cp:coreProperties>
</file>