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AF" w:rsidRDefault="005D32AF" w:rsidP="00447633">
      <w:pPr>
        <w:pStyle w:val="H1"/>
        <w:bidi/>
      </w:pPr>
      <w:r>
        <w:rPr>
          <w:rFonts w:hint="cs"/>
          <w:rtl/>
        </w:rPr>
        <w:t>القائمة المرجعية لمتطلبات</w:t>
      </w:r>
      <w:r w:rsidR="002B36C9">
        <w:rPr>
          <w:rFonts w:hint="cs"/>
          <w:rtl/>
        </w:rPr>
        <w:t xml:space="preserve"> ال</w:t>
      </w:r>
      <w:r>
        <w:rPr>
          <w:rFonts w:hint="cs"/>
          <w:rtl/>
        </w:rPr>
        <w:t xml:space="preserve">بطاقة </w:t>
      </w:r>
    </w:p>
    <w:p w:rsidR="005D32AF" w:rsidRDefault="005D32AF" w:rsidP="005D32AF">
      <w:pPr>
        <w:pStyle w:val="H1"/>
        <w:bidi/>
        <w:rPr>
          <w:sz w:val="24"/>
          <w:szCs w:val="24"/>
          <w:rtl/>
        </w:rPr>
      </w:pPr>
    </w:p>
    <w:tbl>
      <w:tblPr>
        <w:bidiVisual/>
        <w:tblW w:w="5000" w:type="pct"/>
        <w:tblLook w:val="04A0"/>
      </w:tblPr>
      <w:tblGrid>
        <w:gridCol w:w="11865"/>
        <w:gridCol w:w="1437"/>
        <w:gridCol w:w="1485"/>
      </w:tblGrid>
      <w:tr w:rsidR="00D722EB" w:rsidRPr="00AD457A" w:rsidTr="005D32AF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bottom"/>
            <w:hideMark/>
          </w:tcPr>
          <w:p w:rsidR="005D32AF" w:rsidRPr="00AD457A" w:rsidRDefault="005D32AF" w:rsidP="005D32AF">
            <w:pPr>
              <w:bidi/>
              <w:spacing w:before="120"/>
              <w:jc w:val="left"/>
              <w:rPr>
                <w:rFonts w:eastAsia="Times New Roman" w:cs="Arial"/>
                <w:bCs/>
                <w:color w:val="FFFFFF" w:themeColor="background1"/>
              </w:rPr>
            </w:pPr>
            <w:r>
              <w:rPr>
                <w:rFonts w:eastAsia="Times New Roman" w:cs="Arial" w:hint="cs"/>
                <w:bCs/>
                <w:color w:val="FFFFFF" w:themeColor="background1"/>
                <w:rtl/>
              </w:rPr>
              <w:t xml:space="preserve">الإرشادات:  راجع متطلبات البرنامج وحدد مستوى الخدمات التي يتطلبها أو يفضلها الصليب الأحمر/لهلال الأحمر. وتدمج النقاط التي </w:t>
            </w:r>
            <w:r w:rsidR="001D24EB">
              <w:rPr>
                <w:rFonts w:eastAsia="Times New Roman" w:cs="Arial" w:hint="cs"/>
                <w:bCs/>
                <w:color w:val="FFFFFF" w:themeColor="background1"/>
                <w:rtl/>
              </w:rPr>
              <w:t>حددت على أنها "مطلوبة" في إطار عمل مقدم الخدمات المالية. أما النقاط التي حددت على أنها "مفضلة" سيتم مناقشتها مع مقدم الخدمات المالية ودمجها في المفاوضات.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:rsidR="001A6203" w:rsidRPr="00AD457A" w:rsidRDefault="001D24EB" w:rsidP="005D32AF">
            <w:pPr>
              <w:bidi/>
              <w:spacing w:before="120"/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>
              <w:rPr>
                <w:rFonts w:eastAsia="Times New Roman" w:cs="Arial" w:hint="cs"/>
                <w:b/>
                <w:color w:val="FFFFFF" w:themeColor="background1"/>
                <w:rtl/>
              </w:rPr>
              <w:t>مطلوبة</w:t>
            </w:r>
            <w:r w:rsidR="00183E80">
              <w:rPr>
                <w:rFonts w:eastAsia="Times New Roman" w:cs="Arial" w:hint="cs"/>
                <w:b/>
                <w:color w:val="FFFFFF" w:themeColor="background1"/>
                <w:rtl/>
              </w:rPr>
              <w:t xml:space="preserve"> </w:t>
            </w:r>
            <w:r w:rsidR="001A6203" w:rsidRPr="00AD457A">
              <w:rPr>
                <w:rFonts w:eastAsia="Times New Roman" w:cs="Arial"/>
                <w:b/>
                <w:color w:val="FFFFFF" w:themeColor="background1"/>
              </w:rPr>
              <w:t xml:space="preserve"> (X)</w:t>
            </w:r>
            <w:r w:rsidR="00183E80">
              <w:rPr>
                <w:rFonts w:eastAsia="Times New Roman" w:cs="Arial" w:hint="cs"/>
                <w:b/>
                <w:color w:val="FFFFFF" w:themeColor="background1"/>
                <w:rtl/>
              </w:rPr>
              <w:t xml:space="preserve">  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:rsidR="001A6203" w:rsidRPr="00AD457A" w:rsidRDefault="001D24EB" w:rsidP="005D32AF">
            <w:pPr>
              <w:bidi/>
              <w:spacing w:before="120"/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>
              <w:rPr>
                <w:rFonts w:eastAsia="Times New Roman" w:cs="Arial" w:hint="cs"/>
                <w:b/>
                <w:color w:val="FFFFFF" w:themeColor="background1"/>
                <w:rtl/>
              </w:rPr>
              <w:t>مفضلة</w:t>
            </w:r>
            <w:r w:rsidR="00183E80">
              <w:rPr>
                <w:rFonts w:eastAsia="Times New Roman" w:cs="Arial" w:hint="cs"/>
                <w:b/>
                <w:color w:val="FFFFFF" w:themeColor="background1"/>
                <w:rtl/>
              </w:rPr>
              <w:t xml:space="preserve"> </w:t>
            </w:r>
            <w:r w:rsidR="001A6203" w:rsidRPr="00AD457A">
              <w:rPr>
                <w:rFonts w:eastAsia="Times New Roman" w:cs="Arial"/>
                <w:b/>
                <w:color w:val="FFFFFF" w:themeColor="background1"/>
              </w:rPr>
              <w:t xml:space="preserve"> (X)</w:t>
            </w:r>
          </w:p>
        </w:tc>
      </w:tr>
      <w:tr w:rsidR="001A6203" w:rsidRPr="00AD457A" w:rsidTr="005D32AF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1A6203" w:rsidRPr="00AD457A" w:rsidRDefault="00183E80" w:rsidP="005D32AF">
            <w:pPr>
              <w:bidi/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 w:hint="cs"/>
                <w:b/>
                <w:bCs/>
                <w:color w:val="000000"/>
                <w:rtl/>
              </w:rPr>
              <w:t>متطلبات عامة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1A6203" w:rsidRPr="00AD457A" w:rsidRDefault="001A6203" w:rsidP="005D32AF">
            <w:pPr>
              <w:bidi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1A6203" w:rsidRPr="00AD457A" w:rsidRDefault="001A6203" w:rsidP="005D32AF">
            <w:pPr>
              <w:bidi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183E80" w:rsidP="005D32AF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أعيدت </w:t>
            </w:r>
            <w:r w:rsidRPr="00183E80">
              <w:rPr>
                <w:rFonts w:eastAsia="Times New Roman" w:cs="Arial"/>
                <w:color w:val="000000"/>
                <w:rtl/>
              </w:rPr>
              <w:t>الأموال غير المستخدمة للهلال الأحمر والصليب الأحمر.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871BA" w:rsidP="002871BA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rtl/>
              </w:rPr>
              <w:t>يمكن ت</w:t>
            </w:r>
            <w:r>
              <w:rPr>
                <w:rFonts w:eastAsia="Times New Roman" w:cs="Arial" w:hint="cs"/>
                <w:color w:val="000000"/>
                <w:rtl/>
              </w:rPr>
              <w:t>فعيل</w:t>
            </w:r>
            <w:r w:rsidR="00183E80" w:rsidRPr="00183E80">
              <w:rPr>
                <w:rFonts w:eastAsia="Times New Roman" w:cs="Arial"/>
                <w:color w:val="000000"/>
                <w:rtl/>
              </w:rPr>
              <w:t xml:space="preserve"> آلية الدفع </w:t>
            </w:r>
            <w:r>
              <w:rPr>
                <w:rFonts w:eastAsia="Times New Roman" w:cs="Arial" w:hint="cs"/>
                <w:color w:val="000000"/>
                <w:rtl/>
              </w:rPr>
              <w:t xml:space="preserve">متى شاء </w:t>
            </w:r>
            <w:r w:rsidR="002B36C9">
              <w:rPr>
                <w:rFonts w:eastAsia="Times New Roman" w:cs="Arial" w:hint="cs"/>
                <w:color w:val="000000"/>
                <w:rtl/>
              </w:rPr>
              <w:t>صاحب العلاقة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9C101D" w:rsidP="0089301D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يمكن تحميل آليات الدفع </w:t>
            </w:r>
            <w:r w:rsidR="0089301D">
              <w:rPr>
                <w:rFonts w:eastAsia="Times New Roman" w:cs="Arial" w:hint="cs"/>
                <w:color w:val="000000"/>
                <w:rtl/>
              </w:rPr>
              <w:t>حمولة</w:t>
            </w:r>
            <w:r>
              <w:rPr>
                <w:rFonts w:eastAsia="Times New Roman" w:cs="Arial" w:hint="cs"/>
                <w:color w:val="000000"/>
                <w:rtl/>
              </w:rPr>
              <w:t xml:space="preserve"> </w:t>
            </w:r>
            <w:r w:rsidR="002B36C9">
              <w:rPr>
                <w:rFonts w:eastAsia="Times New Roman" w:cs="Arial" w:hint="cs"/>
                <w:color w:val="000000"/>
                <w:rtl/>
              </w:rPr>
              <w:t>متغيرة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871BA" w:rsidP="002871BA">
            <w:pPr>
              <w:bidi/>
              <w:spacing w:before="120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 w:hint="cs"/>
                <w:b/>
                <w:bCs/>
                <w:rtl/>
              </w:rPr>
              <w:t>الأداة القائمة على البطاقة (جهاز الصراف الآلي ونقاط البيع)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5D32AF">
            <w:pPr>
              <w:bidi/>
              <w:spacing w:before="120"/>
              <w:jc w:val="center"/>
              <w:rPr>
                <w:rFonts w:eastAsia="Times New Roman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5D32AF">
            <w:pPr>
              <w:bidi/>
              <w:spacing w:before="120"/>
              <w:jc w:val="center"/>
              <w:rPr>
                <w:rFonts w:eastAsia="Times New Roman" w:cs="Arial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B36C9" w:rsidP="002B36C9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rtl/>
              </w:rPr>
              <w:t>يمكن ت</w:t>
            </w:r>
            <w:r>
              <w:rPr>
                <w:rFonts w:eastAsia="Times New Roman" w:cs="Arial" w:hint="cs"/>
                <w:color w:val="000000"/>
                <w:rtl/>
              </w:rPr>
              <w:t>فعيل</w:t>
            </w:r>
            <w:r w:rsidRPr="00183E80">
              <w:rPr>
                <w:rFonts w:eastAsia="Times New Roman" w:cs="Arial"/>
                <w:color w:val="000000"/>
                <w:rtl/>
              </w:rPr>
              <w:t xml:space="preserve"> </w:t>
            </w:r>
            <w:r>
              <w:rPr>
                <w:rFonts w:eastAsia="Times New Roman" w:cs="Arial" w:hint="cs"/>
                <w:color w:val="000000"/>
                <w:rtl/>
              </w:rPr>
              <w:t>البطاقة</w:t>
            </w:r>
            <w:r w:rsidRPr="00183E80">
              <w:rPr>
                <w:rFonts w:eastAsia="Times New Roman" w:cs="Arial"/>
                <w:color w:val="000000"/>
                <w:rtl/>
              </w:rPr>
              <w:t xml:space="preserve"> </w:t>
            </w:r>
            <w:r>
              <w:rPr>
                <w:rFonts w:eastAsia="Times New Roman" w:cs="Arial" w:hint="cs"/>
                <w:color w:val="000000"/>
                <w:rtl/>
              </w:rPr>
              <w:t>متى شاء صاحب العلاقة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B36C9" w:rsidRPr="00AD457A" w:rsidRDefault="002B36C9" w:rsidP="002B36C9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تكون قيمة البطاقة صفر وهي </w:t>
            </w:r>
            <w:r w:rsidR="0089301D">
              <w:rPr>
                <w:rFonts w:eastAsia="Times New Roman" w:cs="Arial" w:hint="cs"/>
                <w:color w:val="000000"/>
                <w:rtl/>
              </w:rPr>
              <w:t xml:space="preserve">قابلة لأن تحمّل (لها </w:t>
            </w:r>
            <w:r w:rsidR="0089301D">
              <w:rPr>
                <w:rFonts w:eastAsia="Times New Roman" w:cs="Arial"/>
                <w:color w:val="000000"/>
                <w:rtl/>
              </w:rPr>
              <w:t xml:space="preserve">قيمة </w:t>
            </w:r>
            <w:r w:rsidR="0089301D" w:rsidRPr="0089301D">
              <w:rPr>
                <w:rFonts w:eastAsia="Times New Roman" w:cs="Arial"/>
                <w:color w:val="000000"/>
                <w:rtl/>
              </w:rPr>
              <w:t>حمولة متغير</w:t>
            </w:r>
            <w:r w:rsidR="0089301D">
              <w:rPr>
                <w:rFonts w:eastAsia="Times New Roman" w:cs="Arial" w:hint="cs"/>
                <w:color w:val="000000"/>
                <w:rtl/>
              </w:rPr>
              <w:t>ة)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9301D" w:rsidRPr="00AD457A" w:rsidRDefault="0089301D" w:rsidP="0089301D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تكون البطاقة قابلة لإعادة التحميل ولكن بقيمة حمولة معينة  لكل استعمال ولها قيمة قصوى.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89301D" w:rsidP="00E91D80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ل</w:t>
            </w:r>
            <w:r w:rsidRPr="0089301D">
              <w:rPr>
                <w:rFonts w:eastAsia="Times New Roman" w:cs="Arial"/>
                <w:color w:val="000000"/>
                <w:rtl/>
              </w:rPr>
              <w:t xml:space="preserve">كل بطاقة عدد محدود من </w:t>
            </w:r>
            <w:r w:rsidR="00E91D80">
              <w:rPr>
                <w:rFonts w:eastAsia="Times New Roman" w:cs="Arial" w:hint="cs"/>
                <w:color w:val="000000"/>
                <w:rtl/>
              </w:rPr>
              <w:t>الحمولات</w:t>
            </w:r>
            <w:r w:rsidRPr="0089301D">
              <w:rPr>
                <w:rFonts w:eastAsia="Times New Roman" w:cs="Arial"/>
                <w:color w:val="000000"/>
                <w:rtl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3037D9" w:rsidRPr="00AD457A" w:rsidRDefault="003037D9" w:rsidP="003037D9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تكون البطاقة بطاقة ذات قيمة مخزنة يوفرها الصليب الأحمر والهلال الأحمر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3037D9" w:rsidRPr="00AD457A" w:rsidRDefault="003037D9" w:rsidP="003037D9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يمكن استخدام/تفعيل البطاقة بعد 24 ساعة من وصول الإشعار.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30F6E" w:rsidRPr="00AD457A" w:rsidRDefault="00030F6E" w:rsidP="00030F6E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تصل البطاقة إلى  الصليب الأحمر/الهلال الأحمر في غضون 72 ساعة من تقديم الطلب.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30F6E" w:rsidRPr="00AD457A" w:rsidRDefault="00030F6E" w:rsidP="00030F6E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يكون شعار الصليب الأحمر/الهلال الأحمر مطبوع على البطاقة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30F6E" w:rsidRPr="00AD457A" w:rsidRDefault="00A34C41" w:rsidP="00030F6E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تكون المعاملات قائمة على التوقيع (بطاقة الائتمان)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A34C41" w:rsidRPr="00AD457A" w:rsidRDefault="00A34C41" w:rsidP="00A34C41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يكون للبطاقة القدرة على سحب النقود في خلال عملية الشراء في نقاط البيع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36ACA" w:rsidRPr="00AD457A" w:rsidRDefault="00036ACA" w:rsidP="00036ACA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يكون للبطاقة القدرة على سحب النقود من أجهزة الصراف الآلي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36ACA" w:rsidRPr="00AD457A" w:rsidRDefault="00C37440" w:rsidP="00C37440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تكون ال</w:t>
            </w:r>
            <w:r w:rsidRPr="00C37440">
              <w:rPr>
                <w:rFonts w:eastAsia="Times New Roman" w:cs="Arial"/>
                <w:color w:val="000000"/>
                <w:rtl/>
              </w:rPr>
              <w:t xml:space="preserve">بطاقة </w:t>
            </w:r>
            <w:r>
              <w:rPr>
                <w:rFonts w:eastAsia="Times New Roman" w:cs="Arial" w:hint="cs"/>
                <w:color w:val="000000"/>
                <w:rtl/>
              </w:rPr>
              <w:t>محدودة بحسب</w:t>
            </w:r>
            <w:r>
              <w:rPr>
                <w:rFonts w:eastAsia="Times New Roman" w:cs="Arial"/>
                <w:color w:val="000000"/>
                <w:rtl/>
              </w:rPr>
              <w:t xml:space="preserve">  كمية النقد ال</w:t>
            </w:r>
            <w:r>
              <w:rPr>
                <w:rFonts w:eastAsia="Times New Roman" w:cs="Arial" w:hint="cs"/>
                <w:color w:val="000000"/>
                <w:rtl/>
              </w:rPr>
              <w:t>ذي</w:t>
            </w:r>
            <w:r>
              <w:rPr>
                <w:rFonts w:eastAsia="Times New Roman" w:cs="Arial"/>
                <w:color w:val="000000"/>
                <w:rtl/>
              </w:rPr>
              <w:t xml:space="preserve"> يمكن سحبه وعدد</w:t>
            </w:r>
            <w:r w:rsidRPr="00C37440">
              <w:rPr>
                <w:rFonts w:eastAsia="Times New Roman" w:cs="Arial"/>
                <w:color w:val="000000"/>
                <w:rtl/>
              </w:rPr>
              <w:t xml:space="preserve"> </w:t>
            </w:r>
            <w:r>
              <w:rPr>
                <w:rFonts w:eastAsia="Times New Roman" w:cs="Arial" w:hint="cs"/>
                <w:color w:val="000000"/>
                <w:rtl/>
              </w:rPr>
              <w:t>عمليات السحب</w:t>
            </w:r>
            <w:r w:rsidRPr="00C37440">
              <w:rPr>
                <w:rFonts w:eastAsia="Times New Roman" w:cs="Arial"/>
                <w:color w:val="000000"/>
                <w:rtl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C37440" w:rsidRPr="00AD457A" w:rsidRDefault="00C37440" w:rsidP="00C37440">
            <w:pPr>
              <w:bidi/>
              <w:spacing w:before="80" w:after="80"/>
              <w:rPr>
                <w:rFonts w:eastAsia="Times New Roman" w:cs="Arial"/>
                <w:color w:val="000000"/>
                <w:rtl/>
              </w:rPr>
            </w:pPr>
            <w:r>
              <w:rPr>
                <w:rFonts w:eastAsia="Times New Roman" w:cs="Arial" w:hint="cs"/>
                <w:color w:val="000000"/>
                <w:rtl/>
              </w:rPr>
              <w:lastRenderedPageBreak/>
              <w:t xml:space="preserve">يمكن أن تقتصر البطاقة على </w:t>
            </w:r>
            <w:r>
              <w:rPr>
                <w:rFonts w:eastAsia="Times New Roman" w:cs="Arial"/>
                <w:color w:val="000000"/>
              </w:rPr>
              <w:t>XX</w:t>
            </w:r>
            <w:r>
              <w:rPr>
                <w:rFonts w:eastAsia="Times New Roman" w:cs="Arial" w:hint="cs"/>
                <w:color w:val="000000"/>
                <w:rtl/>
              </w:rPr>
              <w:t xml:space="preserve"> يوم من التفعيل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C37440">
        <w:trPr>
          <w:trHeight w:val="233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C37440" w:rsidRPr="00AD457A" w:rsidRDefault="00C37440" w:rsidP="00C37440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يمكن تفعيل البطاقة،  وإعادة تفعيلها، وإبطالها من موقع بعيد.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D53991" w:rsidRPr="00AD457A" w:rsidRDefault="00D53991" w:rsidP="00D53991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يمكن تفعيل البطاقة،  وإعادة تفعيلها، وإبطالها من قبل البائع بالنيابة عن الصليب الأحمر/الهلال الأحمر.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C72DEE" w:rsidRPr="00AD457A" w:rsidRDefault="00D80E5C" w:rsidP="00C72DEE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يمكن للصليب الأحمر/الهلال الأحمر تعليق/أو ابطال تعليق البطاقة.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D80E5C" w:rsidRPr="00AD457A" w:rsidRDefault="00D80E5C" w:rsidP="00D80E5C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يمكن ابطال مفعول البطاقة المنتهية الصلاحية.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D80E5C" w:rsidRPr="00AD457A" w:rsidRDefault="00D80E5C" w:rsidP="00D80E5C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ترفض أجهزة الصراف الآلي البطاقة عندما لا تكون محملة بما يكفي من العمولة.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D80E5C" w:rsidRPr="00AD457A" w:rsidRDefault="00D80E5C" w:rsidP="00D80E5C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ترفض البطاقة عند عملية الشراء إذا كانت قيمة المشتريات أكبر من رصيد البطاقة المتوفر؛ لا يسمح باستعمال أرصدة سلبية.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D80E5C" w:rsidRPr="00AD457A" w:rsidRDefault="00D80E5C" w:rsidP="005526D6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يجب </w:t>
            </w:r>
            <w:r w:rsidRPr="00D80E5C">
              <w:rPr>
                <w:rFonts w:eastAsia="Times New Roman" w:cs="Arial"/>
                <w:color w:val="000000"/>
                <w:rtl/>
              </w:rPr>
              <w:t xml:space="preserve"> </w:t>
            </w:r>
            <w:r>
              <w:rPr>
                <w:rFonts w:eastAsia="Times New Roman" w:cs="Arial" w:hint="cs"/>
                <w:color w:val="000000"/>
                <w:rtl/>
              </w:rPr>
              <w:t xml:space="preserve">الحصول على </w:t>
            </w:r>
            <w:r>
              <w:rPr>
                <w:rFonts w:eastAsia="Times New Roman" w:cs="Arial"/>
                <w:color w:val="000000"/>
                <w:rtl/>
              </w:rPr>
              <w:t xml:space="preserve">موافقة </w:t>
            </w:r>
            <w:r w:rsidRPr="00D80E5C">
              <w:rPr>
                <w:rFonts w:eastAsia="Times New Roman" w:cs="Arial"/>
                <w:color w:val="000000"/>
                <w:rtl/>
              </w:rPr>
              <w:t xml:space="preserve">إلكترونية </w:t>
            </w:r>
            <w:r>
              <w:rPr>
                <w:rFonts w:eastAsia="Times New Roman" w:cs="Arial" w:hint="cs"/>
                <w:color w:val="000000"/>
                <w:rtl/>
              </w:rPr>
              <w:t>في حال وجود</w:t>
            </w:r>
            <w:r w:rsidRPr="00D80E5C">
              <w:rPr>
                <w:rFonts w:eastAsia="Times New Roman" w:cs="Arial"/>
                <w:color w:val="000000"/>
                <w:rtl/>
              </w:rPr>
              <w:t xml:space="preserve"> </w:t>
            </w:r>
            <w:r w:rsidR="005526D6">
              <w:rPr>
                <w:rFonts w:eastAsia="Times New Roman" w:cs="Arial" w:hint="cs"/>
                <w:color w:val="000000"/>
                <w:rtl/>
              </w:rPr>
              <w:t xml:space="preserve">حد </w:t>
            </w:r>
            <w:r w:rsidR="005526D6">
              <w:rPr>
                <w:rFonts w:eastAsia="Times New Roman" w:cs="Arial"/>
                <w:color w:val="000000"/>
                <w:rtl/>
              </w:rPr>
              <w:t xml:space="preserve">0 $ </w:t>
            </w:r>
            <w:r w:rsidR="005526D6">
              <w:rPr>
                <w:rFonts w:eastAsia="Times New Roman" w:cs="Arial" w:hint="cs"/>
                <w:color w:val="000000"/>
                <w:rtl/>
              </w:rPr>
              <w:t>لكل ال</w:t>
            </w:r>
            <w:r w:rsidRPr="00D80E5C">
              <w:rPr>
                <w:rFonts w:eastAsia="Times New Roman" w:cs="Arial"/>
                <w:color w:val="000000"/>
                <w:rtl/>
              </w:rPr>
              <w:t xml:space="preserve">معاملات </w:t>
            </w:r>
            <w:r w:rsidR="005526D6">
              <w:rPr>
                <w:rFonts w:eastAsia="Times New Roman" w:cs="Arial" w:hint="cs"/>
                <w:color w:val="000000"/>
                <w:rtl/>
              </w:rPr>
              <w:t xml:space="preserve">في </w:t>
            </w:r>
            <w:r w:rsidRPr="00D80E5C">
              <w:rPr>
                <w:rFonts w:eastAsia="Times New Roman" w:cs="Arial"/>
                <w:color w:val="000000"/>
                <w:rtl/>
              </w:rPr>
              <w:t>وقت الشراء.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5374D" w:rsidRPr="00AD457A" w:rsidRDefault="00770F1B" w:rsidP="0095374D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يكون الإطار الزمني  لبلاغات البائعين واستعمال أجهزة الصراف الآلي محدوداً ويصل إلى ما لا يزيد عن 60 يوماً. ويتم رفض كل العاملات بعد مرور هذه المدة الزمنية.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33780" w:rsidRPr="00AD457A" w:rsidRDefault="00033780" w:rsidP="00033780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يمكن حظر استعمال البطاقة بحسب الصناعات وأصناف المعاملات.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C5610B" w:rsidRPr="00AD457A" w:rsidRDefault="00563373" w:rsidP="00C5610B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تحدد التكاليف في مكان تخزين مقدم الخدمات للبطاقات وترسل إلى الصليب الأحمر والهلال الأحمر.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563373" w:rsidRPr="00CB6939" w:rsidRDefault="00563373" w:rsidP="00563373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 w:rsidRPr="00CB6939">
              <w:rPr>
                <w:rFonts w:eastAsia="Times New Roman" w:cs="Arial" w:hint="cs"/>
                <w:color w:val="000000"/>
                <w:rtl/>
              </w:rPr>
              <w:t>تحدد التكاليف في مكان تخزين الصليب الحمر/الهلال الأحمر  للبطاقات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563373" w:rsidRPr="00CB6939" w:rsidRDefault="00563373" w:rsidP="00563373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 w:rsidRPr="00CB6939">
              <w:rPr>
                <w:rFonts w:eastAsia="Times New Roman" w:cs="Arial"/>
                <w:color w:val="000000"/>
                <w:rtl/>
              </w:rPr>
              <w:t>يتم توصيل البطاقة شرك</w:t>
            </w:r>
            <w:r w:rsidRPr="00CB6939">
              <w:rPr>
                <w:rFonts w:eastAsia="Times New Roman" w:cs="Arial" w:hint="cs"/>
                <w:color w:val="000000"/>
                <w:rtl/>
              </w:rPr>
              <w:t>ات</w:t>
            </w:r>
            <w:r w:rsidRPr="00CB6939">
              <w:rPr>
                <w:rFonts w:eastAsia="Times New Roman" w:cs="Arial"/>
                <w:color w:val="000000"/>
                <w:rtl/>
              </w:rPr>
              <w:t xml:space="preserve"> المدفوعات الإلكترونية العالمية (</w:t>
            </w:r>
            <w:r w:rsidRPr="00CB6939">
              <w:rPr>
                <w:rFonts w:eastAsia="Times New Roman" w:cs="Arial" w:hint="cs"/>
                <w:color w:val="000000"/>
                <w:rtl/>
              </w:rPr>
              <w:t xml:space="preserve">مثل </w:t>
            </w:r>
            <w:r w:rsidRPr="00CB6939">
              <w:rPr>
                <w:rFonts w:eastAsia="Times New Roman" w:cs="Arial"/>
                <w:color w:val="000000"/>
                <w:rtl/>
              </w:rPr>
              <w:t>ماستر كارد، فيزا).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CB6939" w:rsidP="005D32AF">
            <w:pPr>
              <w:bidi/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 w:hint="cs"/>
                <w:b/>
                <w:bCs/>
                <w:color w:val="000000"/>
                <w:rtl/>
              </w:rPr>
              <w:t>متطلبات مقدم الخدمات المالية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5D32AF">
            <w:pPr>
              <w:bidi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5D32AF">
            <w:pPr>
              <w:bidi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CB6939" w:rsidRPr="00AD457A" w:rsidRDefault="00CB6939" w:rsidP="00CB6939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يوفر مقدم الخدمات المالية آليات دفع </w:t>
            </w:r>
            <w:r w:rsidR="00BF52A7">
              <w:rPr>
                <w:rFonts w:eastAsia="Times New Roman" w:cs="Arial" w:hint="cs"/>
                <w:color w:val="000000"/>
                <w:rtl/>
              </w:rPr>
              <w:t>متنوعة في بلد محدد.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F52A7" w:rsidRPr="00AD457A" w:rsidRDefault="00BF52A7" w:rsidP="00BF52A7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يكون لمقدم الخدمات المالية منتج يعمل في البلدان ذات الأولوية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F52A7" w:rsidRPr="00AD457A" w:rsidRDefault="00BF52A7" w:rsidP="00BF52A7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يكون مقدم الخدمات المالية قادة/مستعد على توسيع نطاق عمله ليشمل أسواقاً جديدة (سوق=بلد)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F52A7" w:rsidRPr="00AD457A" w:rsidRDefault="00BF52A7" w:rsidP="00BF52A7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يمتثل مقدم الخدمات المالية للمعايير التنظيمية وإدارة المخاطر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F52A7" w:rsidRPr="00AD457A" w:rsidRDefault="00BF52A7" w:rsidP="00BF52A7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يمتثل مقدم الخدمات المالية لمعايير السلامة وحفظ البيانات.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F52A7" w:rsidRPr="00AD457A" w:rsidRDefault="00BF52A7" w:rsidP="00BF52A7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يكون مقدم الخدمات المالية مسؤول بالكامل عن الامتثال لقواعد مكتب مراقبة الأصول الأجنبية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F52A7" w:rsidRPr="00AD457A" w:rsidRDefault="00BF52A7" w:rsidP="00BF52A7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يكون مقدم الخدمات المالية مسؤول بالكامل عن الامتثال للمطلبات المحلية القانونية والتنظيمية والمالية.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F52A7" w:rsidRPr="00AD457A" w:rsidRDefault="00BF52A7" w:rsidP="00BF52A7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يزود مقدم الخدمات المالية الصليب الأحمر/الهلال الأحمر بأسعار تنافسية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F52A7" w:rsidRPr="00AD457A" w:rsidRDefault="003A0FD5" w:rsidP="00BF52A7">
            <w:pPr>
              <w:keepNext/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يكون مقدم الخدمات المالية ملتزماً بتعزيز الابتكار، والتضمين، والعمل المشترك بين مقدمي الخدمات.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keepNext/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keepNext/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Default="00865E75" w:rsidP="00865E75">
            <w:pPr>
              <w:bidi/>
              <w:spacing w:before="80" w:after="80"/>
              <w:rPr>
                <w:rFonts w:eastAsia="Times New Roman" w:cs="Arial"/>
                <w:color w:val="000000"/>
                <w:rtl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يكون لمقدم الخدمات مسؤولية تجاه المجتمع (، يكون على </w:t>
            </w:r>
            <w:r w:rsidRPr="00865E75">
              <w:rPr>
                <w:rFonts w:eastAsia="Times New Roman" w:cs="Arial"/>
                <w:color w:val="000000"/>
                <w:rtl/>
              </w:rPr>
              <w:t xml:space="preserve">استعداد لخفض الرسوم في الأزمات الإنسانية، ودعم البحوث في </w:t>
            </w:r>
            <w:r>
              <w:rPr>
                <w:rFonts w:eastAsia="Times New Roman" w:cs="Arial" w:hint="cs"/>
                <w:color w:val="000000"/>
                <w:rtl/>
              </w:rPr>
              <w:t>مجال برامج التحويلات النقدية</w:t>
            </w:r>
            <w:r>
              <w:rPr>
                <w:rFonts w:eastAsia="Times New Roman" w:cs="Arial"/>
                <w:color w:val="000000"/>
                <w:rtl/>
              </w:rPr>
              <w:t xml:space="preserve"> في حالات الطوارئ</w:t>
            </w:r>
            <w:r w:rsidRPr="00865E75">
              <w:rPr>
                <w:rFonts w:eastAsia="Times New Roman" w:cs="Arial"/>
                <w:color w:val="000000"/>
                <w:rtl/>
              </w:rPr>
              <w:t>؛ و</w:t>
            </w:r>
            <w:r>
              <w:rPr>
                <w:rFonts w:eastAsia="Times New Roman" w:cs="Arial"/>
                <w:color w:val="000000"/>
                <w:rtl/>
              </w:rPr>
              <w:t xml:space="preserve">هو اتفاق </w:t>
            </w:r>
            <w:r w:rsidRPr="00865E75">
              <w:rPr>
                <w:rFonts w:eastAsia="Times New Roman" w:cs="Arial"/>
                <w:color w:val="000000"/>
                <w:rtl/>
              </w:rPr>
              <w:lastRenderedPageBreak/>
              <w:t>شراكة بدلا</w:t>
            </w:r>
            <w:r>
              <w:rPr>
                <w:rFonts w:eastAsia="Times New Roman" w:cs="Arial" w:hint="cs"/>
                <w:color w:val="000000"/>
                <w:rtl/>
              </w:rPr>
              <w:t xml:space="preserve"> من اتفاق على اساس</w:t>
            </w:r>
            <w:r>
              <w:rPr>
                <w:rFonts w:eastAsia="Times New Roman" w:cs="Arial"/>
                <w:color w:val="000000"/>
                <w:rtl/>
              </w:rPr>
              <w:t xml:space="preserve"> </w:t>
            </w:r>
            <w:r>
              <w:rPr>
                <w:rFonts w:eastAsia="Times New Roman" w:cs="Arial" w:hint="cs"/>
                <w:color w:val="000000"/>
                <w:rtl/>
              </w:rPr>
              <w:t>تعاقدي</w:t>
            </w:r>
            <w:r w:rsidRPr="00865E75">
              <w:rPr>
                <w:rFonts w:eastAsia="Times New Roman" w:cs="Arial"/>
                <w:color w:val="000000"/>
                <w:rtl/>
              </w:rPr>
              <w:t>).</w:t>
            </w:r>
          </w:p>
          <w:p w:rsidR="003A0FD5" w:rsidRPr="00AD457A" w:rsidRDefault="003A0FD5" w:rsidP="003A0FD5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865E75" w:rsidRPr="00AD457A" w:rsidRDefault="00865E75" w:rsidP="00865E75">
            <w:pPr>
              <w:bidi/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 w:hint="cs"/>
                <w:b/>
                <w:bCs/>
                <w:color w:val="000000"/>
                <w:rtl/>
              </w:rPr>
              <w:lastRenderedPageBreak/>
              <w:t>الخدمات والرسوم المرتبطة بمقدم الخدمات المالية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5D32AF">
            <w:pPr>
              <w:bidi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5D32AF">
            <w:pPr>
              <w:bidi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D62949" w:rsidRPr="00AD457A" w:rsidRDefault="00D62949" w:rsidP="00D62949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 يكون لمقدم</w:t>
            </w:r>
            <w:r>
              <w:rPr>
                <w:rFonts w:eastAsia="Times New Roman" w:cs="Arial"/>
                <w:color w:val="000000"/>
                <w:rtl/>
              </w:rPr>
              <w:t xml:space="preserve"> الخدمات المالية </w:t>
            </w:r>
            <w:r w:rsidRPr="00D62949">
              <w:rPr>
                <w:rFonts w:eastAsia="Times New Roman" w:cs="Arial"/>
                <w:color w:val="000000"/>
                <w:rtl/>
              </w:rPr>
              <w:t xml:space="preserve">القدرة على استخدام التحويلات المالية الإلكترونية </w:t>
            </w:r>
            <w:r>
              <w:rPr>
                <w:rFonts w:eastAsia="Times New Roman" w:cs="Arial" w:hint="cs"/>
                <w:color w:val="000000"/>
                <w:rtl/>
              </w:rPr>
              <w:t>ل</w:t>
            </w:r>
            <w:r w:rsidRPr="00D62949">
              <w:rPr>
                <w:rFonts w:eastAsia="Times New Roman" w:cs="Arial"/>
                <w:color w:val="000000"/>
                <w:rtl/>
              </w:rPr>
              <w:t>تمويل حسابات قروض السيارات، و</w:t>
            </w:r>
            <w:r>
              <w:rPr>
                <w:rFonts w:eastAsia="Times New Roman" w:cs="Arial" w:hint="cs"/>
                <w:color w:val="000000"/>
                <w:rtl/>
              </w:rPr>
              <w:t>ا</w:t>
            </w:r>
            <w:r w:rsidRPr="00D62949">
              <w:rPr>
                <w:rFonts w:eastAsia="Times New Roman" w:cs="Arial"/>
                <w:color w:val="000000"/>
                <w:rtl/>
              </w:rPr>
              <w:t>لرسوم</w:t>
            </w:r>
            <w:r>
              <w:rPr>
                <w:rFonts w:eastAsia="Times New Roman" w:cs="Arial" w:hint="cs"/>
                <w:color w:val="000000"/>
                <w:rtl/>
              </w:rPr>
              <w:t>،</w:t>
            </w:r>
            <w:r w:rsidRPr="00D62949">
              <w:rPr>
                <w:rFonts w:eastAsia="Times New Roman" w:cs="Arial"/>
                <w:color w:val="000000"/>
                <w:rtl/>
              </w:rPr>
              <w:t xml:space="preserve"> </w:t>
            </w:r>
            <w:r>
              <w:rPr>
                <w:rFonts w:eastAsia="Times New Roman" w:cs="Arial" w:hint="cs"/>
                <w:color w:val="000000"/>
                <w:rtl/>
              </w:rPr>
              <w:t>وال</w:t>
            </w:r>
            <w:r w:rsidRPr="00D62949">
              <w:rPr>
                <w:rFonts w:eastAsia="Times New Roman" w:cs="Arial"/>
                <w:color w:val="000000"/>
                <w:rtl/>
              </w:rPr>
              <w:t>بطاقات غير المنفقة.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F34A40" w:rsidRPr="00AD457A" w:rsidRDefault="00F34A40" w:rsidP="00F34A40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يكون لمقدم الخدمات المالية القدرة على استلام </w:t>
            </w:r>
            <w:r w:rsidRPr="00F34A40">
              <w:rPr>
                <w:rFonts w:eastAsia="Times New Roman" w:cs="Arial"/>
                <w:color w:val="000000"/>
                <w:rtl/>
              </w:rPr>
              <w:t xml:space="preserve">بيانات </w:t>
            </w:r>
            <w:r>
              <w:rPr>
                <w:rFonts w:eastAsia="Times New Roman" w:cs="Arial" w:hint="cs"/>
                <w:color w:val="000000"/>
                <w:rtl/>
              </w:rPr>
              <w:t>إ</w:t>
            </w:r>
            <w:r w:rsidRPr="00F34A40">
              <w:rPr>
                <w:rFonts w:eastAsia="Times New Roman" w:cs="Arial"/>
                <w:color w:val="000000"/>
                <w:rtl/>
              </w:rPr>
              <w:t>لكترونية والانخراط في عمليات المصالحة مع الهلال الأحمر والصليب الأحمر.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F34A40" w:rsidRPr="00AD457A" w:rsidRDefault="00F34A40" w:rsidP="00F34A40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rtl/>
              </w:rPr>
              <w:t xml:space="preserve">فواتير شهرية </w:t>
            </w:r>
            <w:r>
              <w:rPr>
                <w:rFonts w:eastAsia="Times New Roman" w:cs="Arial" w:hint="cs"/>
                <w:color w:val="000000"/>
                <w:rtl/>
              </w:rPr>
              <w:t xml:space="preserve">متاحة </w:t>
            </w:r>
            <w:r>
              <w:rPr>
                <w:rFonts w:eastAsia="Times New Roman" w:cs="Arial"/>
                <w:color w:val="000000"/>
                <w:rtl/>
              </w:rPr>
              <w:t>ل</w:t>
            </w:r>
            <w:r w:rsidRPr="00F34A40">
              <w:rPr>
                <w:rFonts w:eastAsia="Times New Roman" w:cs="Arial"/>
                <w:color w:val="000000"/>
                <w:rtl/>
              </w:rPr>
              <w:t>رسوم الحساب</w:t>
            </w:r>
            <w:r>
              <w:rPr>
                <w:rFonts w:eastAsia="Times New Roman" w:cs="Arial" w:hint="cs"/>
                <w:color w:val="000000"/>
                <w:rtl/>
              </w:rPr>
              <w:t>ات</w:t>
            </w:r>
            <w:r w:rsidRPr="00F34A40">
              <w:rPr>
                <w:rFonts w:eastAsia="Times New Roman" w:cs="Arial"/>
                <w:color w:val="000000"/>
                <w:rtl/>
              </w:rPr>
              <w:t xml:space="preserve"> والرسوم الأخرى.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F34A40" w:rsidRPr="00AD457A" w:rsidRDefault="00EF6E58" w:rsidP="00F34A40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يزود مقدم الخدمات المالية كل موظفي الصليب الأحمر/الهلال الأحمر بالدعم الفني لإدارة أدوات الدفع.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EF6E58" w:rsidRPr="00AD457A" w:rsidRDefault="00EF6E58" w:rsidP="00EF6E58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يحصل مقدمو الخدمات  على الدعم من نظم مكتبية في حالات الكوارث.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EF6E58" w:rsidRPr="00AD457A" w:rsidRDefault="00447633" w:rsidP="00EF6E58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يمكن لمقدم الخدمات المالية وضع هيكلية واضحة للرسوم الخاصة بكل من المستويات:الزبزن (الصليب الأحمر والهلال الأحمر؛  المستفيد/المستخدم النهائي)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447633" w:rsidRPr="00AD457A" w:rsidRDefault="00447633" w:rsidP="00447633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قيمة إجمالية وشاملة للبرنامج، تتضمن التكاليف المرتبطة بأدوات الدفع.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447633" w:rsidRPr="00AD457A" w:rsidRDefault="00447633" w:rsidP="00447633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يتكفل الصليب الأحمر/الهلال الأحمر بتكاليف الخدمات بدلا من المستخدم النهائي/المستفيد.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932078" w:rsidRPr="00AD457A" w:rsidRDefault="00886921" w:rsidP="00932078">
            <w:pPr>
              <w:bidi/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 w:hint="cs"/>
                <w:b/>
                <w:bCs/>
                <w:color w:val="000000"/>
                <w:rtl/>
              </w:rPr>
              <w:t>متطلبات منصة الدفع الخاصة بمقدم الخدمات المالية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5D32AF">
            <w:pPr>
              <w:bidi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5D32AF">
            <w:pPr>
              <w:bidi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10C6D" w:rsidRPr="00AD457A" w:rsidRDefault="00810C6D" w:rsidP="00810C6D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يوفر مقدم الخدمات المالية فرصة للنفاذ إلى التحويلات النقدية- في المناطق المدنية والريفية </w:t>
            </w:r>
            <w:r w:rsidRPr="00810C6D">
              <w:rPr>
                <w:rFonts w:eastAsia="Times New Roman" w:cs="Arial"/>
                <w:color w:val="000000"/>
                <w:rtl/>
              </w:rPr>
              <w:t xml:space="preserve">(مع بيانات تفصيلية على المستوى القطري: أي إحداثيات </w:t>
            </w:r>
            <w:r>
              <w:rPr>
                <w:rFonts w:eastAsia="Times New Roman" w:cs="Arial" w:hint="cs"/>
                <w:color w:val="000000"/>
                <w:rtl/>
              </w:rPr>
              <w:t>حول مواقع</w:t>
            </w:r>
            <w:r w:rsidRPr="00810C6D">
              <w:rPr>
                <w:rFonts w:eastAsia="Times New Roman" w:cs="Arial"/>
                <w:color w:val="000000"/>
                <w:rtl/>
              </w:rPr>
              <w:t xml:space="preserve"> أجهزة الصراف الآلي ونقاط البيع والفروع، وما إلى ذلك).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734457" w:rsidRPr="00AD457A" w:rsidRDefault="00734457" w:rsidP="00734457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قدرة </w:t>
            </w:r>
            <w:r>
              <w:rPr>
                <w:rFonts w:eastAsia="Times New Roman" w:cs="Arial"/>
                <w:color w:val="000000"/>
                <w:rtl/>
              </w:rPr>
              <w:t>م</w:t>
            </w:r>
            <w:r>
              <w:rPr>
                <w:rFonts w:eastAsia="Times New Roman" w:cs="Arial" w:hint="cs"/>
                <w:color w:val="000000"/>
                <w:rtl/>
              </w:rPr>
              <w:t xml:space="preserve">قدم </w:t>
            </w:r>
            <w:r>
              <w:rPr>
                <w:rFonts w:eastAsia="Times New Roman" w:cs="Arial"/>
                <w:color w:val="000000"/>
                <w:rtl/>
              </w:rPr>
              <w:t>الخدمات المالية</w:t>
            </w:r>
            <w:r>
              <w:rPr>
                <w:rFonts w:eastAsia="Times New Roman" w:cs="Arial" w:hint="cs"/>
                <w:color w:val="000000"/>
                <w:rtl/>
              </w:rPr>
              <w:t xml:space="preserve"> واستعداده ل</w:t>
            </w:r>
            <w:r w:rsidRPr="00734457">
              <w:rPr>
                <w:rFonts w:eastAsia="Times New Roman" w:cs="Arial"/>
                <w:color w:val="000000"/>
                <w:rtl/>
              </w:rPr>
              <w:t xml:space="preserve">توسيع </w:t>
            </w:r>
            <w:r>
              <w:rPr>
                <w:rFonts w:eastAsia="Times New Roman" w:cs="Arial" w:hint="cs"/>
                <w:color w:val="000000"/>
                <w:rtl/>
              </w:rPr>
              <w:t xml:space="preserve">نطاق </w:t>
            </w:r>
            <w:r w:rsidRPr="00734457">
              <w:rPr>
                <w:rFonts w:eastAsia="Times New Roman" w:cs="Arial"/>
                <w:color w:val="000000"/>
                <w:rtl/>
              </w:rPr>
              <w:t xml:space="preserve">البنية التحتية، </w:t>
            </w:r>
            <w:r>
              <w:rPr>
                <w:rFonts w:eastAsia="Times New Roman" w:cs="Arial" w:hint="cs"/>
                <w:color w:val="000000"/>
                <w:rtl/>
              </w:rPr>
              <w:t>عند الاقتضاء.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734457" w:rsidRPr="00AD457A" w:rsidRDefault="001B768A" w:rsidP="000E32C6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قدرة مقدم الخدمات المالية </w:t>
            </w:r>
            <w:r w:rsidR="000E32C6">
              <w:rPr>
                <w:rFonts w:eastAsia="Times New Roman" w:cs="Arial" w:hint="cs"/>
                <w:color w:val="000000"/>
                <w:rtl/>
              </w:rPr>
              <w:t xml:space="preserve">وقوته </w:t>
            </w:r>
            <w:r>
              <w:rPr>
                <w:rFonts w:eastAsia="Times New Roman" w:cs="Arial" w:hint="cs"/>
                <w:color w:val="000000"/>
                <w:rtl/>
              </w:rPr>
              <w:t>على الصعيد الوطني (مثلاً: حجم نقاط التسليم وقدرتها على تغطية الطلبات في البلاد).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E32C6" w:rsidRPr="00AD457A" w:rsidRDefault="000E32C6" w:rsidP="000E32C6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قدرة  مقدم الخدمات المالية واستعداده لتوسيع نطاق خدماته على الصعيد الوطني (مثلاً: حجم نقاط التسليم وقدرتها على تغطية الطلبات في البلاد).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CE3FEC" w:rsidRPr="00AD457A" w:rsidRDefault="00CE3FEC" w:rsidP="00CE3FEC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قدرة مقدم الخدمات المالية على </w:t>
            </w:r>
            <w:r w:rsidR="00FB3B8D">
              <w:rPr>
                <w:rFonts w:eastAsia="Times New Roman" w:cs="Arial" w:hint="cs"/>
                <w:color w:val="000000"/>
                <w:rtl/>
              </w:rPr>
              <w:t>تعبئة الموارد وتحديد الأولويات لتسريع عملية الاستجابة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FB3B8D" w:rsidRPr="00AD457A" w:rsidRDefault="001A65E8" w:rsidP="00FB3B8D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تسمح أداة الدفع التي يزودها مقدم الخدمات المالية بالنفاذ إلى التحويلات بصفة شخصية.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1A65E8" w:rsidRPr="00AD457A" w:rsidRDefault="001A65E8" w:rsidP="001A65E8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يعزز مقدم الخدمات المالية  التضيمن المالي (معاملات بينية).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9574FD" w:rsidRPr="00AD457A" w:rsidRDefault="00C47677" w:rsidP="00D55F2E">
            <w:pPr>
              <w:bidi/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 w:hint="cs"/>
                <w:b/>
                <w:bCs/>
                <w:color w:val="000000"/>
                <w:rtl/>
              </w:rPr>
              <w:t>أ</w:t>
            </w:r>
            <w:r w:rsidR="00D55F2E">
              <w:rPr>
                <w:rFonts w:eastAsia="Times New Roman" w:cs="Arial" w:hint="cs"/>
                <w:b/>
                <w:bCs/>
                <w:color w:val="000000"/>
                <w:rtl/>
              </w:rPr>
              <w:t xml:space="preserve">دوات </w:t>
            </w:r>
            <w:r>
              <w:rPr>
                <w:rFonts w:eastAsia="Times New Roman" w:cs="Arial" w:hint="cs"/>
                <w:b/>
                <w:bCs/>
                <w:color w:val="000000"/>
                <w:rtl/>
              </w:rPr>
              <w:t>مقدم الخدمات المالية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5D32AF">
            <w:pPr>
              <w:bidi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5D32AF">
            <w:pPr>
              <w:bidi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D55F2E" w:rsidRPr="00AD457A" w:rsidRDefault="00D55F2E" w:rsidP="00D55F2E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موقع الكتروني، ونظام على الانترنت لإدارة الحسابات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D55F2E" w:rsidRPr="00AD457A" w:rsidRDefault="00D55F2E" w:rsidP="00D55F2E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موقع الكتروني، ونظام على الانترنت لإدارة حسابات المستفيدين، مع امكانة تحميل عينات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02D9B" w:rsidRDefault="00901B56" w:rsidP="00901B56">
            <w:pPr>
              <w:bidi/>
              <w:spacing w:before="80" w:after="80"/>
              <w:rPr>
                <w:rFonts w:eastAsia="Times New Roman" w:cs="Arial"/>
                <w:color w:val="000000"/>
                <w:rtl/>
              </w:rPr>
            </w:pPr>
            <w:r>
              <w:rPr>
                <w:rFonts w:eastAsia="Times New Roman" w:cs="Arial" w:hint="cs"/>
                <w:color w:val="000000"/>
                <w:rtl/>
              </w:rPr>
              <w:t>نظام لإضافة/حفظ بيانات المستخدمين (بطاقات الهوية وكلمات السر)التابعين  لمنطقة جغرافي معينة، مع قدرة  محدودة على النفاذ إلى النظام  تستند إلى المعلومات المطلوبة.</w:t>
            </w:r>
          </w:p>
          <w:p w:rsidR="00481595" w:rsidRPr="00AD457A" w:rsidRDefault="00481595" w:rsidP="00481595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lastRenderedPageBreak/>
              <w:t>يتمتع مقدم الخدمات بنظام يسمح بإضافة/حفظ بيانات المستخدمين (بطاقات الهوية وكلمات السر) التابعين لمنطقة جغرافي معينة، مع قدرة  محدودة على النفاذ إلى النظام  تستند إلى المعلومات المطلوبة.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481595" w:rsidRDefault="00481595" w:rsidP="005D32AF">
            <w:pPr>
              <w:bidi/>
              <w:spacing w:before="80" w:after="80"/>
              <w:rPr>
                <w:rFonts w:eastAsia="Times New Roman" w:cs="Arial" w:hint="cs"/>
                <w:color w:val="000000"/>
                <w:rtl/>
              </w:rPr>
            </w:pPr>
            <w:r>
              <w:rPr>
                <w:rFonts w:eastAsia="Times New Roman" w:cs="Arial" w:hint="cs"/>
                <w:color w:val="000000"/>
                <w:rtl/>
              </w:rPr>
              <w:lastRenderedPageBreak/>
              <w:t xml:space="preserve">الموقع الالكتروني مبسط وسهل الاستعمال </w:t>
            </w:r>
          </w:p>
          <w:p w:rsidR="0024178E" w:rsidRPr="00AD457A" w:rsidRDefault="0024178E" w:rsidP="00481595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481595" w:rsidRPr="00AD457A" w:rsidRDefault="00481595" w:rsidP="00481595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يسمح الموقع بإضافة المعلومات  (وسيلة مرنة لإضافة بيانات الصليب الأحمر/الهلال الأحمر)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481595" w:rsidRPr="00AD457A" w:rsidRDefault="00481595" w:rsidP="00481595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موقع متوفر باللغات الرسمية للأمم المتحدة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481595" w:rsidRPr="00AD457A" w:rsidRDefault="00403A82" w:rsidP="00403A82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يسمح الموقع بالإبلاغ عن هوية المستخدم (مثلاً، من الشخص الذي يستخدم الموقع، البطاقات المحملة، النشاطات الذي يضطلع بها الشخص الذي يستخدم الموقع).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403A82" w:rsidP="005D32AF">
            <w:pPr>
              <w:bidi/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 w:hint="cs"/>
                <w:b/>
                <w:bCs/>
                <w:color w:val="000000"/>
                <w:rtl/>
              </w:rPr>
              <w:t>القدرات التدريبية لمقد الخدمات المالية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5D32AF">
            <w:pPr>
              <w:bidi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5D32AF">
            <w:pPr>
              <w:bidi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403A82" w:rsidRPr="00AD457A" w:rsidRDefault="00B867B7" w:rsidP="00792BEF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يوفر مقدم الخدمات المالية التدريب عبر الموقع الالكتروني أو اي وسيلة أخرى قائمة على آلية الدفع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792BEF" w:rsidRPr="00AD457A" w:rsidRDefault="00792BEF" w:rsidP="00792BEF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يوفر مقدم الخدمات التدريب المطلوب للمدربين للتعامل مع المستخدمين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792BEF" w:rsidRPr="00AD457A" w:rsidRDefault="003B50E2" w:rsidP="00792BEF">
            <w:pPr>
              <w:bidi/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 w:hint="cs"/>
                <w:b/>
                <w:bCs/>
                <w:color w:val="000000"/>
                <w:rtl/>
              </w:rPr>
              <w:t>قدرات الإبلاغ لمقدم الخدمات المالية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5D32AF">
            <w:pPr>
              <w:bidi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5D32AF">
            <w:pPr>
              <w:bidi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3B50E2" w:rsidRPr="00AD457A" w:rsidRDefault="003B50E2" w:rsidP="003B50E2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يوفر مقدم الخدمات المالية موقعا للإبلاغ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3B50E2" w:rsidRPr="00AD457A" w:rsidRDefault="003B50E2" w:rsidP="003B50E2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يوفر مقدم الخدمات المالية موقعا للإبلاغ </w:t>
            </w:r>
            <w:r w:rsidR="0052307A">
              <w:rPr>
                <w:rFonts w:eastAsia="Times New Roman" w:cs="Arial" w:hint="cs"/>
                <w:color w:val="000000"/>
                <w:rtl/>
              </w:rPr>
              <w:t>يسمح بإضافة معلومات خاصة بالصليب الأحمر/الهلال الأحمر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52307A" w:rsidRPr="00AD457A" w:rsidRDefault="0052307A" w:rsidP="0052307A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يمكن تحميل </w:t>
            </w:r>
            <w:r>
              <w:rPr>
                <w:rFonts w:eastAsia="Times New Roman" w:cs="Arial"/>
                <w:color w:val="000000"/>
                <w:rtl/>
              </w:rPr>
              <w:t>التقارير</w:t>
            </w:r>
            <w:r w:rsidRPr="0052307A">
              <w:rPr>
                <w:rFonts w:eastAsia="Times New Roman" w:cs="Arial"/>
                <w:color w:val="000000"/>
                <w:rtl/>
              </w:rPr>
              <w:t xml:space="preserve"> في</w:t>
            </w:r>
            <w:r>
              <w:rPr>
                <w:rFonts w:eastAsia="Times New Roman" w:cs="Arial" w:hint="cs"/>
                <w:color w:val="000000"/>
                <w:rtl/>
              </w:rPr>
              <w:t xml:space="preserve"> صيغة </w:t>
            </w:r>
            <w:r w:rsidRPr="0052307A">
              <w:rPr>
                <w:rFonts w:eastAsia="Times New Roman" w:cs="Arial"/>
                <w:color w:val="000000"/>
                <w:rtl/>
              </w:rPr>
              <w:t xml:space="preserve"> </w:t>
            </w:r>
            <w:r w:rsidRPr="0052307A">
              <w:rPr>
                <w:rFonts w:eastAsia="Times New Roman" w:cs="Arial"/>
                <w:color w:val="000000"/>
              </w:rPr>
              <w:t>Excel</w:t>
            </w:r>
            <w:r w:rsidRPr="0052307A">
              <w:rPr>
                <w:rFonts w:eastAsia="Times New Roman" w:cs="Arial"/>
                <w:color w:val="000000"/>
                <w:rtl/>
              </w:rPr>
              <w:t xml:space="preserve"> أو </w:t>
            </w:r>
            <w:r w:rsidRPr="0052307A">
              <w:rPr>
                <w:rFonts w:eastAsia="Times New Roman" w:cs="Arial"/>
                <w:color w:val="000000"/>
              </w:rPr>
              <w:t>Access</w:t>
            </w:r>
            <w:r w:rsidRPr="0052307A">
              <w:rPr>
                <w:rFonts w:eastAsia="Times New Roman" w:cs="Arial"/>
                <w:color w:val="000000"/>
                <w:rtl/>
              </w:rPr>
              <w:t xml:space="preserve"> للتحليل</w:t>
            </w:r>
            <w:r>
              <w:rPr>
                <w:rFonts w:eastAsia="Times New Roman" w:cs="Arial" w:hint="cs"/>
                <w:color w:val="000000"/>
                <w:rtl/>
              </w:rPr>
              <w:t>ها وتجميعها.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52307A" w:rsidRPr="00AD457A" w:rsidRDefault="00DE33C0" w:rsidP="0052307A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يوفر مقدم الخدمات المالية خاصية للإبلاغ وإعداد التقارير تسمح بتسهيل عملية البحث على اختلاف الترتيب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DE33C0" w:rsidRPr="00AD457A" w:rsidRDefault="00DE33C0" w:rsidP="00DE33C0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يتمتع مقدم الخدمات المالية بالقدرة على </w:t>
            </w:r>
            <w:r w:rsidRPr="00DE33C0">
              <w:rPr>
                <w:rFonts w:eastAsia="Times New Roman" w:cs="Arial"/>
                <w:color w:val="000000"/>
                <w:rtl/>
              </w:rPr>
              <w:t>الحصول على البيانات</w:t>
            </w:r>
            <w:r>
              <w:rPr>
                <w:rFonts w:eastAsia="Times New Roman" w:cs="Arial"/>
                <w:color w:val="000000"/>
                <w:rtl/>
              </w:rPr>
              <w:t xml:space="preserve"> </w:t>
            </w:r>
            <w:r>
              <w:rPr>
                <w:rFonts w:eastAsia="Times New Roman" w:cs="Arial" w:hint="cs"/>
                <w:color w:val="000000"/>
                <w:rtl/>
              </w:rPr>
              <w:t>الخاصة</w:t>
            </w:r>
            <w:r w:rsidRPr="00DE33C0">
              <w:rPr>
                <w:rFonts w:eastAsia="Times New Roman" w:cs="Arial"/>
                <w:color w:val="000000"/>
                <w:rtl/>
              </w:rPr>
              <w:t xml:space="preserve"> </w:t>
            </w:r>
            <w:r>
              <w:rPr>
                <w:rFonts w:eastAsia="Times New Roman" w:cs="Arial" w:hint="cs"/>
                <w:color w:val="000000"/>
                <w:rtl/>
              </w:rPr>
              <w:t>ب</w:t>
            </w:r>
            <w:r w:rsidRPr="00DE33C0">
              <w:rPr>
                <w:rFonts w:eastAsia="Times New Roman" w:cs="Arial"/>
                <w:color w:val="000000"/>
                <w:rtl/>
              </w:rPr>
              <w:t>الحسابات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DE33C0" w:rsidRPr="00AD457A" w:rsidRDefault="00DE33C0" w:rsidP="00DE33C0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يكون </w:t>
            </w:r>
            <w:r>
              <w:rPr>
                <w:rFonts w:eastAsia="Times New Roman" w:cs="Arial"/>
                <w:color w:val="000000"/>
                <w:rtl/>
              </w:rPr>
              <w:t>م</w:t>
            </w:r>
            <w:r>
              <w:rPr>
                <w:rFonts w:eastAsia="Times New Roman" w:cs="Arial" w:hint="cs"/>
                <w:color w:val="000000"/>
                <w:rtl/>
              </w:rPr>
              <w:t>قدم</w:t>
            </w:r>
            <w:r>
              <w:rPr>
                <w:rFonts w:eastAsia="Times New Roman" w:cs="Arial"/>
                <w:color w:val="000000"/>
                <w:rtl/>
              </w:rPr>
              <w:t xml:space="preserve"> الخدمات المالية  قادر</w:t>
            </w:r>
            <w:r>
              <w:rPr>
                <w:rFonts w:eastAsia="Times New Roman" w:cs="Arial" w:hint="cs"/>
                <w:color w:val="000000"/>
                <w:rtl/>
              </w:rPr>
              <w:t xml:space="preserve">اً </w:t>
            </w:r>
            <w:r w:rsidRPr="00DE33C0">
              <w:rPr>
                <w:rFonts w:eastAsia="Times New Roman" w:cs="Arial"/>
                <w:color w:val="000000"/>
                <w:rtl/>
              </w:rPr>
              <w:t>على تحديد العملة ل</w:t>
            </w:r>
            <w:r>
              <w:rPr>
                <w:rFonts w:eastAsia="Times New Roman" w:cs="Arial" w:hint="cs"/>
                <w:color w:val="000000"/>
                <w:rtl/>
              </w:rPr>
              <w:t>ل</w:t>
            </w:r>
            <w:r w:rsidRPr="00DE33C0">
              <w:rPr>
                <w:rFonts w:eastAsia="Times New Roman" w:cs="Arial"/>
                <w:color w:val="000000"/>
                <w:rtl/>
              </w:rPr>
              <w:t xml:space="preserve">تحميل / المحاسبة / </w:t>
            </w:r>
            <w:r>
              <w:rPr>
                <w:rFonts w:eastAsia="Times New Roman" w:cs="Arial" w:hint="cs"/>
                <w:color w:val="000000"/>
                <w:rtl/>
              </w:rPr>
              <w:t>الإبلاغ</w:t>
            </w:r>
            <w:r w:rsidRPr="00DE33C0">
              <w:rPr>
                <w:rFonts w:eastAsia="Times New Roman" w:cs="Arial"/>
                <w:color w:val="000000"/>
                <w:rtl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DE33C0" w:rsidRPr="00AD457A" w:rsidRDefault="00DE33C0" w:rsidP="00DE33C0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يتمتع مقدم الخدمات المالية بالقدرة على الابلاغ عن رموز التجار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CA7E74" w:rsidP="005D32AF">
            <w:pPr>
              <w:keepNext/>
              <w:bidi/>
              <w:spacing w:before="12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 w:hint="cs"/>
                <w:b/>
                <w:color w:val="000000"/>
                <w:rtl/>
              </w:rPr>
              <w:t>برنامج خدمة الزبائن لمقدم الخدمات المالية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5D32AF">
            <w:pPr>
              <w:keepNext/>
              <w:bidi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5D32AF">
            <w:pPr>
              <w:keepNext/>
              <w:bidi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AE02B2" w:rsidRPr="00AD457A" w:rsidRDefault="00AE02B2" w:rsidP="00AE02B2">
            <w:pPr>
              <w:keepNext/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تحيل خدمة الزبائن الأسئلة الخاصة بالبرنامج إلى الصليب الأحمر/الهلال الأحمر (مثلاً رصيد البطاقة/الاحتيال/الابتزاز).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keepNext/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keepNext/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C13C5C" w:rsidRPr="00AD457A" w:rsidRDefault="00C13C5C" w:rsidP="00C13C5C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تقدم خدمة الزبائن </w:t>
            </w:r>
            <w:r>
              <w:rPr>
                <w:rFonts w:eastAsia="Times New Roman" w:cs="Arial"/>
                <w:color w:val="000000"/>
                <w:rtl/>
              </w:rPr>
              <w:t xml:space="preserve"> (</w:t>
            </w:r>
            <w:r w:rsidRPr="00C13C5C">
              <w:rPr>
                <w:rFonts w:eastAsia="Times New Roman" w:cs="Arial"/>
                <w:color w:val="000000"/>
                <w:rtl/>
              </w:rPr>
              <w:t>ليس داخل ا</w:t>
            </w:r>
            <w:r>
              <w:rPr>
                <w:rFonts w:eastAsia="Times New Roman" w:cs="Arial"/>
                <w:color w:val="000000"/>
                <w:rtl/>
              </w:rPr>
              <w:t xml:space="preserve">لصليب الأحمر والهلال الأحمر) </w:t>
            </w:r>
            <w:r>
              <w:rPr>
                <w:rFonts w:eastAsia="Times New Roman" w:cs="Arial" w:hint="cs"/>
                <w:color w:val="000000"/>
                <w:rtl/>
              </w:rPr>
              <w:t>ب</w:t>
            </w:r>
            <w:r w:rsidRPr="00C13C5C">
              <w:rPr>
                <w:rFonts w:eastAsia="Times New Roman" w:cs="Arial"/>
                <w:color w:val="000000"/>
                <w:rtl/>
              </w:rPr>
              <w:t xml:space="preserve">اللغة المحلية و / أو </w:t>
            </w:r>
            <w:r>
              <w:rPr>
                <w:rFonts w:eastAsia="Times New Roman" w:cs="Arial" w:hint="cs"/>
                <w:color w:val="000000"/>
                <w:rtl/>
              </w:rPr>
              <w:t>ال</w:t>
            </w:r>
            <w:r w:rsidRPr="00C13C5C">
              <w:rPr>
                <w:rFonts w:eastAsia="Times New Roman" w:cs="Arial"/>
                <w:color w:val="000000"/>
                <w:rtl/>
              </w:rPr>
              <w:t xml:space="preserve">لهجات </w:t>
            </w:r>
            <w:r>
              <w:rPr>
                <w:rFonts w:eastAsia="Times New Roman" w:cs="Arial" w:hint="cs"/>
                <w:color w:val="000000"/>
                <w:rtl/>
              </w:rPr>
              <w:t>ال</w:t>
            </w:r>
            <w:r>
              <w:rPr>
                <w:rFonts w:eastAsia="Times New Roman" w:cs="Arial"/>
                <w:color w:val="000000"/>
                <w:rtl/>
              </w:rPr>
              <w:t xml:space="preserve">رئيسية </w:t>
            </w:r>
            <w:r>
              <w:rPr>
                <w:rFonts w:eastAsia="Times New Roman" w:cs="Arial" w:hint="cs"/>
                <w:color w:val="000000"/>
                <w:rtl/>
              </w:rPr>
              <w:t>الأ</w:t>
            </w:r>
            <w:r w:rsidRPr="00C13C5C">
              <w:rPr>
                <w:rFonts w:eastAsia="Times New Roman" w:cs="Arial"/>
                <w:color w:val="000000"/>
                <w:rtl/>
              </w:rPr>
              <w:t>خرى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C13C5C" w:rsidRPr="00AD457A" w:rsidRDefault="00C13C5C" w:rsidP="00C13C5C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 xml:space="preserve">تقدم خدمة الزبائن </w:t>
            </w:r>
            <w:r w:rsidRPr="00C13C5C">
              <w:rPr>
                <w:rFonts w:eastAsia="Times New Roman" w:cs="Arial"/>
                <w:color w:val="000000"/>
                <w:rtl/>
              </w:rPr>
              <w:t>مركز</w:t>
            </w:r>
            <w:r>
              <w:rPr>
                <w:rFonts w:eastAsia="Times New Roman" w:cs="Arial" w:hint="cs"/>
                <w:color w:val="000000"/>
                <w:rtl/>
              </w:rPr>
              <w:t>ا</w:t>
            </w:r>
            <w:r>
              <w:rPr>
                <w:rFonts w:eastAsia="Times New Roman" w:cs="Arial"/>
                <w:color w:val="000000"/>
                <w:rtl/>
              </w:rPr>
              <w:t xml:space="preserve"> </w:t>
            </w:r>
            <w:r w:rsidRPr="00C13C5C">
              <w:rPr>
                <w:rFonts w:eastAsia="Times New Roman" w:cs="Arial"/>
                <w:color w:val="000000"/>
                <w:rtl/>
              </w:rPr>
              <w:t xml:space="preserve">اتصال مجاني للرد على أسئلة </w:t>
            </w:r>
            <w:r>
              <w:rPr>
                <w:rFonts w:eastAsia="Times New Roman" w:cs="Arial" w:hint="cs"/>
                <w:color w:val="000000"/>
                <w:rtl/>
              </w:rPr>
              <w:t>المستخدم.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C13C5C" w:rsidRPr="00AD457A" w:rsidRDefault="00C13C5C" w:rsidP="00C13C5C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يتم اللجوء إلى خدمة الزبائن للإبلاغ عن فقدان/سرقة/اتلاف البطاقة من أجل إلغائها أو ابطالها.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DB71B1" w:rsidP="00DB71B1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rtl/>
              </w:rPr>
              <w:t>يمكن ل</w:t>
            </w:r>
            <w:r>
              <w:rPr>
                <w:rFonts w:eastAsia="Times New Roman" w:cs="Arial" w:hint="cs"/>
                <w:color w:val="000000"/>
                <w:rtl/>
              </w:rPr>
              <w:t>مقدم</w:t>
            </w:r>
            <w:r w:rsidRPr="00DB71B1">
              <w:rPr>
                <w:rFonts w:eastAsia="Times New Roman" w:cs="Arial"/>
                <w:color w:val="000000"/>
                <w:rtl/>
              </w:rPr>
              <w:t xml:space="preserve"> </w:t>
            </w:r>
            <w:r>
              <w:rPr>
                <w:rFonts w:eastAsia="Times New Roman" w:cs="Arial" w:hint="cs"/>
                <w:color w:val="000000"/>
                <w:rtl/>
              </w:rPr>
              <w:t>ال</w:t>
            </w:r>
            <w:r w:rsidRPr="00DB71B1">
              <w:rPr>
                <w:rFonts w:eastAsia="Times New Roman" w:cs="Arial"/>
                <w:color w:val="000000"/>
                <w:rtl/>
              </w:rPr>
              <w:t>خدمات المالية توف</w:t>
            </w:r>
            <w:r>
              <w:rPr>
                <w:rFonts w:eastAsia="Times New Roman" w:cs="Arial" w:hint="cs"/>
                <w:color w:val="000000"/>
                <w:rtl/>
              </w:rPr>
              <w:t>ي</w:t>
            </w:r>
            <w:r w:rsidRPr="00DB71B1">
              <w:rPr>
                <w:rFonts w:eastAsia="Times New Roman" w:cs="Arial"/>
                <w:color w:val="000000"/>
                <w:rtl/>
              </w:rPr>
              <w:t xml:space="preserve">ر خدمة </w:t>
            </w:r>
            <w:r>
              <w:rPr>
                <w:rFonts w:eastAsia="Times New Roman" w:cs="Arial" w:hint="cs"/>
                <w:color w:val="000000"/>
                <w:rtl/>
              </w:rPr>
              <w:t>الزبائن</w:t>
            </w:r>
            <w:r w:rsidRPr="00DB71B1">
              <w:rPr>
                <w:rFonts w:eastAsia="Times New Roman" w:cs="Arial"/>
                <w:color w:val="000000"/>
                <w:rtl/>
              </w:rPr>
              <w:t xml:space="preserve"> خلال ساعات العمل لمساعدة حاملي بطاق</w:t>
            </w:r>
            <w:r>
              <w:rPr>
                <w:rFonts w:eastAsia="Times New Roman" w:cs="Arial"/>
                <w:color w:val="000000"/>
                <w:rtl/>
              </w:rPr>
              <w:t xml:space="preserve">ات </w:t>
            </w:r>
            <w:r>
              <w:rPr>
                <w:rFonts w:eastAsia="Times New Roman" w:cs="Arial" w:hint="cs"/>
                <w:color w:val="000000"/>
                <w:rtl/>
              </w:rPr>
              <w:t>على إدارتها</w:t>
            </w:r>
            <w:r w:rsidRPr="00DB71B1">
              <w:rPr>
                <w:rFonts w:eastAsia="Times New Roman" w:cs="Arial"/>
                <w:color w:val="000000"/>
                <w:rtl/>
              </w:rPr>
              <w:t>. ويمكن ت</w:t>
            </w:r>
            <w:r>
              <w:rPr>
                <w:rFonts w:eastAsia="Times New Roman" w:cs="Arial" w:hint="cs"/>
                <w:color w:val="000000"/>
                <w:rtl/>
              </w:rPr>
              <w:t>فعيل</w:t>
            </w:r>
            <w:r w:rsidRPr="00DB71B1">
              <w:rPr>
                <w:rFonts w:eastAsia="Times New Roman" w:cs="Arial"/>
                <w:color w:val="000000"/>
                <w:rtl/>
              </w:rPr>
              <w:t xml:space="preserve"> هذه الخدمة بناء على طلب من الصليب الأحمر والهلال الأحمر.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DB71B1" w:rsidRPr="00AD457A" w:rsidRDefault="00DB71B1" w:rsidP="00DB71B1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lastRenderedPageBreak/>
              <w:t>تسمح خدمة الزبائن بتتبع المشاكل والابلاغ عنها للصليب الأحمر/الهلال الأحمر.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8298B" w:rsidRPr="00AD457A" w:rsidRDefault="0098298B" w:rsidP="0098298B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تجمع خدمة الزيائن  الاحصاءات الخاصة بالزبائن وتبلغها للصليب الأحمر/الهلال الأحمر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5D32AF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8298B" w:rsidRPr="00AD457A" w:rsidRDefault="0098298B" w:rsidP="0098298B">
            <w:pPr>
              <w:bidi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color w:val="000000"/>
                <w:rtl/>
              </w:rPr>
              <w:t>تجري عملية</w:t>
            </w:r>
            <w:r w:rsidRPr="0098298B">
              <w:rPr>
                <w:rFonts w:eastAsia="Times New Roman" w:cs="Arial"/>
                <w:color w:val="000000"/>
                <w:rtl/>
              </w:rPr>
              <w:t xml:space="preserve"> الإبلاغ خلال فترة طلب بطاقة، وليس في كل </w:t>
            </w:r>
            <w:r>
              <w:rPr>
                <w:rFonts w:eastAsia="Times New Roman" w:cs="Arial" w:hint="cs"/>
                <w:color w:val="000000"/>
                <w:rtl/>
              </w:rPr>
              <w:t>الأوقات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5D32AF">
            <w:pPr>
              <w:bidi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1A6203" w:rsidRPr="00D722EB" w:rsidRDefault="001A6203" w:rsidP="005D32AF">
      <w:pPr>
        <w:bidi/>
        <w:rPr>
          <w:szCs w:val="24"/>
        </w:rPr>
      </w:pPr>
    </w:p>
    <w:sectPr w:rsidR="001A6203" w:rsidRPr="00D722EB" w:rsidSect="009D028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2D7" w:rsidRDefault="007912D7" w:rsidP="005F74D2">
      <w:pPr>
        <w:spacing w:after="0"/>
      </w:pPr>
      <w:r>
        <w:separator/>
      </w:r>
    </w:p>
  </w:endnote>
  <w:endnote w:type="continuationSeparator" w:id="1">
    <w:p w:rsidR="007912D7" w:rsidRDefault="007912D7" w:rsidP="005F74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03" w:rsidRDefault="00EB202F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62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6203" w:rsidRDefault="001A6203" w:rsidP="001A62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72" w:rsidRPr="00B45C74" w:rsidRDefault="00EB202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8C6472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8298B">
      <w:rPr>
        <w:b/>
        <w:noProof/>
        <w:color w:val="808080" w:themeColor="background1" w:themeShade="80"/>
        <w:sz w:val="18"/>
        <w:szCs w:val="18"/>
      </w:rPr>
      <w:t>5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8C6472" w:rsidRPr="003A3500" w:rsidRDefault="008C6472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1. </w:t>
    </w:r>
    <w:r w:rsidR="00EB202F"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="00EB202F" w:rsidRPr="00107E15">
      <w:rPr>
        <w:i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72" w:rsidRPr="00B45C74" w:rsidRDefault="00EB202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8C6472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C6472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8C6472" w:rsidRPr="003A3500" w:rsidRDefault="008C6472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1. </w:t>
    </w:r>
    <w:fldSimple w:instr=" STYLEREF  H1 \t  \* MERGEFORMAT ">
      <w:r w:rsidR="009D028F" w:rsidRPr="009D028F">
        <w:rPr>
          <w:bCs/>
          <w:noProof/>
        </w:rPr>
        <w:t>Value card requirements checklist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2D7" w:rsidRDefault="007912D7" w:rsidP="005F74D2">
      <w:pPr>
        <w:spacing w:after="0"/>
      </w:pPr>
      <w:r>
        <w:separator/>
      </w:r>
    </w:p>
  </w:footnote>
  <w:footnote w:type="continuationSeparator" w:id="1">
    <w:p w:rsidR="007912D7" w:rsidRDefault="007912D7" w:rsidP="005F74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72" w:rsidRPr="00074036" w:rsidRDefault="008C6472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72" w:rsidRPr="00074036" w:rsidRDefault="008C6472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74D2"/>
    <w:rsid w:val="00030F6E"/>
    <w:rsid w:val="00033780"/>
    <w:rsid w:val="00036ACA"/>
    <w:rsid w:val="000A110C"/>
    <w:rsid w:val="000E32C6"/>
    <w:rsid w:val="0014212C"/>
    <w:rsid w:val="0017435F"/>
    <w:rsid w:val="00183E80"/>
    <w:rsid w:val="001A6203"/>
    <w:rsid w:val="001A65E8"/>
    <w:rsid w:val="001B768A"/>
    <w:rsid w:val="001D24EB"/>
    <w:rsid w:val="001E6968"/>
    <w:rsid w:val="0024178E"/>
    <w:rsid w:val="002871BA"/>
    <w:rsid w:val="002A3C79"/>
    <w:rsid w:val="002B36C9"/>
    <w:rsid w:val="003037D9"/>
    <w:rsid w:val="00304409"/>
    <w:rsid w:val="003178BA"/>
    <w:rsid w:val="00387C43"/>
    <w:rsid w:val="003A0FD5"/>
    <w:rsid w:val="003B1EE4"/>
    <w:rsid w:val="003B50E2"/>
    <w:rsid w:val="003D7D0E"/>
    <w:rsid w:val="00403A82"/>
    <w:rsid w:val="00423154"/>
    <w:rsid w:val="00441EB7"/>
    <w:rsid w:val="00447633"/>
    <w:rsid w:val="004659CA"/>
    <w:rsid w:val="00481595"/>
    <w:rsid w:val="004B406B"/>
    <w:rsid w:val="004F0F11"/>
    <w:rsid w:val="00507E94"/>
    <w:rsid w:val="00510DF8"/>
    <w:rsid w:val="00515962"/>
    <w:rsid w:val="00520E76"/>
    <w:rsid w:val="0052307A"/>
    <w:rsid w:val="005526D6"/>
    <w:rsid w:val="00563373"/>
    <w:rsid w:val="00581503"/>
    <w:rsid w:val="005B2DCA"/>
    <w:rsid w:val="005D32AF"/>
    <w:rsid w:val="005F74D2"/>
    <w:rsid w:val="0068487B"/>
    <w:rsid w:val="006B045B"/>
    <w:rsid w:val="006C0C0B"/>
    <w:rsid w:val="006C3A6E"/>
    <w:rsid w:val="00705D96"/>
    <w:rsid w:val="00734457"/>
    <w:rsid w:val="00737438"/>
    <w:rsid w:val="0074438E"/>
    <w:rsid w:val="00751F2F"/>
    <w:rsid w:val="00770141"/>
    <w:rsid w:val="00770F1B"/>
    <w:rsid w:val="00785B84"/>
    <w:rsid w:val="007912D7"/>
    <w:rsid w:val="00792BEF"/>
    <w:rsid w:val="007F113B"/>
    <w:rsid w:val="008014CE"/>
    <w:rsid w:val="00802D9B"/>
    <w:rsid w:val="00810C6D"/>
    <w:rsid w:val="00865E75"/>
    <w:rsid w:val="00873B04"/>
    <w:rsid w:val="00886921"/>
    <w:rsid w:val="0089301D"/>
    <w:rsid w:val="008B6399"/>
    <w:rsid w:val="008B6B90"/>
    <w:rsid w:val="008C6472"/>
    <w:rsid w:val="00901B56"/>
    <w:rsid w:val="00931CE1"/>
    <w:rsid w:val="00932078"/>
    <w:rsid w:val="0095374D"/>
    <w:rsid w:val="009574FD"/>
    <w:rsid w:val="009746F9"/>
    <w:rsid w:val="0098298B"/>
    <w:rsid w:val="00993189"/>
    <w:rsid w:val="009C101D"/>
    <w:rsid w:val="009D028F"/>
    <w:rsid w:val="00A34C41"/>
    <w:rsid w:val="00A909C8"/>
    <w:rsid w:val="00AB2E46"/>
    <w:rsid w:val="00AD457A"/>
    <w:rsid w:val="00AE02B2"/>
    <w:rsid w:val="00B162DD"/>
    <w:rsid w:val="00B173DE"/>
    <w:rsid w:val="00B2066B"/>
    <w:rsid w:val="00B50F41"/>
    <w:rsid w:val="00B867B7"/>
    <w:rsid w:val="00BB049C"/>
    <w:rsid w:val="00BD6CCA"/>
    <w:rsid w:val="00BF52A7"/>
    <w:rsid w:val="00C13C5C"/>
    <w:rsid w:val="00C27B8E"/>
    <w:rsid w:val="00C318FB"/>
    <w:rsid w:val="00C37440"/>
    <w:rsid w:val="00C4348D"/>
    <w:rsid w:val="00C446A4"/>
    <w:rsid w:val="00C47677"/>
    <w:rsid w:val="00C5610B"/>
    <w:rsid w:val="00C72DEE"/>
    <w:rsid w:val="00C74E0A"/>
    <w:rsid w:val="00CA7E74"/>
    <w:rsid w:val="00CB6939"/>
    <w:rsid w:val="00CC64CA"/>
    <w:rsid w:val="00CE1F63"/>
    <w:rsid w:val="00CE3277"/>
    <w:rsid w:val="00CE3FEC"/>
    <w:rsid w:val="00CF4C55"/>
    <w:rsid w:val="00D01305"/>
    <w:rsid w:val="00D32192"/>
    <w:rsid w:val="00D53991"/>
    <w:rsid w:val="00D55F2E"/>
    <w:rsid w:val="00D62949"/>
    <w:rsid w:val="00D722EB"/>
    <w:rsid w:val="00D80E5C"/>
    <w:rsid w:val="00D84CF5"/>
    <w:rsid w:val="00DB522D"/>
    <w:rsid w:val="00DB71B1"/>
    <w:rsid w:val="00DE33C0"/>
    <w:rsid w:val="00E346FF"/>
    <w:rsid w:val="00E73C98"/>
    <w:rsid w:val="00E91D80"/>
    <w:rsid w:val="00EB202F"/>
    <w:rsid w:val="00EE1BB3"/>
    <w:rsid w:val="00EF3B2A"/>
    <w:rsid w:val="00EF6E58"/>
    <w:rsid w:val="00F2441A"/>
    <w:rsid w:val="00F34A40"/>
    <w:rsid w:val="00FB3B8D"/>
    <w:rsid w:val="00FD0CE2"/>
    <w:rsid w:val="00FF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8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9D02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28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28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28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028F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28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028F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8F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9D028F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D02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8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28F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028F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28F"/>
    <w:rPr>
      <w:rFonts w:ascii="Arial" w:eastAsiaTheme="minorEastAsia" w:hAnsi="Arial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D028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028F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9D028F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D028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028F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02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2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D028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28F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9D028F"/>
    <w:rPr>
      <w:vertAlign w:val="superscript"/>
    </w:rPr>
  </w:style>
  <w:style w:type="paragraph" w:styleId="Revision">
    <w:name w:val="Revision"/>
    <w:hidden/>
    <w:uiPriority w:val="99"/>
    <w:semiHidden/>
    <w:rsid w:val="009D028F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D028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D028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D028F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D028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D028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D028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D028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D028F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D028F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D028F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9D028F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D028F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D028F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D028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D028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D028F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8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9D02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28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28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9D028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D028F"/>
  </w:style>
  <w:style w:type="paragraph" w:styleId="Header">
    <w:name w:val="header"/>
    <w:basedOn w:val="Normal"/>
    <w:link w:val="HeaderChar"/>
    <w:uiPriority w:val="99"/>
    <w:unhideWhenUsed/>
    <w:rsid w:val="009D028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028F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28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028F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8F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9D028F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D02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8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28F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028F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28F"/>
    <w:rPr>
      <w:rFonts w:ascii="Arial" w:eastAsiaTheme="minorEastAsia" w:hAnsi="Arial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D028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028F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9D028F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D028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028F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02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2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D028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28F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9D028F"/>
    <w:rPr>
      <w:vertAlign w:val="superscript"/>
    </w:rPr>
  </w:style>
  <w:style w:type="paragraph" w:styleId="Revision">
    <w:name w:val="Revision"/>
    <w:hidden/>
    <w:uiPriority w:val="99"/>
    <w:semiHidden/>
    <w:rsid w:val="009D028F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D028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D028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D028F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D028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D028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D028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D028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D028F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D028F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D028F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9D028F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D028F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D028F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D028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D028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D028F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B575-47A9-4C36-81F6-6A3C826E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364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Stored Value Cards – Program Requirements</vt:lpstr>
    </vt:vector>
  </TitlesOfParts>
  <Company>IFRC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Stored Value Cards – Program Requirements</dc:title>
  <dc:creator>Valued Acer Customer</dc:creator>
  <cp:lastModifiedBy>joelle</cp:lastModifiedBy>
  <cp:revision>49</cp:revision>
  <cp:lastPrinted>2015-10-09T16:12:00Z</cp:lastPrinted>
  <dcterms:created xsi:type="dcterms:W3CDTF">2015-07-30T03:00:00Z</dcterms:created>
  <dcterms:modified xsi:type="dcterms:W3CDTF">2016-01-26T09:55:00Z</dcterms:modified>
</cp:coreProperties>
</file>