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E" w:rsidRPr="00367171" w:rsidRDefault="001B7B0E" w:rsidP="00367171">
      <w:pPr>
        <w:pStyle w:val="H1"/>
        <w:bidi/>
        <w:spacing w:before="240"/>
        <w:jc w:val="center"/>
        <w:rPr>
          <w:rFonts w:cs="Arial"/>
          <w:b w:val="0"/>
          <w:bCs/>
          <w:sz w:val="28"/>
          <w:szCs w:val="28"/>
          <w:rtl/>
        </w:rPr>
      </w:pPr>
      <w:r w:rsidRPr="00367171">
        <w:rPr>
          <w:rFonts w:cs="Arial"/>
          <w:b w:val="0"/>
          <w:bCs/>
          <w:sz w:val="28"/>
          <w:szCs w:val="28"/>
          <w:rtl/>
        </w:rPr>
        <w:t>قائمة بمتطلبات التعاقد مع مقدمي خدمات التحويل الالكتروني</w:t>
      </w:r>
    </w:p>
    <w:tbl>
      <w:tblPr>
        <w:tblStyle w:val="LightShading-Accent1"/>
        <w:bidiVisual/>
        <w:tblW w:w="5000" w:type="pct"/>
        <w:tblLook w:val="04A0"/>
      </w:tblPr>
      <w:tblGrid>
        <w:gridCol w:w="9848"/>
      </w:tblGrid>
      <w:tr w:rsidR="005528AF" w:rsidRPr="00367171" w:rsidTr="001B7B0E">
        <w:trPr>
          <w:cnfStyle w:val="100000000000"/>
        </w:trPr>
        <w:tc>
          <w:tcPr>
            <w:cnfStyle w:val="00100000000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281E"/>
          </w:tcPr>
          <w:p w:rsidR="001B7B0E" w:rsidRPr="00367171" w:rsidRDefault="001B7B0E" w:rsidP="001B7B0E">
            <w:pPr>
              <w:widowControl w:val="0"/>
              <w:autoSpaceDE w:val="0"/>
              <w:autoSpaceDN w:val="0"/>
              <w:bidi/>
              <w:adjustRightInd w:val="0"/>
              <w:spacing w:before="120"/>
              <w:jc w:val="center"/>
              <w:rPr>
                <w:rFonts w:cs="Arial"/>
                <w:bCs w:val="0"/>
                <w:color w:val="FFFFFF" w:themeColor="background1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FFFFFF" w:themeColor="background1"/>
                <w:sz w:val="28"/>
                <w:szCs w:val="28"/>
                <w:rtl/>
              </w:rPr>
              <w:t>يجب أن يتضمن العقد المبرم مع مقدم الخدمات، على الأقل، ما يلي: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594260" w:rsidRPr="00367171" w:rsidRDefault="001B7B0E" w:rsidP="00CD0D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لمحة عامة </w:t>
            </w:r>
            <w:r w:rsidR="00CD0D0D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حول </w:t>
            </w: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الفترة التي يغطيها العقد.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9711B9" w:rsidRPr="00367171" w:rsidRDefault="00CD0D0D" w:rsidP="00CD0D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لمحة عامة حول </w:t>
            </w:r>
            <w:r w:rsidR="009711B9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الأدوار الذي يجب أن يضطلع بها مقدم الخدمات </w:t>
            </w: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بما في ذلك</w:t>
            </w:r>
            <w:r w:rsidR="009711B9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: </w:t>
            </w: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وضع التدابير الارشادية</w:t>
            </w:r>
            <w:r w:rsidR="009711B9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؛ تأمين معدات وأدوات التحويل الالكتروني؛ التسجيل؛ تفعيل الحسابات؛ التحويل والإبلاغ؛ ارسال إشعار للمستفيدين؛ تدريب الموظفين/المستفيدين؛ تقديم المعلومات المطلوبة للوكلاء أو موظفي الفروع في المنطقة المستهدفة؛ تقديم مساعدة لتسهيل عملية الاستهداف؛ </w:t>
            </w: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تقديم خدمة الزبائن في حال حدوث أي خلل في تقديم الخدمات.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CD0D0D" w:rsidRPr="00367171" w:rsidRDefault="00CD0D0D" w:rsidP="00CD0D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لمحة عامة حول دور الوكالة المعنية بتقديم المساعدات بما في ذلك: التدريب؛ تسجيل المستفيدين؛ توفير قائمة المستفيدين والتمويل لمقدم الخدمات في الوقت المطلوب؛ الحرص على صحة بطاقات الهوية؛ اتباع التدابير الإرشادية التي وضعها مقدم الخدمات (مثل النفاذ إلى الحساب عبر الموقع الالكتروني)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CD0D0D" w:rsidRPr="00367171" w:rsidRDefault="00CD0D0D" w:rsidP="00CD0D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للمبادرات جديدة ورائدة، إدراج بند لفسخ العقد أو لخوض مرحلة تجريبية، يسمح  بفسخ العقد في مرحلة مبكرة قبمن ل أي من الطرفين. 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6D2404" w:rsidRPr="00367171" w:rsidRDefault="006D2404" w:rsidP="006D2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موقع وعدد الموزعين/الوكلاء/الفروع.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6D2404" w:rsidRPr="00367171" w:rsidRDefault="00723D2B" w:rsidP="006D2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تفاصيل حول ما يقصد بالقوة القاهرة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723D2B" w:rsidRPr="00367171" w:rsidRDefault="00864DFE" w:rsidP="00723D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المدة المتوقعة للإعداد بما في ذلك فترة الاختبار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864DFE" w:rsidRPr="00367171" w:rsidRDefault="00843FEC" w:rsidP="00864DF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تفاصيل حول الجدول الزمني للدفع تشمل: </w:t>
            </w:r>
            <w:r w:rsidR="00BF0748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موعد توفير معدات التحويل الالكتروني للوكالة المعنية بتقديم المساعدات (الشيكات/البطاقات المصرفية)؛ موعد توفير التمويل والرسوم لمقدم الخدمات؛ والتاريخ المتوقع لانتهاء دور مقدم الخدمات.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044762" w:rsidRPr="00367171" w:rsidRDefault="00044762" w:rsidP="000447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تفاصيل حول الموظفين المعنيين بالبرنامج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044762" w:rsidRPr="00367171" w:rsidRDefault="00F02661" w:rsidP="000447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القيود على معاملات وحسابات الوكالة، والمستفيدين (عند الاقتضاء).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F02661" w:rsidRPr="00367171" w:rsidRDefault="00F02661" w:rsidP="00F026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الحد الأقصى لعدد الدفعات التي يمكن أن يحصل عليها المستفيد في اليوم الواحد وقيمتها القصوى. 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F02661" w:rsidRPr="00367171" w:rsidRDefault="00F02661" w:rsidP="00F026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جميع رسوم المعاملة بما في ذلك الإعفاءات من الرسوم العادية.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594260" w:rsidRPr="00367171" w:rsidRDefault="00F02661" w:rsidP="00F026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إجراءات التظلم / تحديد الأخطاء وإصلاحها.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594260" w:rsidRPr="00367171" w:rsidRDefault="00F02661" w:rsidP="001B7B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أي اعتبارات خاصة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9D6B62" w:rsidRPr="00367171" w:rsidRDefault="009D6B62" w:rsidP="009D6B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التدابير الأمنية التي يجب أن يضمنها مقدم الخدمات- مثلاً- استعمال عربات مدرعة عند اللجوء إلى الخدمات البريدية؛ وضمان معاملات نصية آمنة في حالة اللجوء إلى التحويل عبر الهاتف المحمول.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594260" w:rsidRPr="00367171" w:rsidRDefault="005C5373" w:rsidP="005C53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التأمين ضد الخسارة أو ضد الإفلاس.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594260" w:rsidRPr="00367171" w:rsidRDefault="005C5373" w:rsidP="001B7B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متطلبات حماية البيانات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B076C3" w:rsidRPr="00367171" w:rsidRDefault="00820707" w:rsidP="00B0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تفاصيل حول معايير المراجعة والتوثيق التي يجب أن يلتزم بها مقدم الخدمات عند تحويل النقود إلى المستفيدين.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37511C" w:rsidRPr="00367171" w:rsidRDefault="0037511C" w:rsidP="003751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تفاصيل حول عملية الابلاغ تتضمن معلومات حول الوتيرة، والمضمون، ودلائل عن التحويل. وقد تتضمن ايضاً تدابير للنفاذ إلى الموقع الالكتروني للوكالة والحسابات المصرفية للمستفيدين. 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37511C" w:rsidRPr="00367171" w:rsidRDefault="00E221A2" w:rsidP="003751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تفاصيل حول الرسوم والتعويضات (تكون على أساس شهري عند استكمال النشاطات وبالاستناد إلى عمليات الرصد والابلاغ)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E221A2" w:rsidRPr="00367171" w:rsidRDefault="00E221A2" w:rsidP="00E221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لمحة عامة حول الاجراءات المتبعة في حال التغيّب، </w:t>
            </w:r>
            <w:r w:rsidR="00E54A78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وإعادة التسديد.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E54A78" w:rsidRPr="00367171" w:rsidRDefault="009F40F5" w:rsidP="009F40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lastRenderedPageBreak/>
              <w:t>تحديد العقوبات خصوصا في حال عدم القدرة على توريد السلع المتفق عليها.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A6A6A6"/>
          </w:tcPr>
          <w:p w:rsidR="009F40F5" w:rsidRPr="00367171" w:rsidRDefault="006F0F05" w:rsidP="009F40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بنود حول حالات الاحتيال وحماية المشتركين في المسروع، ومسؤوليات مقدم الخدمات.</w:t>
            </w:r>
          </w:p>
        </w:tc>
      </w:tr>
      <w:tr w:rsidR="00594260" w:rsidRPr="00367171" w:rsidTr="001B7B0E">
        <w:tc>
          <w:tcPr>
            <w:cnfStyle w:val="001000000000"/>
            <w:tcW w:w="5000" w:type="pct"/>
            <w:tcBorders>
              <w:top w:val="nil"/>
              <w:bottom w:val="nil"/>
            </w:tcBorders>
            <w:shd w:val="clear" w:color="auto" w:fill="F3F3F3"/>
          </w:tcPr>
          <w:p w:rsidR="00594260" w:rsidRPr="00367171" w:rsidRDefault="00594260" w:rsidP="001B7B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</w:rPr>
              <w:t>.</w:t>
            </w:r>
            <w:r w:rsidR="004B0403"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 xml:space="preserve">بنود حول تدابير حماية بيانات المستفيدين الشخصية </w:t>
            </w:r>
          </w:p>
        </w:tc>
      </w:tr>
      <w:tr w:rsidR="00594260" w:rsidRPr="00367171" w:rsidTr="001B7B0E">
        <w:trPr>
          <w:cnfStyle w:val="000000100000"/>
        </w:trPr>
        <w:tc>
          <w:tcPr>
            <w:cnfStyle w:val="001000000000"/>
            <w:tcW w:w="5000" w:type="pct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4B0403" w:rsidRPr="00367171" w:rsidRDefault="00BF3B2C" w:rsidP="00BF3B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Cs w:val="0"/>
                <w:color w:val="000000"/>
                <w:sz w:val="28"/>
                <w:szCs w:val="28"/>
              </w:rPr>
            </w:pPr>
            <w:r w:rsidRPr="00367171">
              <w:rPr>
                <w:rFonts w:cs="Arial"/>
                <w:bCs w:val="0"/>
                <w:color w:val="000000"/>
                <w:sz w:val="28"/>
                <w:szCs w:val="28"/>
                <w:rtl/>
              </w:rPr>
              <w:t>استراتيجية خروج تتضمن  فترات تعطيل الحساب والدعم الإضافي المطلوب من مقدم الخدمات خارج فترة التحويل.</w:t>
            </w:r>
          </w:p>
        </w:tc>
      </w:tr>
    </w:tbl>
    <w:p w:rsidR="006D2F29" w:rsidRPr="00367171" w:rsidRDefault="00F51A21" w:rsidP="00F51A21">
      <w:pPr>
        <w:widowControl w:val="0"/>
        <w:autoSpaceDE w:val="0"/>
        <w:autoSpaceDN w:val="0"/>
        <w:bidi/>
        <w:adjustRightInd w:val="0"/>
        <w:spacing w:before="120" w:after="0"/>
        <w:jc w:val="left"/>
        <w:rPr>
          <w:rFonts w:cs="Arial"/>
          <w:b/>
          <w:color w:val="000000"/>
          <w:sz w:val="28"/>
          <w:szCs w:val="28"/>
        </w:rPr>
      </w:pPr>
      <w:r w:rsidRPr="00367171">
        <w:rPr>
          <w:rFonts w:cs="Arial"/>
          <w:b/>
          <w:color w:val="000000"/>
          <w:sz w:val="28"/>
          <w:szCs w:val="28"/>
          <w:rtl/>
        </w:rPr>
        <w:t xml:space="preserve">المصدر: </w:t>
      </w:r>
      <w:r w:rsidR="00BD5DED" w:rsidRPr="00367171">
        <w:rPr>
          <w:rFonts w:cs="Arial"/>
          <w:b/>
          <w:color w:val="000000"/>
          <w:sz w:val="28"/>
          <w:szCs w:val="28"/>
        </w:rPr>
        <w:t>E-tr</w:t>
      </w:r>
      <w:bookmarkStart w:id="0" w:name="_GoBack"/>
      <w:bookmarkEnd w:id="0"/>
      <w:r w:rsidR="00BD5DED" w:rsidRPr="00367171">
        <w:rPr>
          <w:rFonts w:cs="Arial"/>
          <w:b/>
          <w:color w:val="000000"/>
          <w:sz w:val="28"/>
          <w:szCs w:val="28"/>
        </w:rPr>
        <w:t>ansfers in emergencies: i</w:t>
      </w:r>
      <w:r w:rsidR="006D2F29" w:rsidRPr="00367171">
        <w:rPr>
          <w:rFonts w:cs="Arial"/>
          <w:b/>
          <w:color w:val="000000"/>
          <w:sz w:val="28"/>
          <w:szCs w:val="28"/>
        </w:rPr>
        <w:t>mplementation support guidelines CaLP</w:t>
      </w:r>
    </w:p>
    <w:sectPr w:rsidR="006D2F29" w:rsidRPr="00367171" w:rsidSect="005528AF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5F" w:rsidRDefault="0056215F" w:rsidP="008C25F5">
      <w:r>
        <w:separator/>
      </w:r>
    </w:p>
  </w:endnote>
  <w:endnote w:type="continuationSeparator" w:id="1">
    <w:p w:rsidR="0056215F" w:rsidRDefault="0056215F" w:rsidP="008C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F" w:rsidRPr="00B45C74" w:rsidRDefault="00CE0B2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528A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6717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528AF" w:rsidRPr="003A3500" w:rsidRDefault="005528AF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3. </w:t>
    </w:r>
    <w:fldSimple w:instr=" STYLEREF  H1 \t  \* MERGEFORMAT ">
      <w:r w:rsidR="00367171">
        <w:rPr>
          <w:i/>
          <w:noProof/>
          <w:rtl/>
        </w:rPr>
        <w:t>قائمة بمتطلبات التعاقد مع مقدمي خدمات التحويل الالكتروني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5F" w:rsidRDefault="0056215F" w:rsidP="008C25F5">
      <w:r>
        <w:separator/>
      </w:r>
    </w:p>
  </w:footnote>
  <w:footnote w:type="continuationSeparator" w:id="1">
    <w:p w:rsidR="0056215F" w:rsidRDefault="0056215F" w:rsidP="008C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F" w:rsidRPr="00074036" w:rsidRDefault="005528A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D02"/>
    <w:multiLevelType w:val="hybridMultilevel"/>
    <w:tmpl w:val="92C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260"/>
    <w:rsid w:val="00044762"/>
    <w:rsid w:val="001B7B0E"/>
    <w:rsid w:val="001C70DB"/>
    <w:rsid w:val="002D61B1"/>
    <w:rsid w:val="00367171"/>
    <w:rsid w:val="0037511C"/>
    <w:rsid w:val="003A56F9"/>
    <w:rsid w:val="003B7690"/>
    <w:rsid w:val="004B0403"/>
    <w:rsid w:val="004B1DFB"/>
    <w:rsid w:val="004F3255"/>
    <w:rsid w:val="004F78CE"/>
    <w:rsid w:val="00530C26"/>
    <w:rsid w:val="005528AF"/>
    <w:rsid w:val="0056215F"/>
    <w:rsid w:val="00594260"/>
    <w:rsid w:val="005C5373"/>
    <w:rsid w:val="006145CD"/>
    <w:rsid w:val="006D2404"/>
    <w:rsid w:val="006D2F29"/>
    <w:rsid w:val="006F0F05"/>
    <w:rsid w:val="0071100B"/>
    <w:rsid w:val="00723D2B"/>
    <w:rsid w:val="007B539C"/>
    <w:rsid w:val="00820707"/>
    <w:rsid w:val="00843FEC"/>
    <w:rsid w:val="00864DFE"/>
    <w:rsid w:val="008C25F5"/>
    <w:rsid w:val="009711B9"/>
    <w:rsid w:val="009D6B62"/>
    <w:rsid w:val="009F40F5"/>
    <w:rsid w:val="00A94E13"/>
    <w:rsid w:val="00AE0EA5"/>
    <w:rsid w:val="00B076C3"/>
    <w:rsid w:val="00BD5DED"/>
    <w:rsid w:val="00BF0748"/>
    <w:rsid w:val="00BF3B2C"/>
    <w:rsid w:val="00C62B57"/>
    <w:rsid w:val="00CD0D0D"/>
    <w:rsid w:val="00CE0B2C"/>
    <w:rsid w:val="00CE7B15"/>
    <w:rsid w:val="00D83859"/>
    <w:rsid w:val="00D964C8"/>
    <w:rsid w:val="00E221A2"/>
    <w:rsid w:val="00E54A78"/>
    <w:rsid w:val="00F02661"/>
    <w:rsid w:val="00F51A21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F2C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2C3B"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38</cp:revision>
  <cp:lastPrinted>2015-10-01T03:16:00Z</cp:lastPrinted>
  <dcterms:created xsi:type="dcterms:W3CDTF">2014-12-03T15:14:00Z</dcterms:created>
  <dcterms:modified xsi:type="dcterms:W3CDTF">2016-01-26T12:35:00Z</dcterms:modified>
</cp:coreProperties>
</file>