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C9" w:rsidRPr="00997829" w:rsidRDefault="00861169" w:rsidP="00997829">
      <w:pPr>
        <w:pStyle w:val="H1"/>
        <w:bidi/>
        <w:jc w:val="center"/>
        <w:rPr>
          <w:rFonts w:cs="Arial"/>
          <w:b w:val="0"/>
          <w:bCs/>
          <w:sz w:val="28"/>
          <w:szCs w:val="28"/>
          <w:lang w:eastAsia="ko-KR"/>
        </w:rPr>
      </w:pPr>
      <w:r>
        <w:rPr>
          <w:rFonts w:cs="Arial"/>
          <w:b w:val="0"/>
          <w:bCs/>
          <w:sz w:val="28"/>
          <w:szCs w:val="28"/>
          <w:rtl/>
          <w:lang w:eastAsia="ko-KR"/>
        </w:rPr>
        <w:t>خارطة الطريق لرصد بر</w:t>
      </w:r>
      <w:r w:rsidR="007353C9" w:rsidRPr="00997829">
        <w:rPr>
          <w:rFonts w:cs="Arial"/>
          <w:b w:val="0"/>
          <w:bCs/>
          <w:sz w:val="28"/>
          <w:szCs w:val="28"/>
          <w:rtl/>
          <w:lang w:eastAsia="ko-KR"/>
        </w:rPr>
        <w:t>امج التحويلات النقدية</w:t>
      </w:r>
    </w:p>
    <w:p w:rsidR="000D28A3" w:rsidRPr="00B51090" w:rsidRDefault="00883DF9" w:rsidP="00997829">
      <w:pPr>
        <w:pStyle w:val="H1"/>
        <w:bidi/>
        <w:ind w:left="-170"/>
        <w:jc w:val="center"/>
        <w:rPr>
          <w:rFonts w:cs="Arial"/>
          <w:sz w:val="28"/>
          <w:szCs w:val="28"/>
          <w:lang w:eastAsia="ko-KR"/>
        </w:rPr>
      </w:pPr>
      <w:r w:rsidRPr="00883DF9">
        <w:rPr>
          <w:rFonts w:cs="Arial"/>
          <w:b w:val="0"/>
          <w:bCs/>
          <w:sz w:val="28"/>
          <w:szCs w:val="28"/>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05pt;height:120.4pt">
            <v:imagedata r:id="rId7" o:title="05-Monitoring_Evaluation-rodmap-EN2"/>
          </v:shape>
        </w:pict>
      </w:r>
    </w:p>
    <w:p w:rsidR="000A3581" w:rsidRPr="00B51090" w:rsidRDefault="007353C9" w:rsidP="007353C9">
      <w:pPr>
        <w:pStyle w:val="Heading2"/>
        <w:bidi/>
        <w:spacing w:before="480"/>
        <w:rPr>
          <w:rFonts w:cs="Arial"/>
          <w:b w:val="0"/>
          <w:bCs/>
          <w:sz w:val="28"/>
          <w:szCs w:val="28"/>
        </w:rPr>
      </w:pPr>
      <w:r w:rsidRPr="00B51090">
        <w:rPr>
          <w:rFonts w:cs="Arial"/>
          <w:b w:val="0"/>
          <w:bCs/>
          <w:sz w:val="28"/>
          <w:szCs w:val="28"/>
          <w:rtl/>
        </w:rPr>
        <w:t xml:space="preserve">المقدمة </w:t>
      </w:r>
    </w:p>
    <w:p w:rsidR="007353C9" w:rsidRPr="00B51090" w:rsidRDefault="007353C9" w:rsidP="007353C9">
      <w:pPr>
        <w:bidi/>
        <w:rPr>
          <w:rFonts w:cs="Arial"/>
          <w:sz w:val="28"/>
          <w:szCs w:val="28"/>
          <w:rtl/>
        </w:rPr>
      </w:pPr>
      <w:r w:rsidRPr="00B51090">
        <w:rPr>
          <w:rFonts w:cs="Arial"/>
          <w:sz w:val="28"/>
          <w:szCs w:val="28"/>
          <w:rtl/>
        </w:rPr>
        <w:t xml:space="preserve">تقدم خارطة الطريق هذه توجيهات حول عناصر رصد البرامج المختلفة، بما في ذلك خط الأساس، وتسليم التحويلات، ورصد عملية ما بعد التوزيع. </w:t>
      </w:r>
    </w:p>
    <w:p w:rsidR="00F3480F" w:rsidRPr="00B51090" w:rsidRDefault="00F3480F" w:rsidP="00F3480F">
      <w:pPr>
        <w:bidi/>
        <w:rPr>
          <w:rFonts w:cs="Arial"/>
          <w:sz w:val="28"/>
          <w:szCs w:val="28"/>
          <w:rtl/>
        </w:rPr>
      </w:pPr>
      <w:r w:rsidRPr="00B51090">
        <w:rPr>
          <w:rFonts w:cs="Arial"/>
          <w:sz w:val="28"/>
          <w:szCs w:val="28"/>
          <w:rtl/>
        </w:rPr>
        <w:t>كما تقترح هذه الخارطة مجموعة الأدوات المرتبطة بالتحويلات النقدية الضرورية لهذه الخطوة والخطوات الفرعية، على أن تكييف هذه الأدوات مع الحاجات والسياق</w:t>
      </w:r>
      <w:r w:rsidRPr="00B51090">
        <w:rPr>
          <w:rFonts w:cs="Arial"/>
          <w:sz w:val="28"/>
          <w:szCs w:val="28"/>
        </w:rPr>
        <w:t xml:space="preserve">. </w:t>
      </w:r>
    </w:p>
    <w:p w:rsidR="00F3480F" w:rsidRPr="00B51090" w:rsidRDefault="00F3480F" w:rsidP="00F3480F">
      <w:pPr>
        <w:bidi/>
        <w:rPr>
          <w:rFonts w:cs="Arial"/>
          <w:sz w:val="28"/>
          <w:szCs w:val="28"/>
          <w:rtl/>
        </w:rPr>
      </w:pPr>
      <w:r w:rsidRPr="00B51090">
        <w:rPr>
          <w:rFonts w:cs="Arial"/>
          <w:sz w:val="28"/>
          <w:szCs w:val="28"/>
          <w:rtl/>
        </w:rPr>
        <w:t>ولا بد دائماً من الامتثال للمعايير الدنيا المدرجة تحت هذه الخطوة باعتبار أن هذه المعايير كفيلة بضمان جودة الاستجابة</w:t>
      </w:r>
      <w:r w:rsidRPr="00B51090">
        <w:rPr>
          <w:rFonts w:cs="Arial"/>
          <w:sz w:val="28"/>
          <w:szCs w:val="28"/>
        </w:rPr>
        <w:t>.</w:t>
      </w:r>
    </w:p>
    <w:p w:rsidR="00F3480F" w:rsidRPr="00B51090" w:rsidRDefault="00F3480F" w:rsidP="00F3480F">
      <w:pPr>
        <w:bidi/>
        <w:rPr>
          <w:rFonts w:cs="Arial"/>
          <w:sz w:val="28"/>
          <w:szCs w:val="28"/>
          <w:rtl/>
        </w:rPr>
      </w:pPr>
      <w:r w:rsidRPr="00B51090">
        <w:rPr>
          <w:rFonts w:cs="Arial"/>
          <w:sz w:val="28"/>
          <w:szCs w:val="28"/>
          <w:rtl/>
        </w:rPr>
        <w:t>ولا تكون الخطوات والخطوات الفرعية متسلسلة بالضرورة، فأحياناً يجب المرور بها مراراً وتكراراً لتوجيه عملية اتخاذ القرار</w:t>
      </w:r>
      <w:r w:rsidRPr="00B51090">
        <w:rPr>
          <w:rFonts w:cs="Arial"/>
          <w:sz w:val="28"/>
          <w:szCs w:val="28"/>
        </w:rPr>
        <w:t>.</w:t>
      </w:r>
    </w:p>
    <w:p w:rsidR="00F3480F" w:rsidRPr="00B51090" w:rsidRDefault="00F3480F" w:rsidP="00F3480F">
      <w:pPr>
        <w:bidi/>
        <w:rPr>
          <w:rFonts w:cs="Arial"/>
          <w:sz w:val="28"/>
          <w:szCs w:val="28"/>
          <w:rtl/>
        </w:rPr>
      </w:pPr>
      <w:r w:rsidRPr="00B51090">
        <w:rPr>
          <w:rFonts w:cs="Arial"/>
          <w:sz w:val="28"/>
          <w:szCs w:val="28"/>
          <w:rtl/>
        </w:rPr>
        <w:t>وللحصول على المزيد من المبادئ التوجيهية حول رصد برنامج التحويلات النقدية، يمكن مراجعة الوثائق المرجعية المقترحة في نهاية خارطة الطريق</w:t>
      </w:r>
      <w:r w:rsidRPr="00B51090">
        <w:rPr>
          <w:rFonts w:cs="Arial"/>
          <w:sz w:val="28"/>
          <w:szCs w:val="28"/>
        </w:rPr>
        <w:t xml:space="preserve">. </w:t>
      </w:r>
    </w:p>
    <w:p w:rsidR="000A3581" w:rsidRPr="00B51090" w:rsidRDefault="00F3480F" w:rsidP="007353C9">
      <w:pPr>
        <w:pStyle w:val="Heading2"/>
        <w:bidi/>
        <w:rPr>
          <w:rFonts w:cs="Arial"/>
          <w:b w:val="0"/>
          <w:bCs/>
          <w:sz w:val="28"/>
          <w:szCs w:val="28"/>
          <w:rtl/>
        </w:rPr>
      </w:pPr>
      <w:r w:rsidRPr="00B51090">
        <w:rPr>
          <w:rFonts w:cs="Arial"/>
          <w:b w:val="0"/>
          <w:bCs/>
          <w:sz w:val="28"/>
          <w:szCs w:val="28"/>
          <w:rtl/>
        </w:rPr>
        <w:t>المعايير الدنيا</w:t>
      </w:r>
    </w:p>
    <w:p w:rsidR="00F3480F" w:rsidRPr="00B51090" w:rsidRDefault="00F3480F" w:rsidP="00F3480F">
      <w:pPr>
        <w:pStyle w:val="ListParagraph"/>
        <w:numPr>
          <w:ilvl w:val="0"/>
          <w:numId w:val="17"/>
        </w:numPr>
        <w:bidi/>
        <w:rPr>
          <w:rFonts w:cs="Arial"/>
          <w:sz w:val="28"/>
          <w:szCs w:val="28"/>
        </w:rPr>
      </w:pPr>
      <w:r w:rsidRPr="00B51090">
        <w:rPr>
          <w:rFonts w:cs="Arial"/>
          <w:sz w:val="28"/>
          <w:szCs w:val="28"/>
          <w:rtl/>
        </w:rPr>
        <w:t>يجب أن تجمع بيانات خط الأساس قبل أول مرحلة تسليم أو على الأقل بالتزامن مع هذه المرحلة.</w:t>
      </w:r>
    </w:p>
    <w:p w:rsidR="00F3480F" w:rsidRPr="00B51090" w:rsidRDefault="00B42CAC" w:rsidP="00F3480F">
      <w:pPr>
        <w:pStyle w:val="ListParagraph"/>
        <w:numPr>
          <w:ilvl w:val="0"/>
          <w:numId w:val="17"/>
        </w:numPr>
        <w:bidi/>
        <w:rPr>
          <w:rFonts w:cs="Arial"/>
          <w:sz w:val="28"/>
          <w:szCs w:val="28"/>
        </w:rPr>
      </w:pPr>
      <w:r w:rsidRPr="00B51090">
        <w:rPr>
          <w:rFonts w:cs="Arial"/>
          <w:sz w:val="28"/>
          <w:szCs w:val="28"/>
          <w:rtl/>
        </w:rPr>
        <w:t>يجب رصد عملية التسليم مباشرة حتى ولو كان يتولى الاضطلاع به طرق ثالث.</w:t>
      </w:r>
    </w:p>
    <w:p w:rsidR="00B42CAC" w:rsidRPr="00B51090" w:rsidRDefault="00B42CAC" w:rsidP="00B42CAC">
      <w:pPr>
        <w:pStyle w:val="ListParagraph"/>
        <w:numPr>
          <w:ilvl w:val="0"/>
          <w:numId w:val="17"/>
        </w:numPr>
        <w:bidi/>
        <w:rPr>
          <w:rFonts w:cs="Arial"/>
          <w:sz w:val="28"/>
          <w:szCs w:val="28"/>
        </w:rPr>
      </w:pPr>
      <w:r w:rsidRPr="00B51090">
        <w:rPr>
          <w:rFonts w:cs="Arial"/>
          <w:sz w:val="28"/>
          <w:szCs w:val="28"/>
          <w:rtl/>
        </w:rPr>
        <w:t>يجب رصد ما بعد عملية التوزيع (وضع جدول زمني لهذا الرصد بشكل يسمح للمستفيدين باستخدام مستحقاتهم).</w:t>
      </w:r>
    </w:p>
    <w:p w:rsidR="00B42CAC" w:rsidRPr="00B51090" w:rsidRDefault="00FA76ED" w:rsidP="003B701F">
      <w:pPr>
        <w:pStyle w:val="ListParagraph"/>
        <w:numPr>
          <w:ilvl w:val="0"/>
          <w:numId w:val="17"/>
        </w:numPr>
        <w:bidi/>
        <w:rPr>
          <w:rFonts w:cs="Arial"/>
          <w:sz w:val="28"/>
          <w:szCs w:val="28"/>
        </w:rPr>
      </w:pPr>
      <w:r w:rsidRPr="00B51090">
        <w:rPr>
          <w:rFonts w:cs="Arial"/>
          <w:sz w:val="28"/>
          <w:szCs w:val="28"/>
          <w:rtl/>
        </w:rPr>
        <w:t>ت</w:t>
      </w:r>
      <w:r w:rsidR="003B701F" w:rsidRPr="00B51090">
        <w:rPr>
          <w:rFonts w:cs="Arial"/>
          <w:sz w:val="28"/>
          <w:szCs w:val="28"/>
          <w:rtl/>
        </w:rPr>
        <w:t xml:space="preserve">جمع </w:t>
      </w:r>
      <w:r w:rsidRPr="00B51090">
        <w:rPr>
          <w:rFonts w:cs="Arial"/>
          <w:sz w:val="28"/>
          <w:szCs w:val="28"/>
          <w:rtl/>
        </w:rPr>
        <w:t>عملية رصد ما بعد التوزيع البيانات الكمية والنوعية من مصادر مختلفة.</w:t>
      </w:r>
    </w:p>
    <w:p w:rsidR="00D77A5A" w:rsidRPr="00B831E6" w:rsidRDefault="003B701F" w:rsidP="007353C9">
      <w:pPr>
        <w:pStyle w:val="Heading2"/>
        <w:bidi/>
        <w:rPr>
          <w:rFonts w:cs="Arial"/>
          <w:b w:val="0"/>
          <w:bCs/>
          <w:sz w:val="28"/>
          <w:szCs w:val="28"/>
        </w:rPr>
      </w:pPr>
      <w:r w:rsidRPr="00B831E6">
        <w:rPr>
          <w:rFonts w:cs="Arial"/>
          <w:b w:val="0"/>
          <w:bCs/>
          <w:sz w:val="28"/>
          <w:szCs w:val="28"/>
          <w:rtl/>
        </w:rPr>
        <w:t>الخطوات الفرعية والأدوات</w:t>
      </w:r>
    </w:p>
    <w:p w:rsidR="00047584" w:rsidRPr="00B831E6" w:rsidRDefault="003B701F" w:rsidP="007353C9">
      <w:pPr>
        <w:pStyle w:val="Heading3"/>
        <w:bidi/>
        <w:rPr>
          <w:rFonts w:cs="Arial"/>
          <w:b w:val="0"/>
          <w:bCs/>
          <w:sz w:val="28"/>
          <w:szCs w:val="28"/>
          <w:rtl/>
        </w:rPr>
      </w:pPr>
      <w:r w:rsidRPr="00B831E6">
        <w:rPr>
          <w:rFonts w:cs="Arial"/>
          <w:b w:val="0"/>
          <w:bCs/>
          <w:sz w:val="28"/>
          <w:szCs w:val="28"/>
          <w:rtl/>
        </w:rPr>
        <w:t>بيانات خط الأساس</w:t>
      </w:r>
    </w:p>
    <w:p w:rsidR="003B701F" w:rsidRPr="00B51090" w:rsidRDefault="003B701F" w:rsidP="003B701F">
      <w:pPr>
        <w:bidi/>
        <w:rPr>
          <w:rFonts w:cs="Arial"/>
          <w:sz w:val="28"/>
          <w:szCs w:val="28"/>
          <w:rtl/>
        </w:rPr>
      </w:pPr>
      <w:r w:rsidRPr="00B51090">
        <w:rPr>
          <w:rFonts w:cs="Arial"/>
          <w:sz w:val="28"/>
          <w:szCs w:val="28"/>
          <w:rtl/>
        </w:rPr>
        <w:t xml:space="preserve">تعتبر بيانات خط الأساس ضرورية لرصد التغيّرات في البرنامج. ويمكن الحصول على بيانات خط الأساس التي تشمل معلومات حول الوضع ما قبل وقوع الصدمة من المصادر الثانوية، كنظم رصد الأمن الغذائي مثلاً، </w:t>
      </w:r>
      <w:r w:rsidRPr="00B51090">
        <w:rPr>
          <w:rFonts w:cs="Arial"/>
          <w:sz w:val="28"/>
          <w:szCs w:val="28"/>
          <w:rtl/>
        </w:rPr>
        <w:lastRenderedPageBreak/>
        <w:t xml:space="preserve">أو من عملية التأهب. ويمكن إجراء استبيانات خط الأساس عند الاقتضاء لتحديد الأوضاع ما بعد وقوع الصدمة. </w:t>
      </w:r>
    </w:p>
    <w:p w:rsidR="000840F0" w:rsidRPr="00B51090" w:rsidRDefault="000840F0" w:rsidP="000840F0">
      <w:pPr>
        <w:bidi/>
        <w:rPr>
          <w:rFonts w:cs="Arial"/>
          <w:sz w:val="28"/>
          <w:szCs w:val="28"/>
          <w:rtl/>
        </w:rPr>
      </w:pPr>
      <w:r w:rsidRPr="00B51090">
        <w:rPr>
          <w:rFonts w:cs="Arial"/>
          <w:sz w:val="28"/>
          <w:szCs w:val="28"/>
          <w:rtl/>
        </w:rPr>
        <w:t>ويمكن ايجاد امثلة عن استبيانات يمكن استخدامها بحسب المراحل في وحدة التأهم والتقييم.</w:t>
      </w:r>
    </w:p>
    <w:p w:rsidR="000840F0" w:rsidRPr="00B51090" w:rsidRDefault="000840F0" w:rsidP="000840F0">
      <w:pPr>
        <w:bidi/>
        <w:rPr>
          <w:rFonts w:cs="Arial"/>
          <w:sz w:val="28"/>
          <w:szCs w:val="28"/>
        </w:rPr>
      </w:pPr>
    </w:p>
    <w:p w:rsidR="000D21AA" w:rsidRPr="00B51090" w:rsidRDefault="00E4439B" w:rsidP="000D21AA">
      <w:pPr>
        <w:pStyle w:val="ListParagraph"/>
        <w:numPr>
          <w:ilvl w:val="0"/>
          <w:numId w:val="17"/>
        </w:numPr>
        <w:bidi/>
        <w:rPr>
          <w:rFonts w:cs="Arial"/>
          <w:sz w:val="28"/>
          <w:szCs w:val="28"/>
        </w:rPr>
      </w:pPr>
      <w:r w:rsidRPr="00B51090">
        <w:rPr>
          <w:rFonts w:cs="Arial"/>
          <w:sz w:val="28"/>
          <w:szCs w:val="28"/>
          <w:rtl/>
        </w:rPr>
        <w:t xml:space="preserve">ومن أجل بناء خط أساس </w:t>
      </w:r>
      <w:r w:rsidR="001D38F6" w:rsidRPr="00B51090">
        <w:rPr>
          <w:rFonts w:cs="Arial"/>
          <w:sz w:val="28"/>
          <w:szCs w:val="28"/>
          <w:rtl/>
        </w:rPr>
        <w:t xml:space="preserve">لمؤشرات البرنامج الموجودة في الإطار الزمني ومصفوفة الرصد والتتبع، يجب جمع البيانات من عينة من السكان المستهدفين. </w:t>
      </w:r>
      <w:r w:rsidR="000D21AA" w:rsidRPr="00B51090">
        <w:rPr>
          <w:rFonts w:cs="Arial"/>
          <w:sz w:val="28"/>
          <w:szCs w:val="28"/>
          <w:rtl/>
        </w:rPr>
        <w:t xml:space="preserve">ويجب أن تجمع بيانات خط الأساس قبل أول مرحلة تسليم أو على الأقل بالتزامن مع هذه المرحلة. لهذا الغرض، يمكن </w:t>
      </w:r>
      <w:r w:rsidR="00545B6F" w:rsidRPr="00B51090">
        <w:rPr>
          <w:rFonts w:cs="Arial"/>
          <w:sz w:val="28"/>
          <w:szCs w:val="28"/>
          <w:rtl/>
        </w:rPr>
        <w:t>استخدام استبيان خط الأساس المتوفر في أدوت الخطوات الفرعية.</w:t>
      </w:r>
    </w:p>
    <w:p w:rsidR="00E4439B" w:rsidRPr="00B51090" w:rsidRDefault="00E4439B" w:rsidP="00E4439B">
      <w:pPr>
        <w:bidi/>
        <w:rPr>
          <w:rFonts w:cs="Arial"/>
          <w:sz w:val="28"/>
          <w:szCs w:val="28"/>
        </w:rPr>
      </w:pPr>
    </w:p>
    <w:p w:rsidR="00047584" w:rsidRPr="00B51090" w:rsidRDefault="000E7ED9" w:rsidP="007353C9">
      <w:pPr>
        <w:pStyle w:val="Heading3"/>
        <w:keepLines/>
        <w:bidi/>
        <w:rPr>
          <w:rFonts w:cs="Arial"/>
          <w:b w:val="0"/>
          <w:bCs/>
          <w:sz w:val="28"/>
          <w:szCs w:val="28"/>
          <w:rtl/>
        </w:rPr>
      </w:pPr>
      <w:r w:rsidRPr="00B51090">
        <w:rPr>
          <w:rFonts w:cs="Arial"/>
          <w:b w:val="0"/>
          <w:bCs/>
          <w:sz w:val="28"/>
          <w:szCs w:val="28"/>
          <w:rtl/>
        </w:rPr>
        <w:t>رصد عملية التسليم</w:t>
      </w:r>
    </w:p>
    <w:p w:rsidR="000E7ED9" w:rsidRPr="00B51090" w:rsidRDefault="000E7ED9" w:rsidP="000E7ED9">
      <w:pPr>
        <w:bidi/>
        <w:rPr>
          <w:rFonts w:cs="Arial"/>
          <w:sz w:val="28"/>
          <w:szCs w:val="28"/>
          <w:rtl/>
        </w:rPr>
      </w:pPr>
      <w:r w:rsidRPr="00B51090">
        <w:rPr>
          <w:rFonts w:cs="Arial"/>
          <w:sz w:val="28"/>
          <w:szCs w:val="28"/>
          <w:rtl/>
        </w:rPr>
        <w:t xml:space="preserve">يجب رصد عملية التسليم من أجل التأكد من أن المستفيد استلم المبلغ النقدي الصحيح في الوقت المطلوب، وأن العملية جرت بالشكل المناسب. ويطبق رصد عملية التلسيم عندما  تتولى تتولى الصليب الأحمر/الهلال الأحمر توزيع التحويلات مباشرة أو عندما </w:t>
      </w:r>
      <w:r w:rsidR="00AA3239" w:rsidRPr="00B51090">
        <w:rPr>
          <w:rFonts w:cs="Arial"/>
          <w:sz w:val="28"/>
          <w:szCs w:val="28"/>
          <w:rtl/>
        </w:rPr>
        <w:t xml:space="preserve">يتولى تسليمها مقدمو الخدمات. في هذه الحالة الأخيرة، يتوزع عناصر الصليب الأحمر/الهلال الأحمر على نقاط التسليم من جل ضمان سير العملية بسلاسة. وينفذ رصد التسليم على عيّنة من نقاط التسليم المتوفرة في كل نقطة توزيع بارزة. </w:t>
      </w:r>
      <w:r w:rsidR="00965814" w:rsidRPr="00B51090">
        <w:rPr>
          <w:rFonts w:cs="Arial"/>
          <w:sz w:val="28"/>
          <w:szCs w:val="28"/>
          <w:rtl/>
        </w:rPr>
        <w:t xml:space="preserve">وتسمح هذه الخطوة بكشف المشاكل تلقائياً مما يسمح بايجاد الحلول قبل استكمال سائر مراحل البرنامج. </w:t>
      </w:r>
    </w:p>
    <w:p w:rsidR="00A5265D" w:rsidRPr="00B51090" w:rsidRDefault="00A5265D" w:rsidP="00A5265D">
      <w:pPr>
        <w:bidi/>
        <w:rPr>
          <w:rFonts w:cs="Arial"/>
          <w:sz w:val="28"/>
          <w:szCs w:val="28"/>
          <w:rtl/>
        </w:rPr>
      </w:pPr>
      <w:r w:rsidRPr="00B51090">
        <w:rPr>
          <w:rFonts w:cs="Arial"/>
          <w:sz w:val="28"/>
          <w:szCs w:val="28"/>
          <w:rtl/>
        </w:rPr>
        <w:t>وتشمل أكثر الوسائل شيوعاً لرصد التسليم  ما يلي:</w:t>
      </w:r>
    </w:p>
    <w:p w:rsidR="00A5265D" w:rsidRPr="00B51090" w:rsidRDefault="00321046" w:rsidP="00A5265D">
      <w:pPr>
        <w:pStyle w:val="ListParagraph"/>
        <w:numPr>
          <w:ilvl w:val="0"/>
          <w:numId w:val="17"/>
        </w:numPr>
        <w:bidi/>
        <w:rPr>
          <w:rFonts w:cs="Arial"/>
          <w:sz w:val="28"/>
          <w:szCs w:val="28"/>
        </w:rPr>
      </w:pPr>
      <w:r w:rsidRPr="00B51090">
        <w:rPr>
          <w:rFonts w:cs="Arial"/>
          <w:sz w:val="28"/>
          <w:szCs w:val="28"/>
          <w:rtl/>
        </w:rPr>
        <w:t>مراقبة مراكز التسليم، بهدف التأكد من أن الوكلاء يمتثلون للقواعد التنظيمية الخاصة بالأمن وتنظيم الحشود، وأن المواصفات بشأن قدراتهم صحيحة ودقيقة.</w:t>
      </w:r>
    </w:p>
    <w:p w:rsidR="00321046" w:rsidRPr="00B51090" w:rsidRDefault="00321046" w:rsidP="00321046">
      <w:pPr>
        <w:pStyle w:val="ListParagraph"/>
        <w:numPr>
          <w:ilvl w:val="0"/>
          <w:numId w:val="17"/>
        </w:numPr>
        <w:bidi/>
        <w:rPr>
          <w:rFonts w:cs="Arial"/>
          <w:sz w:val="28"/>
          <w:szCs w:val="28"/>
        </w:rPr>
      </w:pPr>
      <w:r w:rsidRPr="00B51090">
        <w:rPr>
          <w:rFonts w:cs="Arial"/>
          <w:sz w:val="28"/>
          <w:szCs w:val="28"/>
          <w:rtl/>
        </w:rPr>
        <w:t>إجراء استبيان على نقاط الخروج، يطبق على نسبة معينة من المستفيدين الخارجين من مركز التسليم، بهدف الا</w:t>
      </w:r>
      <w:r w:rsidR="00FE3963" w:rsidRPr="00B51090">
        <w:rPr>
          <w:rFonts w:cs="Arial"/>
          <w:sz w:val="28"/>
          <w:szCs w:val="28"/>
          <w:rtl/>
        </w:rPr>
        <w:t>طلاع على انطباعهم تجاه البرنامج، وفهمهم له، وخطتهم لصرف التحويلات النقدية.</w:t>
      </w:r>
    </w:p>
    <w:p w:rsidR="00080E80" w:rsidRPr="00B51090" w:rsidRDefault="00FE3963" w:rsidP="00FE3963">
      <w:pPr>
        <w:bidi/>
        <w:rPr>
          <w:rFonts w:cs="Arial"/>
          <w:sz w:val="28"/>
          <w:szCs w:val="28"/>
        </w:rPr>
      </w:pPr>
      <w:r w:rsidRPr="00B51090">
        <w:rPr>
          <w:rFonts w:cs="Arial"/>
          <w:sz w:val="28"/>
          <w:szCs w:val="28"/>
          <w:rtl/>
        </w:rPr>
        <w:t>يمكن الحصول نموذج لمراقبة مراكز التسليم، واستبيان نقاط الخروج، وبيانات أخرى ذات صلة في أدوات الخطوة الفرعية.</w:t>
      </w:r>
      <w:r w:rsidR="00080E80" w:rsidRPr="00B51090">
        <w:rPr>
          <w:rFonts w:cs="Arial"/>
          <w:sz w:val="28"/>
          <w:szCs w:val="28"/>
        </w:rPr>
        <w:t xml:space="preserve"> </w:t>
      </w:r>
    </w:p>
    <w:tbl>
      <w:tblPr>
        <w:tblStyle w:val="TableGrid"/>
        <w:tblW w:w="0" w:type="auto"/>
        <w:jc w:val="center"/>
        <w:tblLook w:val="00A0"/>
      </w:tblPr>
      <w:tblGrid>
        <w:gridCol w:w="6946"/>
      </w:tblGrid>
      <w:tr w:rsidR="00047584" w:rsidRPr="00B51090" w:rsidTr="00AB121E">
        <w:trPr>
          <w:jc w:val="center"/>
        </w:trPr>
        <w:tc>
          <w:tcPr>
            <w:tcW w:w="6946" w:type="dxa"/>
            <w:shd w:val="solid" w:color="F2F2F2" w:themeColor="background1" w:themeShade="F2" w:fill="auto"/>
          </w:tcPr>
          <w:p w:rsidR="00FE3963" w:rsidRPr="00B51090" w:rsidRDefault="00FE3963" w:rsidP="00FE3963">
            <w:pPr>
              <w:bidi/>
              <w:spacing w:before="120"/>
              <w:jc w:val="center"/>
              <w:rPr>
                <w:rFonts w:cs="Arial"/>
                <w:b/>
                <w:sz w:val="28"/>
                <w:szCs w:val="28"/>
                <w:rtl/>
              </w:rPr>
            </w:pPr>
            <w:r w:rsidRPr="00B51090">
              <w:rPr>
                <w:rFonts w:cs="Arial"/>
                <w:b/>
                <w:sz w:val="28"/>
                <w:szCs w:val="28"/>
                <w:rtl/>
              </w:rPr>
              <w:t>تقنيات جديدة</w:t>
            </w:r>
          </w:p>
          <w:p w:rsidR="00FE3963" w:rsidRPr="00B51090" w:rsidRDefault="00FE3963" w:rsidP="00FE3963">
            <w:pPr>
              <w:pStyle w:val="Bullet2"/>
              <w:bidi/>
              <w:ind w:left="499" w:hanging="357"/>
              <w:rPr>
                <w:sz w:val="28"/>
                <w:szCs w:val="28"/>
              </w:rPr>
            </w:pPr>
            <w:r w:rsidRPr="00B51090">
              <w:rPr>
                <w:sz w:val="28"/>
                <w:szCs w:val="28"/>
                <w:rtl/>
              </w:rPr>
              <w:t>عندما يكون تسليم التحويلات الكترونياً، يمكن إجراء الرصد عبر تقارير الكترونية؛ مثلاً تسمح تكنولوجيا أجهزة الصراف الآلي برصد التسليم من خلال سجلات المعاملات .</w:t>
            </w:r>
          </w:p>
          <w:p w:rsidR="00FE3963" w:rsidRPr="00B51090" w:rsidRDefault="00FE3963" w:rsidP="00FE3963">
            <w:pPr>
              <w:pStyle w:val="Bullet2"/>
              <w:bidi/>
              <w:ind w:left="499" w:hanging="357"/>
              <w:rPr>
                <w:sz w:val="28"/>
                <w:szCs w:val="28"/>
              </w:rPr>
            </w:pPr>
            <w:r w:rsidRPr="00B51090">
              <w:rPr>
                <w:sz w:val="28"/>
                <w:szCs w:val="28"/>
                <w:rtl/>
              </w:rPr>
              <w:t xml:space="preserve">قد تتضمن عملية التوزيع الالكترونية إجراءات ومعاملات يدوية لا يمكن تتبعها الكترونياً. ولتسهيل عملية التدقيق، يجب </w:t>
            </w:r>
            <w:r w:rsidR="004B3598" w:rsidRPr="00B51090">
              <w:rPr>
                <w:sz w:val="28"/>
                <w:szCs w:val="28"/>
                <w:rtl/>
              </w:rPr>
              <w:t>دمج المعاملات الورقية والإلكترونية.</w:t>
            </w:r>
          </w:p>
          <w:p w:rsidR="00047584" w:rsidRPr="00B51090" w:rsidRDefault="004B3598" w:rsidP="004B3598">
            <w:pPr>
              <w:pStyle w:val="Bullet2"/>
              <w:bidi/>
              <w:ind w:left="499" w:hanging="357"/>
              <w:rPr>
                <w:sz w:val="28"/>
                <w:szCs w:val="28"/>
              </w:rPr>
            </w:pPr>
            <w:r w:rsidRPr="00B51090">
              <w:rPr>
                <w:sz w:val="28"/>
                <w:szCs w:val="28"/>
                <w:rtl/>
              </w:rPr>
              <w:t>وتسمح التكنولوجيا  باللجوء إلى رصد الرسائل النصية، عبر طرح سؤال بسيط على المستفيد لمعرفة إن تلقى التحويلات النقدية.</w:t>
            </w:r>
          </w:p>
        </w:tc>
      </w:tr>
    </w:tbl>
    <w:p w:rsidR="00C152DD" w:rsidRPr="00B51090" w:rsidRDefault="00C152DD" w:rsidP="007353C9">
      <w:pPr>
        <w:bidi/>
        <w:rPr>
          <w:rFonts w:cs="Arial"/>
          <w:b/>
          <w:sz w:val="28"/>
          <w:szCs w:val="28"/>
        </w:rPr>
      </w:pPr>
    </w:p>
    <w:p w:rsidR="004C52E9" w:rsidRPr="00B51090" w:rsidRDefault="00E92E7F" w:rsidP="007353C9">
      <w:pPr>
        <w:pStyle w:val="Heading3"/>
        <w:bidi/>
        <w:rPr>
          <w:rFonts w:cs="Arial"/>
          <w:b w:val="0"/>
          <w:bCs/>
          <w:sz w:val="28"/>
          <w:szCs w:val="28"/>
          <w:rtl/>
        </w:rPr>
      </w:pPr>
      <w:r w:rsidRPr="00B51090">
        <w:rPr>
          <w:rFonts w:cs="Arial"/>
          <w:b w:val="0"/>
          <w:bCs/>
          <w:sz w:val="28"/>
          <w:szCs w:val="28"/>
          <w:rtl/>
        </w:rPr>
        <w:t>رصد ما بعد عملية التوزيع</w:t>
      </w:r>
    </w:p>
    <w:p w:rsidR="00947F4B" w:rsidRPr="00B51090" w:rsidRDefault="00E92E7F" w:rsidP="00947F4B">
      <w:pPr>
        <w:bidi/>
        <w:rPr>
          <w:rFonts w:cs="Arial"/>
          <w:sz w:val="28"/>
          <w:szCs w:val="28"/>
          <w:rtl/>
        </w:rPr>
      </w:pPr>
      <w:r w:rsidRPr="00B51090">
        <w:rPr>
          <w:rFonts w:cs="Arial"/>
          <w:sz w:val="28"/>
          <w:szCs w:val="28"/>
          <w:rtl/>
        </w:rPr>
        <w:t xml:space="preserve">ينفذ الرصد لما بعد عملية التوزيع بعد مرور اسبوعين أو ثلاثة </w:t>
      </w:r>
      <w:r w:rsidR="00947F4B" w:rsidRPr="00B51090">
        <w:rPr>
          <w:rFonts w:cs="Arial"/>
          <w:sz w:val="28"/>
          <w:szCs w:val="28"/>
          <w:rtl/>
        </w:rPr>
        <w:t xml:space="preserve">على توزيع التحويلات النقدية، إن كانت هذه الأخيرة تهدف لتلبية الحاجات الطارئة، ويمكن تأجيل الرصد إن كانت التحويلات تهدف لمساعدة المستفيدين على تاسيس سبل عيشهم. في هذه الحالة، </w:t>
      </w:r>
      <w:r w:rsidR="00034F36" w:rsidRPr="00B51090">
        <w:rPr>
          <w:rFonts w:cs="Arial"/>
          <w:sz w:val="28"/>
          <w:szCs w:val="28"/>
          <w:rtl/>
        </w:rPr>
        <w:t>يعطى المستفيد الوقت الكافي لمنح الفرصة ب</w:t>
      </w:r>
      <w:r w:rsidR="00947F4B" w:rsidRPr="00B51090">
        <w:rPr>
          <w:rFonts w:cs="Arial"/>
          <w:sz w:val="28"/>
          <w:szCs w:val="28"/>
          <w:rtl/>
        </w:rPr>
        <w:t xml:space="preserve">استخدام التحويلات قبل </w:t>
      </w:r>
      <w:r w:rsidR="00947F4B" w:rsidRPr="00B51090">
        <w:rPr>
          <w:rFonts w:cs="Arial"/>
          <w:sz w:val="28"/>
          <w:szCs w:val="28"/>
          <w:rtl/>
        </w:rPr>
        <w:lastRenderedPageBreak/>
        <w:t xml:space="preserve">بدء عملية الرصد بما أن </w:t>
      </w:r>
      <w:r w:rsidR="00034F36" w:rsidRPr="00B51090">
        <w:rPr>
          <w:rFonts w:cs="Arial"/>
          <w:sz w:val="28"/>
          <w:szCs w:val="28"/>
          <w:rtl/>
        </w:rPr>
        <w:t>هذه العملية تهدف بشكل أساسي إلى التأكد من تلسم المستفيد للتحويلات ومن استخدامها وفقاً للأغراض  المرجوة منها. وقد يساعد الرصد لما بعد عملية التوزيع أيضاً بكشف الإشارات المبكرة ل</w:t>
      </w:r>
      <w:r w:rsidR="009339AA" w:rsidRPr="00B51090">
        <w:rPr>
          <w:rFonts w:cs="Arial"/>
          <w:sz w:val="28"/>
          <w:szCs w:val="28"/>
          <w:rtl/>
        </w:rPr>
        <w:t xml:space="preserve">آثار البرنامج السلبية، وبمواجهة الشكاوى. </w:t>
      </w:r>
    </w:p>
    <w:p w:rsidR="009339AA" w:rsidRPr="00B51090" w:rsidRDefault="009D3149" w:rsidP="009339AA">
      <w:pPr>
        <w:bidi/>
        <w:rPr>
          <w:rFonts w:cs="Arial"/>
          <w:sz w:val="28"/>
          <w:szCs w:val="28"/>
          <w:rtl/>
        </w:rPr>
      </w:pPr>
      <w:r w:rsidRPr="00B51090">
        <w:rPr>
          <w:rFonts w:cs="Arial"/>
          <w:sz w:val="28"/>
          <w:szCs w:val="28"/>
          <w:rtl/>
        </w:rPr>
        <w:t>وبشكل عام، يرتكز الرصد لما بعد عملية التوزيع على مناقشات فرق التنسيق مع المستفيدين وعلى المقابلات مع الأسر. وتوفر أدوات الخطوة الفرعية إرشادات وأسئلة خاصة بالرصد لما بعد عملية التوزيع، واستبيانات تتوافق مع أنواع برامج التحويلات المختلفة (غير مشروطة، مشروطة، وسبل العيش)، بافضافة إلى قاعدة بيانات ونموذج عن تقرير الرصد لما بعد عملية التوزيع.</w:t>
      </w:r>
    </w:p>
    <w:p w:rsidR="00047584" w:rsidRPr="00B51090" w:rsidRDefault="00947F4B" w:rsidP="009339AA">
      <w:pPr>
        <w:bidi/>
        <w:rPr>
          <w:rFonts w:cs="Arial"/>
          <w:sz w:val="28"/>
          <w:szCs w:val="28"/>
        </w:rPr>
      </w:pPr>
      <w:r w:rsidRPr="00B51090">
        <w:rPr>
          <w:rFonts w:cs="Arial"/>
          <w:sz w:val="28"/>
          <w:szCs w:val="28"/>
          <w:rtl/>
        </w:rPr>
        <w:t xml:space="preserve"> </w:t>
      </w:r>
    </w:p>
    <w:p w:rsidR="00A06E88" w:rsidRPr="00B51090" w:rsidRDefault="00A06E88" w:rsidP="007353C9">
      <w:pPr>
        <w:bidi/>
        <w:spacing w:after="240"/>
        <w:rPr>
          <w:rFonts w:cs="Arial"/>
          <w:sz w:val="28"/>
          <w:szCs w:val="28"/>
        </w:rPr>
      </w:pPr>
    </w:p>
    <w:p w:rsidR="00A06E88" w:rsidRPr="00B51090" w:rsidRDefault="00A06E88" w:rsidP="007353C9">
      <w:pPr>
        <w:bidi/>
        <w:spacing w:after="240"/>
        <w:rPr>
          <w:rFonts w:cs="Arial"/>
          <w:sz w:val="28"/>
          <w:szCs w:val="28"/>
        </w:rPr>
      </w:pPr>
    </w:p>
    <w:tbl>
      <w:tblPr>
        <w:tblStyle w:val="TableGrid"/>
        <w:tblW w:w="0" w:type="auto"/>
        <w:jc w:val="center"/>
        <w:tblInd w:w="-388" w:type="dxa"/>
        <w:shd w:val="solid" w:color="F2F2F2" w:themeColor="background1" w:themeShade="F2" w:fill="auto"/>
        <w:tblLook w:val="00A0"/>
      </w:tblPr>
      <w:tblGrid>
        <w:gridCol w:w="6967"/>
      </w:tblGrid>
      <w:tr w:rsidR="00047584" w:rsidRPr="00B51090" w:rsidTr="00AB121E">
        <w:trPr>
          <w:trHeight w:val="416"/>
          <w:jc w:val="center"/>
        </w:trPr>
        <w:tc>
          <w:tcPr>
            <w:tcW w:w="6967" w:type="dxa"/>
            <w:shd w:val="solid" w:color="F2F2F2" w:themeColor="background1" w:themeShade="F2" w:fill="auto"/>
          </w:tcPr>
          <w:p w:rsidR="009D3149" w:rsidRPr="00B51090" w:rsidRDefault="009D3149" w:rsidP="009D3149">
            <w:pPr>
              <w:keepNext/>
              <w:keepLines/>
              <w:bidi/>
              <w:spacing w:before="120"/>
              <w:jc w:val="center"/>
              <w:rPr>
                <w:rFonts w:cs="Arial"/>
                <w:b/>
                <w:sz w:val="28"/>
                <w:szCs w:val="28"/>
                <w:rtl/>
              </w:rPr>
            </w:pPr>
            <w:r w:rsidRPr="00B51090">
              <w:rPr>
                <w:rFonts w:cs="Arial"/>
                <w:b/>
                <w:sz w:val="28"/>
                <w:szCs w:val="28"/>
                <w:rtl/>
              </w:rPr>
              <w:t>البيانات النوعية و التثليث</w:t>
            </w:r>
          </w:p>
          <w:p w:rsidR="009D3149" w:rsidRPr="00B51090" w:rsidRDefault="009D3149" w:rsidP="009D3149">
            <w:pPr>
              <w:keepNext/>
              <w:keepLines/>
              <w:bidi/>
              <w:spacing w:before="120"/>
              <w:jc w:val="left"/>
              <w:rPr>
                <w:rFonts w:cs="Arial"/>
                <w:b/>
                <w:sz w:val="28"/>
                <w:szCs w:val="28"/>
              </w:rPr>
            </w:pPr>
          </w:p>
          <w:p w:rsidR="009D3149" w:rsidRPr="00B51090" w:rsidRDefault="009D3149" w:rsidP="009D3149">
            <w:pPr>
              <w:keepNext/>
              <w:keepLines/>
              <w:bidi/>
              <w:spacing w:after="60"/>
              <w:rPr>
                <w:rFonts w:cs="Arial"/>
                <w:sz w:val="28"/>
                <w:szCs w:val="28"/>
                <w:rtl/>
              </w:rPr>
            </w:pPr>
            <w:r w:rsidRPr="00B51090">
              <w:rPr>
                <w:rFonts w:cs="Arial"/>
                <w:sz w:val="28"/>
                <w:szCs w:val="28"/>
                <w:rtl/>
              </w:rPr>
              <w:t xml:space="preserve">غالباً ما تكون البيانات </w:t>
            </w:r>
            <w:r w:rsidR="00E5017E" w:rsidRPr="00B51090">
              <w:rPr>
                <w:rFonts w:cs="Arial"/>
                <w:sz w:val="28"/>
                <w:szCs w:val="28"/>
                <w:rtl/>
              </w:rPr>
              <w:t>حول استخدام التحويلات النقدية كمية، ولكن لا بد لها من أن تسمل عنصراً نوعياً مهماً من أجل تحديد الأسباب وراء استخدامات الأسر للتحويلات.</w:t>
            </w:r>
          </w:p>
          <w:p w:rsidR="00E5017E" w:rsidRPr="00B51090" w:rsidRDefault="00E5017E" w:rsidP="00E5017E">
            <w:pPr>
              <w:keepNext/>
              <w:keepLines/>
              <w:bidi/>
              <w:spacing w:after="60"/>
              <w:rPr>
                <w:rFonts w:cs="Arial"/>
                <w:sz w:val="28"/>
                <w:szCs w:val="28"/>
              </w:rPr>
            </w:pPr>
            <w:r w:rsidRPr="00B51090">
              <w:rPr>
                <w:rFonts w:cs="Arial"/>
                <w:sz w:val="28"/>
                <w:szCs w:val="28"/>
                <w:rtl/>
              </w:rPr>
              <w:t>ويسمح تثليث المعلومات التي جمعت من المستفيدين مع المعلومات التي جمعت من مقدمي المعلومات كالتجار مثلاً  بتحديد نقاط التناقض. والتوجه إلى الرجال على حدة والنساء على حدة يسمح بفهم من هم الأفراد الذين يديرون عملية الإنفاق في الأسر وما هي المبالغ التي يتم انفاقها.</w:t>
            </w:r>
          </w:p>
          <w:p w:rsidR="00047584" w:rsidRPr="00B51090" w:rsidRDefault="00047584" w:rsidP="007353C9">
            <w:pPr>
              <w:keepNext/>
              <w:keepLines/>
              <w:bidi/>
              <w:spacing w:before="240" w:after="60"/>
              <w:rPr>
                <w:rFonts w:cs="Arial"/>
                <w:sz w:val="28"/>
                <w:szCs w:val="28"/>
              </w:rPr>
            </w:pPr>
          </w:p>
        </w:tc>
      </w:tr>
    </w:tbl>
    <w:p w:rsidR="00047584" w:rsidRPr="00B51090" w:rsidRDefault="00047584" w:rsidP="007353C9">
      <w:pPr>
        <w:bidi/>
        <w:spacing w:after="360"/>
        <w:rPr>
          <w:rFonts w:cs="Arial"/>
          <w:sz w:val="28"/>
          <w:szCs w:val="28"/>
        </w:rPr>
      </w:pPr>
    </w:p>
    <w:tbl>
      <w:tblPr>
        <w:tblStyle w:val="TableGray"/>
        <w:tblW w:w="0" w:type="auto"/>
        <w:shd w:val="clear" w:color="auto" w:fill="D9D9D9"/>
        <w:tblLook w:val="04A0"/>
      </w:tblPr>
      <w:tblGrid>
        <w:gridCol w:w="9916"/>
      </w:tblGrid>
      <w:tr w:rsidR="0047617F" w:rsidRPr="00B51090" w:rsidTr="0047617F">
        <w:tc>
          <w:tcPr>
            <w:tcW w:w="9848" w:type="dxa"/>
            <w:shd w:val="clear" w:color="auto" w:fill="D9D9D9"/>
          </w:tcPr>
          <w:p w:rsidR="0047617F" w:rsidRPr="00B51090" w:rsidRDefault="00176173" w:rsidP="007353C9">
            <w:pPr>
              <w:pStyle w:val="RefTitre"/>
              <w:bidi/>
              <w:rPr>
                <w:rFonts w:cs="Arial"/>
                <w:sz w:val="28"/>
                <w:szCs w:val="28"/>
              </w:rPr>
            </w:pPr>
            <w:r w:rsidRPr="00B51090">
              <w:rPr>
                <w:rFonts w:cs="Arial"/>
                <w:sz w:val="28"/>
                <w:szCs w:val="28"/>
                <w:rtl/>
              </w:rPr>
              <w:t>المراجع</w:t>
            </w:r>
          </w:p>
          <w:p w:rsidR="00940F51" w:rsidRPr="00B51090" w:rsidRDefault="0047617F" w:rsidP="007353C9">
            <w:pPr>
              <w:pStyle w:val="RefItem1"/>
              <w:bidi/>
              <w:rPr>
                <w:rStyle w:val="Hyperlink"/>
                <w:rFonts w:cs="Arial"/>
                <w:sz w:val="28"/>
                <w:szCs w:val="28"/>
              </w:rPr>
            </w:pPr>
            <w:r w:rsidRPr="00B51090">
              <w:rPr>
                <w:rFonts w:cs="Arial"/>
                <w:sz w:val="28"/>
                <w:szCs w:val="28"/>
              </w:rPr>
              <w:t xml:space="preserve">Food Consumption Analysis - Technical Guidance Sheet WFP. </w:t>
            </w:r>
            <w:r w:rsidRPr="00B51090">
              <w:rPr>
                <w:rStyle w:val="Hyperlink"/>
                <w:rFonts w:cs="Arial"/>
                <w:sz w:val="28"/>
                <w:szCs w:val="28"/>
              </w:rPr>
              <w:t>documents.wfp.org/stellent/groups/public/documents/manual_guide_proced/wfp197216.pdf</w:t>
            </w:r>
          </w:p>
          <w:p w:rsidR="0047617F" w:rsidRPr="00B51090" w:rsidRDefault="0047617F" w:rsidP="007353C9">
            <w:pPr>
              <w:pStyle w:val="RefItem1"/>
              <w:bidi/>
              <w:rPr>
                <w:rFonts w:cs="Arial"/>
                <w:sz w:val="28"/>
                <w:szCs w:val="28"/>
              </w:rPr>
            </w:pPr>
            <w:r w:rsidRPr="00B51090">
              <w:rPr>
                <w:rFonts w:cs="Arial"/>
                <w:sz w:val="28"/>
                <w:szCs w:val="28"/>
              </w:rPr>
              <w:t xml:space="preserve">Guidelines for measuring Household and individual Dietary Diversity. FAO 2011. </w:t>
            </w:r>
            <w:hyperlink r:id="rId8" w:history="1">
              <w:r w:rsidRPr="00B51090">
                <w:rPr>
                  <w:rStyle w:val="Hyperlink"/>
                  <w:rFonts w:cs="Arial"/>
                  <w:sz w:val="28"/>
                  <w:szCs w:val="28"/>
                </w:rPr>
                <w:t>http://www.fao.org/fileadmin/user_upload/wa_workshop/docs/FAO-guidelines-dietary-diversity2011.pdf</w:t>
              </w:r>
            </w:hyperlink>
          </w:p>
        </w:tc>
      </w:tr>
    </w:tbl>
    <w:p w:rsidR="00D77A5A" w:rsidRPr="00B51090" w:rsidRDefault="00D77A5A" w:rsidP="007353C9">
      <w:pPr>
        <w:bidi/>
        <w:rPr>
          <w:rFonts w:cs="Arial"/>
          <w:sz w:val="28"/>
          <w:szCs w:val="28"/>
        </w:rPr>
      </w:pPr>
      <w:bookmarkStart w:id="0" w:name="_GoBack"/>
      <w:bookmarkEnd w:id="0"/>
    </w:p>
    <w:sectPr w:rsidR="00D77A5A" w:rsidRPr="00B51090" w:rsidSect="00777F8F">
      <w:headerReference w:type="default" r:id="rId9"/>
      <w:footerReference w:type="default" r:id="rId10"/>
      <w:headerReference w:type="first" r:id="rId11"/>
      <w:footerReference w:type="first" r:id="rId12"/>
      <w:pgSz w:w="11900" w:h="16840"/>
      <w:pgMar w:top="1134" w:right="1134" w:bottom="1134" w:left="1134"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E9B" w:rsidRDefault="00BE3E9B" w:rsidP="00856359">
      <w:r>
        <w:separator/>
      </w:r>
    </w:p>
  </w:endnote>
  <w:endnote w:type="continuationSeparator" w:id="1">
    <w:p w:rsidR="00BE3E9B" w:rsidRDefault="00BE3E9B" w:rsidP="00856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8F" w:rsidRPr="00B45C74" w:rsidRDefault="00883DF9" w:rsidP="00B86DF2">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777F8F"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B831E6">
      <w:rPr>
        <w:b/>
        <w:noProof/>
        <w:color w:val="808080" w:themeColor="background1" w:themeShade="80"/>
        <w:sz w:val="18"/>
        <w:szCs w:val="18"/>
      </w:rPr>
      <w:t>3</w:t>
    </w:r>
    <w:r w:rsidRPr="00B45C74">
      <w:rPr>
        <w:b/>
        <w:color w:val="808080" w:themeColor="background1" w:themeShade="80"/>
        <w:sz w:val="18"/>
        <w:szCs w:val="18"/>
      </w:rPr>
      <w:fldChar w:fldCharType="end"/>
    </w:r>
  </w:p>
  <w:p w:rsidR="00777F8F" w:rsidRPr="00777F8F" w:rsidRDefault="00777F8F" w:rsidP="00B86DF2">
    <w:pPr>
      <w:pStyle w:val="Footer"/>
    </w:pPr>
    <w:r w:rsidRPr="00107E15">
      <w:rPr>
        <w:b/>
      </w:rPr>
      <w:t xml:space="preserve">Module </w:t>
    </w:r>
    <w:r>
      <w:rPr>
        <w:b/>
      </w:rPr>
      <w:t>5</w:t>
    </w:r>
    <w:r w:rsidRPr="00107E15">
      <w:rPr>
        <w:b/>
      </w:rPr>
      <w:t>.</w:t>
    </w:r>
    <w:r w:rsidRPr="00107E15">
      <w:t xml:space="preserve"> Step </w:t>
    </w:r>
    <w:r>
      <w:t>2</w:t>
    </w:r>
    <w:r w:rsidRPr="00107E15">
      <w:t>.</w:t>
    </w:r>
    <w:r w:rsidR="004365D4">
      <w:t>Roadmap for CTP programme monitoring</w:t>
    </w:r>
    <w:r w:rsidR="00883DF9" w:rsidRPr="00883DF9">
      <w:fldChar w:fldCharType="begin"/>
    </w:r>
    <w:r w:rsidR="00B5241C">
      <w:instrText xml:space="preserve"> STYLEREF  H1 \t  \* MERGEFORMAT </w:instrText>
    </w:r>
    <w:r w:rsidR="00883DF9">
      <w:rPr>
        <w:bCs/>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8F" w:rsidRPr="00B45C74" w:rsidRDefault="00883DF9" w:rsidP="00B86DF2">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777F8F"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B831E6">
      <w:rPr>
        <w:b/>
        <w:noProof/>
        <w:color w:val="808080" w:themeColor="background1" w:themeShade="80"/>
        <w:sz w:val="18"/>
        <w:szCs w:val="18"/>
      </w:rPr>
      <w:t>1</w:t>
    </w:r>
    <w:r w:rsidRPr="00B45C74">
      <w:rPr>
        <w:b/>
        <w:color w:val="808080" w:themeColor="background1" w:themeShade="80"/>
        <w:sz w:val="18"/>
        <w:szCs w:val="18"/>
      </w:rPr>
      <w:fldChar w:fldCharType="end"/>
    </w:r>
  </w:p>
  <w:p w:rsidR="00777F8F" w:rsidRPr="00777F8F" w:rsidRDefault="00777F8F" w:rsidP="00B86DF2">
    <w:pPr>
      <w:pStyle w:val="Footer"/>
    </w:pPr>
    <w:r w:rsidRPr="00107E15">
      <w:rPr>
        <w:b/>
      </w:rPr>
      <w:t xml:space="preserve">Module </w:t>
    </w:r>
    <w:r>
      <w:rPr>
        <w:b/>
      </w:rPr>
      <w:t>5</w:t>
    </w:r>
    <w:r w:rsidRPr="00107E15">
      <w:rPr>
        <w:b/>
      </w:rPr>
      <w:t>.</w:t>
    </w:r>
    <w:r w:rsidRPr="00107E15">
      <w:t xml:space="preserve"> Step </w:t>
    </w:r>
    <w:r>
      <w:t>2</w:t>
    </w:r>
    <w:r w:rsidRPr="00107E15">
      <w:t>.</w:t>
    </w:r>
    <w:fldSimple w:instr=" STYLEREF  H1 \t  \* MERGEFORMAT ">
      <w:r w:rsidR="00B831E6" w:rsidRPr="00B831E6">
        <w:rPr>
          <w:bCs/>
          <w:noProof/>
          <w:rtl/>
        </w:rPr>
        <w:t>خارطة الطريق لرصد برامج التحويلات</w:t>
      </w:r>
      <w:r w:rsidR="00B831E6">
        <w:rPr>
          <w:noProof/>
          <w:rtl/>
        </w:rPr>
        <w:t xml:space="preserve"> النقدية</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E9B" w:rsidRDefault="00BE3E9B" w:rsidP="00856359">
      <w:r>
        <w:separator/>
      </w:r>
    </w:p>
  </w:footnote>
  <w:footnote w:type="continuationSeparator" w:id="1">
    <w:p w:rsidR="00BE3E9B" w:rsidRDefault="00BE3E9B" w:rsidP="00856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8F" w:rsidRPr="00074036" w:rsidRDefault="00777F8F" w:rsidP="00B86D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C9" w:rsidRPr="00823516" w:rsidRDefault="007353C9" w:rsidP="007353C9">
    <w:pPr>
      <w:pStyle w:val="H1"/>
      <w:bidi/>
      <w:rPr>
        <w:rFonts w:asciiTheme="majorBidi" w:hAnsiTheme="majorBidi" w:cstheme="majorBidi"/>
        <w:b w:val="0"/>
        <w:bCs/>
        <w:sz w:val="28"/>
        <w:szCs w:val="28"/>
      </w:rPr>
    </w:pPr>
    <w:r w:rsidRPr="00823516">
      <w:rPr>
        <w:rFonts w:asciiTheme="majorBidi" w:hAnsiTheme="majorBidi" w:cstheme="majorBidi"/>
        <w:b w:val="0"/>
        <w:bCs/>
        <w:noProof/>
        <w:sz w:val="28"/>
        <w:szCs w:val="28"/>
        <w:rtl/>
      </w:rPr>
      <w:drawing>
        <wp:anchor distT="0" distB="0" distL="114300" distR="114300" simplePos="0" relativeHeight="251660288" behindDoc="0" locked="0" layoutInCell="1" allowOverlap="1">
          <wp:simplePos x="0" y="0"/>
          <wp:positionH relativeFrom="column">
            <wp:posOffset>1956435</wp:posOffset>
          </wp:positionH>
          <wp:positionV relativeFrom="paragraph">
            <wp:posOffset>-196215</wp:posOffset>
          </wp:positionV>
          <wp:extent cx="2466975" cy="476250"/>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AR-300dpi.jp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2530" cy="474980"/>
                  </a:xfrm>
                  <a:prstGeom prst="rect">
                    <a:avLst/>
                  </a:prstGeom>
                </pic:spPr>
              </pic:pic>
            </a:graphicData>
          </a:graphic>
        </wp:anchor>
      </w:drawing>
    </w:r>
    <w:r w:rsidRPr="00823516">
      <w:rPr>
        <w:rFonts w:asciiTheme="majorBidi" w:hAnsiTheme="majorBidi" w:cstheme="majorBidi"/>
        <w:b w:val="0"/>
        <w:bCs/>
        <w:noProof/>
        <w:sz w:val="28"/>
        <w:szCs w:val="28"/>
        <w:rtl/>
      </w:rPr>
      <w:drawing>
        <wp:anchor distT="0" distB="0" distL="114300" distR="114300" simplePos="0" relativeHeight="251659264" behindDoc="0" locked="0" layoutInCell="1" allowOverlap="1">
          <wp:simplePos x="0" y="0"/>
          <wp:positionH relativeFrom="column">
            <wp:posOffset>5213985</wp:posOffset>
          </wp:positionH>
          <wp:positionV relativeFrom="paragraph">
            <wp:posOffset>-577215</wp:posOffset>
          </wp:positionV>
          <wp:extent cx="981075" cy="952500"/>
          <wp:effectExtent l="1905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1075" cy="952500"/>
                  </a:xfrm>
                  <a:prstGeom prst="rect">
                    <a:avLst/>
                  </a:prstGeom>
                </pic:spPr>
              </pic:pic>
            </a:graphicData>
          </a:graphic>
        </wp:anchor>
      </w:drawing>
    </w:r>
  </w:p>
  <w:p w:rsidR="007353C9" w:rsidRPr="00823516" w:rsidRDefault="007353C9" w:rsidP="007353C9">
    <w:pPr>
      <w:pStyle w:val="Header"/>
      <w:bidi/>
      <w:jc w:val="both"/>
      <w:rPr>
        <w:rFonts w:asciiTheme="majorBidi" w:hAnsiTheme="majorBidi" w:cstheme="majorBidi"/>
        <w:bCs/>
        <w:color w:val="DC281E"/>
        <w:sz w:val="28"/>
        <w:szCs w:val="28"/>
        <w:rtl/>
      </w:rPr>
    </w:pPr>
    <w:r w:rsidRPr="00823516">
      <w:rPr>
        <w:rFonts w:asciiTheme="majorBidi" w:hAnsiTheme="majorBidi" w:cstheme="majorBidi"/>
        <w:bCs/>
        <w:color w:val="DC281E"/>
        <w:sz w:val="28"/>
        <w:szCs w:val="28"/>
        <w:rtl/>
      </w:rPr>
      <w:t>مجموعة الأدوات المرتبطة بالتحويلات النقدية في حالات الطوارئ</w:t>
    </w:r>
  </w:p>
  <w:p w:rsidR="00777F8F" w:rsidRPr="007353C9" w:rsidRDefault="00777F8F" w:rsidP="007353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6B3"/>
    <w:multiLevelType w:val="hybridMultilevel"/>
    <w:tmpl w:val="19D8B6D8"/>
    <w:lvl w:ilvl="0" w:tplc="F8522D4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832A81"/>
    <w:multiLevelType w:val="hybridMultilevel"/>
    <w:tmpl w:val="8C70376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C3F96"/>
    <w:multiLevelType w:val="hybridMultilevel"/>
    <w:tmpl w:val="6342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52778"/>
    <w:multiLevelType w:val="hybridMultilevel"/>
    <w:tmpl w:val="E3885B7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39749F"/>
    <w:multiLevelType w:val="hybridMultilevel"/>
    <w:tmpl w:val="86D4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A1B0B"/>
    <w:multiLevelType w:val="hybridMultilevel"/>
    <w:tmpl w:val="6BDAFA3A"/>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5357B"/>
    <w:multiLevelType w:val="hybridMultilevel"/>
    <w:tmpl w:val="C110226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5EDE34A0"/>
    <w:multiLevelType w:val="hybridMultilevel"/>
    <w:tmpl w:val="36BE8BD8"/>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0D2C1B"/>
    <w:multiLevelType w:val="hybridMultilevel"/>
    <w:tmpl w:val="739C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5F60DA"/>
    <w:multiLevelType w:val="hybridMultilevel"/>
    <w:tmpl w:val="B342900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DE4C26"/>
    <w:multiLevelType w:val="hybridMultilevel"/>
    <w:tmpl w:val="2DD0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5"/>
  </w:num>
  <w:num w:numId="5">
    <w:abstractNumId w:val="7"/>
  </w:num>
  <w:num w:numId="6">
    <w:abstractNumId w:val="2"/>
  </w:num>
  <w:num w:numId="7">
    <w:abstractNumId w:val="15"/>
  </w:num>
  <w:num w:numId="8">
    <w:abstractNumId w:val="12"/>
  </w:num>
  <w:num w:numId="9">
    <w:abstractNumId w:val="8"/>
  </w:num>
  <w:num w:numId="10">
    <w:abstractNumId w:val="16"/>
  </w:num>
  <w:num w:numId="11">
    <w:abstractNumId w:val="1"/>
  </w:num>
  <w:num w:numId="12">
    <w:abstractNumId w:val="9"/>
  </w:num>
  <w:num w:numId="13">
    <w:abstractNumId w:val="3"/>
  </w:num>
  <w:num w:numId="14">
    <w:abstractNumId w:val="10"/>
  </w:num>
  <w:num w:numId="15">
    <w:abstractNumId w:val="14"/>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82"/>
  </w:hdrShapeDefaults>
  <w:footnotePr>
    <w:footnote w:id="0"/>
    <w:footnote w:id="1"/>
  </w:footnotePr>
  <w:endnotePr>
    <w:endnote w:id="0"/>
    <w:endnote w:id="1"/>
  </w:endnotePr>
  <w:compat>
    <w:useFELayout/>
  </w:compat>
  <w:rsids>
    <w:rsidRoot w:val="004C52E9"/>
    <w:rsid w:val="00034F36"/>
    <w:rsid w:val="00047584"/>
    <w:rsid w:val="00080E80"/>
    <w:rsid w:val="000840F0"/>
    <w:rsid w:val="00096260"/>
    <w:rsid w:val="000A3581"/>
    <w:rsid w:val="000A52DE"/>
    <w:rsid w:val="000C4838"/>
    <w:rsid w:val="000D21AA"/>
    <w:rsid w:val="000D28A3"/>
    <w:rsid w:val="000E7ED9"/>
    <w:rsid w:val="00120D3D"/>
    <w:rsid w:val="0012368C"/>
    <w:rsid w:val="001528FF"/>
    <w:rsid w:val="00163084"/>
    <w:rsid w:val="00176173"/>
    <w:rsid w:val="001D38F6"/>
    <w:rsid w:val="001D47AC"/>
    <w:rsid w:val="00224E5D"/>
    <w:rsid w:val="00225E6F"/>
    <w:rsid w:val="00231451"/>
    <w:rsid w:val="00240388"/>
    <w:rsid w:val="00302997"/>
    <w:rsid w:val="00321046"/>
    <w:rsid w:val="00337FD9"/>
    <w:rsid w:val="00342368"/>
    <w:rsid w:val="00344B00"/>
    <w:rsid w:val="00380258"/>
    <w:rsid w:val="00396E85"/>
    <w:rsid w:val="003B701F"/>
    <w:rsid w:val="003E18BA"/>
    <w:rsid w:val="003E6930"/>
    <w:rsid w:val="004365D4"/>
    <w:rsid w:val="00450B02"/>
    <w:rsid w:val="0047617F"/>
    <w:rsid w:val="004854C5"/>
    <w:rsid w:val="004B3598"/>
    <w:rsid w:val="004C2085"/>
    <w:rsid w:val="004C52E9"/>
    <w:rsid w:val="004E32BA"/>
    <w:rsid w:val="004E51B4"/>
    <w:rsid w:val="005022E2"/>
    <w:rsid w:val="0050497D"/>
    <w:rsid w:val="00516128"/>
    <w:rsid w:val="00545B6F"/>
    <w:rsid w:val="005556BC"/>
    <w:rsid w:val="005608DC"/>
    <w:rsid w:val="005904A1"/>
    <w:rsid w:val="005B622B"/>
    <w:rsid w:val="006A4BE4"/>
    <w:rsid w:val="007252A3"/>
    <w:rsid w:val="007353C9"/>
    <w:rsid w:val="00777F8F"/>
    <w:rsid w:val="00786633"/>
    <w:rsid w:val="00817D9D"/>
    <w:rsid w:val="00821DEB"/>
    <w:rsid w:val="00852B7E"/>
    <w:rsid w:val="00856359"/>
    <w:rsid w:val="00861169"/>
    <w:rsid w:val="008659AA"/>
    <w:rsid w:val="00875277"/>
    <w:rsid w:val="00877580"/>
    <w:rsid w:val="00883DF9"/>
    <w:rsid w:val="008C25AC"/>
    <w:rsid w:val="008E6C72"/>
    <w:rsid w:val="00905303"/>
    <w:rsid w:val="00911F5B"/>
    <w:rsid w:val="009339AA"/>
    <w:rsid w:val="00940F51"/>
    <w:rsid w:val="00947F4B"/>
    <w:rsid w:val="00965814"/>
    <w:rsid w:val="00981F30"/>
    <w:rsid w:val="0099744D"/>
    <w:rsid w:val="00997829"/>
    <w:rsid w:val="009A30DE"/>
    <w:rsid w:val="009A7B9C"/>
    <w:rsid w:val="009D3149"/>
    <w:rsid w:val="009F0D7B"/>
    <w:rsid w:val="00A06E88"/>
    <w:rsid w:val="00A5265D"/>
    <w:rsid w:val="00A81216"/>
    <w:rsid w:val="00A90EFE"/>
    <w:rsid w:val="00AA3239"/>
    <w:rsid w:val="00AB121E"/>
    <w:rsid w:val="00AC6B12"/>
    <w:rsid w:val="00AF6C8D"/>
    <w:rsid w:val="00B20E72"/>
    <w:rsid w:val="00B2352D"/>
    <w:rsid w:val="00B25C68"/>
    <w:rsid w:val="00B42CAC"/>
    <w:rsid w:val="00B51090"/>
    <w:rsid w:val="00B5241C"/>
    <w:rsid w:val="00B52CEB"/>
    <w:rsid w:val="00B831E6"/>
    <w:rsid w:val="00B86DF2"/>
    <w:rsid w:val="00BE3E9B"/>
    <w:rsid w:val="00C03D1F"/>
    <w:rsid w:val="00C152DD"/>
    <w:rsid w:val="00C63FE5"/>
    <w:rsid w:val="00C9482C"/>
    <w:rsid w:val="00CB0622"/>
    <w:rsid w:val="00CB359C"/>
    <w:rsid w:val="00D20B0F"/>
    <w:rsid w:val="00D350EB"/>
    <w:rsid w:val="00D52366"/>
    <w:rsid w:val="00D77A5A"/>
    <w:rsid w:val="00DA6833"/>
    <w:rsid w:val="00DB443D"/>
    <w:rsid w:val="00DB4488"/>
    <w:rsid w:val="00DB624D"/>
    <w:rsid w:val="00DE614B"/>
    <w:rsid w:val="00DE62EA"/>
    <w:rsid w:val="00DF3782"/>
    <w:rsid w:val="00DF5890"/>
    <w:rsid w:val="00E03537"/>
    <w:rsid w:val="00E0766A"/>
    <w:rsid w:val="00E4439B"/>
    <w:rsid w:val="00E5017E"/>
    <w:rsid w:val="00E92E7F"/>
    <w:rsid w:val="00E96EDD"/>
    <w:rsid w:val="00EB3851"/>
    <w:rsid w:val="00EC4890"/>
    <w:rsid w:val="00EC6148"/>
    <w:rsid w:val="00EE1DEE"/>
    <w:rsid w:val="00EE3B0C"/>
    <w:rsid w:val="00F3480F"/>
    <w:rsid w:val="00FA236F"/>
    <w:rsid w:val="00FA289C"/>
    <w:rsid w:val="00FA76ED"/>
    <w:rsid w:val="00FE1BDD"/>
    <w:rsid w:val="00FE3963"/>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60"/>
    <w:pPr>
      <w:spacing w:after="120"/>
      <w:jc w:val="both"/>
    </w:pPr>
    <w:rPr>
      <w:rFonts w:ascii="Arial" w:hAnsi="Arial" w:cs="Times New Roman"/>
    </w:rPr>
  </w:style>
  <w:style w:type="paragraph" w:styleId="Heading1">
    <w:name w:val="heading 1"/>
    <w:basedOn w:val="H1"/>
    <w:next w:val="Normal"/>
    <w:link w:val="Heading1Char"/>
    <w:uiPriority w:val="9"/>
    <w:rsid w:val="00096260"/>
  </w:style>
  <w:style w:type="paragraph" w:styleId="Heading2">
    <w:name w:val="heading 2"/>
    <w:basedOn w:val="Normal"/>
    <w:next w:val="Normal"/>
    <w:link w:val="Heading2Char"/>
    <w:uiPriority w:val="9"/>
    <w:unhideWhenUsed/>
    <w:qFormat/>
    <w:rsid w:val="00096260"/>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96260"/>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6260"/>
    <w:pPr>
      <w:spacing w:after="240"/>
      <w:ind w:left="720"/>
      <w:contextualSpacing/>
    </w:pPr>
    <w:rPr>
      <w:rFonts w:eastAsiaTheme="minorHAnsi" w:cstheme="minorBidi"/>
      <w:szCs w:val="22"/>
    </w:rPr>
  </w:style>
  <w:style w:type="table" w:styleId="TableGrid">
    <w:name w:val="Table Grid"/>
    <w:basedOn w:val="TableNormal"/>
    <w:uiPriority w:val="59"/>
    <w:rsid w:val="00096260"/>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26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260"/>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6260"/>
    <w:rPr>
      <w:sz w:val="18"/>
      <w:szCs w:val="18"/>
    </w:rPr>
  </w:style>
  <w:style w:type="paragraph" w:styleId="CommentText">
    <w:name w:val="annotation text"/>
    <w:basedOn w:val="Normal"/>
    <w:link w:val="CommentTextChar"/>
    <w:uiPriority w:val="99"/>
    <w:semiHidden/>
    <w:unhideWhenUsed/>
    <w:rsid w:val="00A81216"/>
  </w:style>
  <w:style w:type="character" w:customStyle="1" w:styleId="CommentTextChar">
    <w:name w:val="Comment Text Char"/>
    <w:basedOn w:val="DefaultParagraphFont"/>
    <w:link w:val="CommentText"/>
    <w:uiPriority w:val="99"/>
    <w:semiHidden/>
    <w:rsid w:val="00A81216"/>
    <w:rPr>
      <w:lang w:val="en-GB"/>
    </w:rPr>
  </w:style>
  <w:style w:type="paragraph" w:styleId="CommentSubject">
    <w:name w:val="annotation subject"/>
    <w:basedOn w:val="Normal"/>
    <w:link w:val="CommentSubjectChar"/>
    <w:uiPriority w:val="99"/>
    <w:semiHidden/>
    <w:unhideWhenUsed/>
    <w:rsid w:val="00096260"/>
    <w:rPr>
      <w:b/>
      <w:bCs/>
    </w:rPr>
  </w:style>
  <w:style w:type="character" w:customStyle="1" w:styleId="CommentSubjectChar">
    <w:name w:val="Comment Subject Char"/>
    <w:basedOn w:val="DefaultParagraphFont"/>
    <w:link w:val="CommentSubject"/>
    <w:uiPriority w:val="99"/>
    <w:semiHidden/>
    <w:rsid w:val="00096260"/>
    <w:rPr>
      <w:rFonts w:ascii="Arial" w:hAnsi="Arial" w:cs="Times New Roman"/>
      <w:b/>
      <w:bCs/>
    </w:rPr>
  </w:style>
  <w:style w:type="paragraph" w:customStyle="1" w:styleId="Default">
    <w:name w:val="Default"/>
    <w:rsid w:val="00096260"/>
    <w:pPr>
      <w:widowControl w:val="0"/>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096260"/>
    <w:pPr>
      <w:spacing w:after="0"/>
    </w:pPr>
    <w:rPr>
      <w:sz w:val="16"/>
      <w:szCs w:val="22"/>
    </w:rPr>
  </w:style>
  <w:style w:type="character" w:customStyle="1" w:styleId="FootnoteTextChar">
    <w:name w:val="Footnote Text Char"/>
    <w:basedOn w:val="DefaultParagraphFont"/>
    <w:link w:val="FootnoteText"/>
    <w:uiPriority w:val="99"/>
    <w:rsid w:val="00096260"/>
    <w:rPr>
      <w:rFonts w:ascii="Arial" w:hAnsi="Arial" w:cs="Times New Roman"/>
      <w:sz w:val="16"/>
      <w:szCs w:val="22"/>
    </w:rPr>
  </w:style>
  <w:style w:type="character" w:styleId="FootnoteReference">
    <w:name w:val="footnote reference"/>
    <w:basedOn w:val="DefaultParagraphFont"/>
    <w:uiPriority w:val="99"/>
    <w:unhideWhenUsed/>
    <w:rsid w:val="00096260"/>
    <w:rPr>
      <w:vertAlign w:val="superscript"/>
    </w:rPr>
  </w:style>
  <w:style w:type="character" w:customStyle="1" w:styleId="ListParagraphChar">
    <w:name w:val="List Paragraph Char"/>
    <w:basedOn w:val="DefaultParagraphFont"/>
    <w:link w:val="ListParagraph"/>
    <w:uiPriority w:val="34"/>
    <w:rsid w:val="00096260"/>
    <w:rPr>
      <w:rFonts w:ascii="Arial" w:eastAsiaTheme="minorHAnsi" w:hAnsi="Arial" w:cstheme="minorBidi"/>
      <w:szCs w:val="22"/>
    </w:rPr>
  </w:style>
  <w:style w:type="paragraph" w:styleId="Header">
    <w:name w:val="header"/>
    <w:basedOn w:val="Normal"/>
    <w:link w:val="HeaderChar"/>
    <w:uiPriority w:val="99"/>
    <w:unhideWhenUsed/>
    <w:rsid w:val="00096260"/>
    <w:pPr>
      <w:spacing w:after="0" w:line="288" w:lineRule="auto"/>
      <w:jc w:val="left"/>
    </w:pPr>
    <w:rPr>
      <w:sz w:val="16"/>
    </w:rPr>
  </w:style>
  <w:style w:type="character" w:customStyle="1" w:styleId="HeaderChar">
    <w:name w:val="Header Char"/>
    <w:basedOn w:val="DefaultParagraphFont"/>
    <w:link w:val="Header"/>
    <w:uiPriority w:val="99"/>
    <w:rsid w:val="00096260"/>
    <w:rPr>
      <w:rFonts w:ascii="Arial" w:hAnsi="Arial" w:cs="Times New Roman"/>
      <w:sz w:val="16"/>
    </w:rPr>
  </w:style>
  <w:style w:type="paragraph" w:styleId="Footer">
    <w:name w:val="footer"/>
    <w:basedOn w:val="Normal"/>
    <w:link w:val="FooterChar"/>
    <w:uiPriority w:val="99"/>
    <w:unhideWhenUsed/>
    <w:rsid w:val="00096260"/>
    <w:pPr>
      <w:spacing w:after="0"/>
      <w:jc w:val="left"/>
    </w:pPr>
    <w:rPr>
      <w:sz w:val="16"/>
      <w:szCs w:val="18"/>
    </w:rPr>
  </w:style>
  <w:style w:type="character" w:customStyle="1" w:styleId="FooterChar">
    <w:name w:val="Footer Char"/>
    <w:basedOn w:val="DefaultParagraphFont"/>
    <w:link w:val="Footer"/>
    <w:uiPriority w:val="99"/>
    <w:rsid w:val="00096260"/>
    <w:rPr>
      <w:rFonts w:ascii="Arial" w:hAnsi="Arial" w:cs="Times New Roman"/>
      <w:sz w:val="16"/>
      <w:szCs w:val="18"/>
    </w:rPr>
  </w:style>
  <w:style w:type="character" w:customStyle="1" w:styleId="Heading1Char">
    <w:name w:val="Heading 1 Char"/>
    <w:basedOn w:val="DefaultParagraphFont"/>
    <w:link w:val="Heading1"/>
    <w:uiPriority w:val="9"/>
    <w:rsid w:val="00096260"/>
    <w:rPr>
      <w:rFonts w:ascii="Arial" w:hAnsi="Arial" w:cs="Times New Roman"/>
      <w:b/>
      <w:sz w:val="40"/>
      <w:szCs w:val="52"/>
    </w:rPr>
  </w:style>
  <w:style w:type="character" w:customStyle="1" w:styleId="Heading2Char">
    <w:name w:val="Heading 2 Char"/>
    <w:basedOn w:val="DefaultParagraphFont"/>
    <w:link w:val="Heading2"/>
    <w:uiPriority w:val="9"/>
    <w:rsid w:val="00096260"/>
    <w:rPr>
      <w:rFonts w:ascii="Arial" w:hAnsi="Arial" w:cs="Times New Roman"/>
      <w:b/>
      <w:caps/>
      <w:sz w:val="24"/>
      <w:szCs w:val="26"/>
    </w:rPr>
  </w:style>
  <w:style w:type="character" w:customStyle="1" w:styleId="Heading3Char">
    <w:name w:val="Heading 3 Char"/>
    <w:basedOn w:val="DefaultParagraphFont"/>
    <w:link w:val="Heading3"/>
    <w:uiPriority w:val="9"/>
    <w:rsid w:val="00096260"/>
    <w:rPr>
      <w:rFonts w:ascii="Arial" w:hAnsi="Arial" w:cs="Times New Roman"/>
      <w:b/>
      <w:sz w:val="22"/>
      <w:szCs w:val="24"/>
    </w:rPr>
  </w:style>
  <w:style w:type="character" w:styleId="PageNumber">
    <w:name w:val="page number"/>
    <w:basedOn w:val="DefaultParagraphFont"/>
    <w:uiPriority w:val="99"/>
    <w:unhideWhenUsed/>
    <w:rsid w:val="00096260"/>
    <w:rPr>
      <w:b/>
    </w:rPr>
  </w:style>
  <w:style w:type="character" w:styleId="Hyperlink">
    <w:name w:val="Hyperlink"/>
    <w:basedOn w:val="DefaultParagraphFont"/>
    <w:uiPriority w:val="99"/>
    <w:unhideWhenUsed/>
    <w:rsid w:val="00096260"/>
    <w:rPr>
      <w:color w:val="0000FF" w:themeColor="hyperlink"/>
      <w:u w:val="single"/>
    </w:rPr>
  </w:style>
  <w:style w:type="character" w:styleId="FollowedHyperlink">
    <w:name w:val="FollowedHyperlink"/>
    <w:basedOn w:val="DefaultParagraphFont"/>
    <w:uiPriority w:val="99"/>
    <w:semiHidden/>
    <w:unhideWhenUsed/>
    <w:rsid w:val="00096260"/>
    <w:rPr>
      <w:color w:val="800080" w:themeColor="followedHyperlink"/>
      <w:u w:val="single"/>
    </w:rPr>
  </w:style>
  <w:style w:type="paragraph" w:styleId="Revision">
    <w:name w:val="Revision"/>
    <w:hidden/>
    <w:uiPriority w:val="99"/>
    <w:semiHidden/>
    <w:rsid w:val="00096260"/>
    <w:rPr>
      <w:rFonts w:ascii="Arial" w:hAnsi="Arial" w:cs="Arial"/>
      <w:sz w:val="21"/>
      <w:szCs w:val="21"/>
    </w:rPr>
  </w:style>
  <w:style w:type="paragraph" w:customStyle="1" w:styleId="BasicParagraph">
    <w:name w:val="[Basic Paragraph]"/>
    <w:basedOn w:val="Normal"/>
    <w:uiPriority w:val="99"/>
    <w:rsid w:val="00096260"/>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96260"/>
    <w:pPr>
      <w:spacing w:before="360" w:after="240"/>
      <w:jc w:val="left"/>
      <w:outlineLvl w:val="0"/>
    </w:pPr>
    <w:rPr>
      <w:b/>
      <w:sz w:val="40"/>
      <w:szCs w:val="52"/>
    </w:rPr>
  </w:style>
  <w:style w:type="paragraph" w:customStyle="1" w:styleId="Bullet1">
    <w:name w:val="Bullet 1"/>
    <w:basedOn w:val="Normal"/>
    <w:rsid w:val="00096260"/>
    <w:pPr>
      <w:numPr>
        <w:numId w:val="13"/>
      </w:numPr>
      <w:spacing w:before="60"/>
    </w:pPr>
    <w:rPr>
      <w:rFonts w:eastAsia="Times New Roman"/>
      <w:color w:val="000000"/>
    </w:rPr>
  </w:style>
  <w:style w:type="paragraph" w:customStyle="1" w:styleId="RefItem1">
    <w:name w:val="Ref Item 1"/>
    <w:basedOn w:val="Normal"/>
    <w:rsid w:val="00096260"/>
    <w:pPr>
      <w:jc w:val="left"/>
    </w:pPr>
    <w:rPr>
      <w:color w:val="000000"/>
      <w:szCs w:val="24"/>
      <w:lang w:eastAsia="it-IT"/>
    </w:rPr>
  </w:style>
  <w:style w:type="paragraph" w:customStyle="1" w:styleId="RefTitre">
    <w:name w:val="Ref Titre"/>
    <w:basedOn w:val="Normal"/>
    <w:rsid w:val="00096260"/>
    <w:pPr>
      <w:jc w:val="left"/>
    </w:pPr>
    <w:rPr>
      <w:rFonts w:eastAsia="Times New Roman"/>
      <w:b/>
      <w:bCs/>
      <w:sz w:val="26"/>
      <w:szCs w:val="26"/>
    </w:rPr>
  </w:style>
  <w:style w:type="paragraph" w:customStyle="1" w:styleId="Header1">
    <w:name w:val="Header 1"/>
    <w:basedOn w:val="Header"/>
    <w:rsid w:val="00096260"/>
    <w:rPr>
      <w:b/>
      <w:sz w:val="24"/>
      <w:szCs w:val="24"/>
    </w:rPr>
  </w:style>
  <w:style w:type="character" w:customStyle="1" w:styleId="Pantone485">
    <w:name w:val="Pantone 485"/>
    <w:basedOn w:val="DefaultParagraphFont"/>
    <w:uiPriority w:val="1"/>
    <w:qFormat/>
    <w:rsid w:val="00096260"/>
    <w:rPr>
      <w:rFonts w:cs="Caecilia-Light"/>
      <w:color w:val="DC281E"/>
      <w:szCs w:val="16"/>
    </w:rPr>
  </w:style>
  <w:style w:type="character" w:customStyle="1" w:styleId="H1Char">
    <w:name w:val="H1 Char"/>
    <w:basedOn w:val="DefaultParagraphFont"/>
    <w:link w:val="H1"/>
    <w:rsid w:val="00096260"/>
    <w:rPr>
      <w:rFonts w:ascii="Arial" w:hAnsi="Arial" w:cs="Times New Roman"/>
      <w:b/>
      <w:sz w:val="40"/>
      <w:szCs w:val="52"/>
    </w:rPr>
  </w:style>
  <w:style w:type="table" w:customStyle="1" w:styleId="TableGray">
    <w:name w:val="Table Gray"/>
    <w:basedOn w:val="TableNormal"/>
    <w:uiPriority w:val="99"/>
    <w:rsid w:val="00096260"/>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96260"/>
    <w:pPr>
      <w:numPr>
        <w:numId w:val="14"/>
      </w:numPr>
      <w:spacing w:before="120" w:after="120"/>
      <w:contextualSpacing w:val="0"/>
    </w:pPr>
    <w:rPr>
      <w:rFonts w:eastAsia="Cambria" w:cs="Arial"/>
    </w:rPr>
  </w:style>
  <w:style w:type="paragraph" w:customStyle="1" w:styleId="ListNumber1">
    <w:name w:val="List Number 1"/>
    <w:basedOn w:val="Normal"/>
    <w:rsid w:val="00096260"/>
    <w:pPr>
      <w:numPr>
        <w:ilvl w:val="1"/>
        <w:numId w:val="11"/>
      </w:numPr>
      <w:contextualSpacing/>
    </w:pPr>
    <w:rPr>
      <w:rFonts w:eastAsiaTheme="minorHAnsi" w:cstheme="minorHAnsi"/>
      <w:szCs w:val="22"/>
    </w:rPr>
  </w:style>
  <w:style w:type="paragraph" w:customStyle="1" w:styleId="NormalNo">
    <w:name w:val="Normal + No"/>
    <w:basedOn w:val="Normal"/>
    <w:qFormat/>
    <w:rsid w:val="00096260"/>
    <w:pPr>
      <w:numPr>
        <w:numId w:val="12"/>
      </w:numPr>
    </w:pPr>
    <w:rPr>
      <w:rFonts w:eastAsia="MS Mincho"/>
      <w:b/>
      <w:sz w:val="22"/>
    </w:rPr>
  </w:style>
  <w:style w:type="paragraph" w:customStyle="1" w:styleId="Bullet3">
    <w:name w:val="Bullet 3"/>
    <w:basedOn w:val="ListParagraph"/>
    <w:qFormat/>
    <w:rsid w:val="00096260"/>
    <w:pPr>
      <w:numPr>
        <w:numId w:val="15"/>
      </w:numPr>
      <w:spacing w:before="120" w:after="120"/>
      <w:ind w:right="425"/>
    </w:pPr>
    <w:rPr>
      <w:rFonts w:cs="Arial"/>
      <w:i/>
      <w:iCs/>
    </w:rPr>
  </w:style>
  <w:style w:type="paragraph" w:customStyle="1" w:styleId="Indent">
    <w:name w:val="Indent"/>
    <w:basedOn w:val="Normal"/>
    <w:qFormat/>
    <w:rsid w:val="00096260"/>
    <w:pPr>
      <w:ind w:left="567"/>
    </w:pPr>
    <w:rPr>
      <w:rFonts w:cs="Arial"/>
      <w:b/>
    </w:rPr>
  </w:style>
  <w:style w:type="paragraph" w:customStyle="1" w:styleId="TitreTableau">
    <w:name w:val="Titre Tableau"/>
    <w:basedOn w:val="Normal"/>
    <w:qFormat/>
    <w:rsid w:val="00096260"/>
    <w:pPr>
      <w:spacing w:before="120"/>
      <w:jc w:val="center"/>
    </w:pPr>
    <w:rPr>
      <w:rFonts w:cs="Arial"/>
      <w:b/>
      <w:bCs/>
      <w:color w:val="FFFFFF" w:themeColor="background1"/>
      <w:lang w:val="en-CA"/>
    </w:rPr>
  </w:style>
  <w:style w:type="paragraph" w:customStyle="1" w:styleId="BulletTableau">
    <w:name w:val="Bullet Tableau"/>
    <w:basedOn w:val="Bullet2"/>
    <w:qFormat/>
    <w:rsid w:val="00096260"/>
    <w:pPr>
      <w:keepNext/>
      <w:keepLines/>
      <w:framePr w:hSpace="141" w:wrap="around" w:vAnchor="text" w:hAnchor="margin" w:y="402"/>
      <w:numPr>
        <w:numId w:val="16"/>
      </w:numPr>
      <w:spacing w:beforeLines="60" w:afterLines="20"/>
    </w:pPr>
  </w:style>
</w:styles>
</file>

<file path=word/webSettings.xml><?xml version="1.0" encoding="utf-8"?>
<w:webSettings xmlns:r="http://schemas.openxmlformats.org/officeDocument/2006/relationships" xmlns:w="http://schemas.openxmlformats.org/wordprocessingml/2006/main">
  <w:divs>
    <w:div w:id="442115531">
      <w:bodyDiv w:val="1"/>
      <w:marLeft w:val="0"/>
      <w:marRight w:val="0"/>
      <w:marTop w:val="0"/>
      <w:marBottom w:val="0"/>
      <w:divBdr>
        <w:top w:val="none" w:sz="0" w:space="0" w:color="auto"/>
        <w:left w:val="none" w:sz="0" w:space="0" w:color="auto"/>
        <w:bottom w:val="none" w:sz="0" w:space="0" w:color="auto"/>
        <w:right w:val="none" w:sz="0" w:space="0" w:color="auto"/>
      </w:divBdr>
    </w:div>
    <w:div w:id="1083917192">
      <w:bodyDiv w:val="1"/>
      <w:marLeft w:val="0"/>
      <w:marRight w:val="0"/>
      <w:marTop w:val="0"/>
      <w:marBottom w:val="0"/>
      <w:divBdr>
        <w:top w:val="none" w:sz="0" w:space="0" w:color="auto"/>
        <w:left w:val="none" w:sz="0" w:space="0" w:color="auto"/>
        <w:bottom w:val="none" w:sz="0" w:space="0" w:color="auto"/>
        <w:right w:val="none" w:sz="0" w:space="0" w:color="auto"/>
      </w:divBdr>
    </w:div>
    <w:div w:id="1513715553">
      <w:bodyDiv w:val="1"/>
      <w:marLeft w:val="0"/>
      <w:marRight w:val="0"/>
      <w:marTop w:val="0"/>
      <w:marBottom w:val="0"/>
      <w:divBdr>
        <w:top w:val="none" w:sz="0" w:space="0" w:color="auto"/>
        <w:left w:val="none" w:sz="0" w:space="0" w:color="auto"/>
        <w:bottom w:val="none" w:sz="0" w:space="0" w:color="auto"/>
        <w:right w:val="none" w:sz="0" w:space="0" w:color="auto"/>
      </w:divBdr>
    </w:div>
    <w:div w:id="1699969872">
      <w:bodyDiv w:val="1"/>
      <w:marLeft w:val="0"/>
      <w:marRight w:val="0"/>
      <w:marTop w:val="0"/>
      <w:marBottom w:val="0"/>
      <w:divBdr>
        <w:top w:val="none" w:sz="0" w:space="0" w:color="auto"/>
        <w:left w:val="none" w:sz="0" w:space="0" w:color="auto"/>
        <w:bottom w:val="none" w:sz="0" w:space="0" w:color="auto"/>
        <w:right w:val="none" w:sz="0" w:space="0" w:color="auto"/>
      </w:divBdr>
    </w:div>
    <w:div w:id="1741907645">
      <w:bodyDiv w:val="1"/>
      <w:marLeft w:val="0"/>
      <w:marRight w:val="0"/>
      <w:marTop w:val="0"/>
      <w:marBottom w:val="0"/>
      <w:divBdr>
        <w:top w:val="none" w:sz="0" w:space="0" w:color="auto"/>
        <w:left w:val="none" w:sz="0" w:space="0" w:color="auto"/>
        <w:bottom w:val="none" w:sz="0" w:space="0" w:color="auto"/>
        <w:right w:val="none" w:sz="0" w:space="0" w:color="auto"/>
      </w:divBdr>
    </w:div>
    <w:div w:id="1775904278">
      <w:bodyDiv w:val="1"/>
      <w:marLeft w:val="0"/>
      <w:marRight w:val="0"/>
      <w:marTop w:val="0"/>
      <w:marBottom w:val="0"/>
      <w:divBdr>
        <w:top w:val="none" w:sz="0" w:space="0" w:color="auto"/>
        <w:left w:val="none" w:sz="0" w:space="0" w:color="auto"/>
        <w:bottom w:val="none" w:sz="0" w:space="0" w:color="auto"/>
        <w:right w:val="none" w:sz="0" w:space="0" w:color="auto"/>
      </w:divBdr>
    </w:div>
    <w:div w:id="1790930764">
      <w:bodyDiv w:val="1"/>
      <w:marLeft w:val="0"/>
      <w:marRight w:val="0"/>
      <w:marTop w:val="0"/>
      <w:marBottom w:val="0"/>
      <w:divBdr>
        <w:top w:val="none" w:sz="0" w:space="0" w:color="auto"/>
        <w:left w:val="none" w:sz="0" w:space="0" w:color="auto"/>
        <w:bottom w:val="none" w:sz="0" w:space="0" w:color="auto"/>
        <w:right w:val="none" w:sz="0" w:space="0" w:color="auto"/>
      </w:divBdr>
    </w:div>
    <w:div w:id="1836843053">
      <w:bodyDiv w:val="1"/>
      <w:marLeft w:val="0"/>
      <w:marRight w:val="0"/>
      <w:marTop w:val="0"/>
      <w:marBottom w:val="0"/>
      <w:divBdr>
        <w:top w:val="none" w:sz="0" w:space="0" w:color="auto"/>
        <w:left w:val="none" w:sz="0" w:space="0" w:color="auto"/>
        <w:bottom w:val="none" w:sz="0" w:space="0" w:color="auto"/>
        <w:right w:val="none" w:sz="0" w:space="0" w:color="auto"/>
      </w:divBdr>
    </w:div>
    <w:div w:id="1940747437">
      <w:bodyDiv w:val="1"/>
      <w:marLeft w:val="0"/>
      <w:marRight w:val="0"/>
      <w:marTop w:val="0"/>
      <w:marBottom w:val="0"/>
      <w:divBdr>
        <w:top w:val="none" w:sz="0" w:space="0" w:color="auto"/>
        <w:left w:val="none" w:sz="0" w:space="0" w:color="auto"/>
        <w:bottom w:val="none" w:sz="0" w:space="0" w:color="auto"/>
        <w:right w:val="none" w:sz="0" w:space="0" w:color="auto"/>
      </w:divBdr>
    </w:div>
    <w:div w:id="2071808746">
      <w:bodyDiv w:val="1"/>
      <w:marLeft w:val="0"/>
      <w:marRight w:val="0"/>
      <w:marTop w:val="0"/>
      <w:marBottom w:val="0"/>
      <w:divBdr>
        <w:top w:val="none" w:sz="0" w:space="0" w:color="auto"/>
        <w:left w:val="none" w:sz="0" w:space="0" w:color="auto"/>
        <w:bottom w:val="none" w:sz="0" w:space="0" w:color="auto"/>
        <w:right w:val="none" w:sz="0" w:space="0" w:color="auto"/>
      </w:divBdr>
    </w:div>
    <w:div w:id="2108651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ileadmin/user_upload/wa_workshop/docs/FAO-guidelines-dietary-diversity201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3</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5027</CharactersWithSpaces>
  <SharedDoc>false</SharedDoc>
  <HLinks>
    <vt:vector size="6" baseType="variant">
      <vt:variant>
        <vt:i4>3670066</vt:i4>
      </vt:variant>
      <vt:variant>
        <vt:i4>0</vt:i4>
      </vt:variant>
      <vt:variant>
        <vt:i4>0</vt:i4>
      </vt:variant>
      <vt:variant>
        <vt:i4>5</vt:i4>
      </vt:variant>
      <vt:variant>
        <vt:lpwstr>http://www.fao.org/fileadmin/user_upload/wa_workshop/docs/FAO-guidelines-dietary-diversity2011.pdf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joelle</cp:lastModifiedBy>
  <cp:revision>5</cp:revision>
  <cp:lastPrinted>2015-10-13T16:04:00Z</cp:lastPrinted>
  <dcterms:created xsi:type="dcterms:W3CDTF">2016-02-05T11:08:00Z</dcterms:created>
  <dcterms:modified xsi:type="dcterms:W3CDTF">2016-02-20T11:20:00Z</dcterms:modified>
</cp:coreProperties>
</file>