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BF" w:rsidRDefault="00D75EBF" w:rsidP="00D75EBF">
      <w:pPr>
        <w:bidi/>
        <w:jc w:val="center"/>
        <w:rPr>
          <w:rFonts w:asciiTheme="majorBidi" w:hAnsiTheme="majorBidi" w:cstheme="majorBidi"/>
          <w:b/>
          <w:bCs/>
          <w:sz w:val="28"/>
          <w:szCs w:val="28"/>
        </w:rPr>
      </w:pPr>
      <w:r>
        <w:rPr>
          <w:rFonts w:asciiTheme="majorBidi" w:hAnsiTheme="majorBidi" w:cstheme="majorBidi"/>
          <w:b/>
          <w:bCs/>
          <w:sz w:val="28"/>
          <w:szCs w:val="28"/>
          <w:rtl/>
        </w:rPr>
        <w:t>خارطة الطريق لتقييم برامج التحويلات النقدية</w:t>
      </w:r>
    </w:p>
    <w:p w:rsidR="00474FD4" w:rsidRPr="00474FD4" w:rsidRDefault="00D32AC5" w:rsidP="00474FD4">
      <w:pPr>
        <w:pStyle w:val="H1"/>
        <w:ind w:left="-170"/>
        <w:rPr>
          <w:rFonts w:ascii="Arial Bold" w:hAnsi="Arial Bold"/>
          <w:sz w:val="20"/>
          <w:lang w:eastAsia="ko-KR"/>
        </w:rPr>
      </w:pPr>
      <w:r>
        <w:rPr>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119.5pt;mso-position-vertical:absolute">
            <v:imagedata r:id="rId7" o:title="05-Monitoring_Evaluation-rodmap-EN4"/>
          </v:shape>
        </w:pict>
      </w:r>
    </w:p>
    <w:p w:rsidR="00D75EBF" w:rsidRPr="00752F2A" w:rsidRDefault="00D75EBF" w:rsidP="00D75EBF">
      <w:pPr>
        <w:bidi/>
        <w:rPr>
          <w:rFonts w:asciiTheme="majorBidi" w:hAnsiTheme="majorBidi" w:cstheme="majorBidi"/>
          <w:b/>
          <w:bCs/>
          <w:sz w:val="28"/>
          <w:szCs w:val="28"/>
        </w:rPr>
      </w:pPr>
      <w:r w:rsidRPr="00752F2A">
        <w:rPr>
          <w:rFonts w:asciiTheme="majorBidi" w:hAnsiTheme="majorBidi" w:cstheme="majorBidi"/>
          <w:b/>
          <w:bCs/>
          <w:sz w:val="28"/>
          <w:szCs w:val="28"/>
          <w:rtl/>
        </w:rPr>
        <w:t xml:space="preserve">المقدمة </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تهدف خارطة الطريق هذه إلى تقديم المبادئ حول أنواع التقييم المختلفة، وطرق وضع المعايير والأسئلة والشروط المرجعية وإعداد التقارير.</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 xml:space="preserve">وتقدم هذه الخارطة اقتراحات حول الأدوات المفيدة لهذه الخطوة الأساسية والخطوات الفرعية، من مجموعة أدوات التحويلات النقدية في حالات الطوارئ. على أن يتم تكييف الأدوات للتوافق مع السياق المطروح. </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ويجب في كل الأحوال الامتثال للمعايير الدنيا المذكورة في ما يلي، لتعزيز جودة الاستجابة.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 xml:space="preserve">ومن الممكن التأرجح بين الخطوات الفرعية المختلفة لاتخاذ القرار المناسب على أن يتم جمع المعلومات والقيام بكل الاجراءات المطلوبة في كل خطوة فرعية. </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وإن احتجت إلى المزيد من الإرشادات حول اختيار الشركاء المناسبين والتعاقد معهم، يمكن اللجوء إلى المراجع المذكورة في نهاية خارطة الطريق.</w:t>
      </w:r>
    </w:p>
    <w:p w:rsidR="00D75EBF" w:rsidRPr="00752F2A" w:rsidRDefault="00D75EBF" w:rsidP="00D75EBF">
      <w:pPr>
        <w:bidi/>
        <w:rPr>
          <w:rFonts w:asciiTheme="majorBidi" w:hAnsiTheme="majorBidi" w:cstheme="majorBidi"/>
          <w:b/>
          <w:bCs/>
          <w:sz w:val="28"/>
          <w:szCs w:val="28"/>
          <w:rtl/>
        </w:rPr>
      </w:pPr>
      <w:r w:rsidRPr="00752F2A">
        <w:rPr>
          <w:rFonts w:asciiTheme="majorBidi" w:hAnsiTheme="majorBidi" w:cstheme="majorBidi"/>
          <w:b/>
          <w:bCs/>
          <w:sz w:val="28"/>
          <w:szCs w:val="28"/>
          <w:rtl/>
        </w:rPr>
        <w:t>المعايير الدنيا</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tl/>
        </w:rPr>
      </w:pPr>
      <w:r>
        <w:rPr>
          <w:rFonts w:asciiTheme="majorBidi" w:hAnsiTheme="majorBidi" w:cstheme="majorBidi"/>
          <w:sz w:val="28"/>
          <w:szCs w:val="28"/>
          <w:rtl/>
        </w:rPr>
        <w:t>يجب أن تتضمن برامج التحويلات النقدية أداة للتقييم تسمح بالاستفادة من الدروس، وتحسين السياسات والممارسات المستقبلية والمساءلة.</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يجب أن توضع خطط التقييم في مرحلة تصميم البرنامج.</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يكون فريق التقييم خارجاً عن فريق تطبيق البرنامج.</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يتم استشارة المستفيدين وغير المستفيدين في عملية التقييم.</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يتم تنسيق عملية التقييم مع الجهات المساعدة من أجل تخفيف النفقات والأعباء الإدارية على المجتمعات.</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تتاح نتائج التقييم للجميع لاسيما صناع القرارات والموظفين المعنيين بتطبيق البرنامج.</w:t>
      </w:r>
    </w:p>
    <w:p w:rsidR="00D75EBF" w:rsidRPr="00752F2A" w:rsidRDefault="00D75EBF" w:rsidP="00D75EBF">
      <w:pPr>
        <w:bidi/>
        <w:ind w:left="360"/>
        <w:rPr>
          <w:rFonts w:asciiTheme="majorBidi" w:hAnsiTheme="majorBidi" w:cstheme="majorBidi"/>
          <w:b/>
          <w:bCs/>
          <w:sz w:val="28"/>
          <w:szCs w:val="28"/>
        </w:rPr>
      </w:pPr>
      <w:r w:rsidRPr="00752F2A">
        <w:rPr>
          <w:rFonts w:asciiTheme="majorBidi" w:hAnsiTheme="majorBidi" w:cstheme="majorBidi"/>
          <w:b/>
          <w:bCs/>
          <w:sz w:val="28"/>
          <w:szCs w:val="28"/>
          <w:rtl/>
        </w:rPr>
        <w:t>أنواع التقييم</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يصنف التقييم بحسب الوقت الذي يجرى فيه كما يلي</w:t>
      </w:r>
      <w:r>
        <w:rPr>
          <w:rStyle w:val="FootnoteReference"/>
          <w:rFonts w:asciiTheme="majorBidi" w:hAnsiTheme="majorBidi" w:cstheme="majorBidi"/>
          <w:sz w:val="28"/>
          <w:szCs w:val="28"/>
          <w:rtl/>
        </w:rPr>
        <w:footnoteReference w:id="2"/>
      </w:r>
      <w:r>
        <w:rPr>
          <w:rFonts w:asciiTheme="majorBidi" w:hAnsiTheme="majorBidi" w:cstheme="majorBidi"/>
          <w:sz w:val="28"/>
          <w:szCs w:val="28"/>
          <w:rtl/>
        </w:rPr>
        <w:t>:</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tl/>
        </w:rPr>
      </w:pPr>
      <w:r>
        <w:rPr>
          <w:rFonts w:asciiTheme="majorBidi" w:hAnsiTheme="majorBidi" w:cstheme="majorBidi"/>
          <w:sz w:val="28"/>
          <w:szCs w:val="28"/>
          <w:rtl/>
        </w:rPr>
        <w:t>التقييم الآني: غالباً يجرى هذا التقييم في أولى مراحل البرنامج. وهو شائع في السياقات المتعلقة بالشؤون الانسانية والنزاعات، حيث تكون بيانات خط الأساس غير متوفرة، والذاكرة المؤسسية غير مجدية بسبب تغيير الموظفين، والمقابلات والاستبيانات صعبة التحقيق  بسبب الأوضاع الأمنية.</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lastRenderedPageBreak/>
        <w:t xml:space="preserve">تقييم منتصف المدة: هو تقييم يسمح بتحديد فعالية البرنامج  والتقدم المحرز نحو تحقيق الأهداف المرجوة منه. ويقدم فرصة لتعديل البرنامج لتحقيق الأهداف المرجوة منها في اطار زمني محدد. </w:t>
      </w:r>
    </w:p>
    <w:p w:rsidR="00D75EBF" w:rsidRDefault="00D75EBF" w:rsidP="00D75EBF">
      <w:pPr>
        <w:pStyle w:val="ListParagraph"/>
        <w:numPr>
          <w:ilvl w:val="0"/>
          <w:numId w:val="15"/>
        </w:numPr>
        <w:bidi/>
        <w:spacing w:after="200" w:line="276" w:lineRule="auto"/>
        <w:rPr>
          <w:rFonts w:asciiTheme="majorBidi" w:hAnsiTheme="majorBidi" w:cstheme="majorBidi"/>
          <w:sz w:val="28"/>
          <w:szCs w:val="28"/>
        </w:rPr>
      </w:pPr>
      <w:r>
        <w:rPr>
          <w:rFonts w:asciiTheme="majorBidi" w:hAnsiTheme="majorBidi" w:cstheme="majorBidi"/>
          <w:sz w:val="28"/>
          <w:szCs w:val="28"/>
          <w:rtl/>
        </w:rPr>
        <w:t>التقييم النهائي: في العادة يجرى هذا التقييم في نهاية مرحلو تطبيق البرنامج، ويسمح يتقدير مدى تحقيق الأهداف المرجوة.</w:t>
      </w:r>
    </w:p>
    <w:p w:rsidR="00D75EBF" w:rsidRPr="00752F2A" w:rsidRDefault="00D75EBF" w:rsidP="00D75EBF">
      <w:pPr>
        <w:bidi/>
        <w:rPr>
          <w:rFonts w:asciiTheme="majorBidi" w:hAnsiTheme="majorBidi" w:cstheme="majorBidi"/>
          <w:b/>
          <w:bCs/>
          <w:sz w:val="28"/>
          <w:szCs w:val="28"/>
        </w:rPr>
      </w:pPr>
      <w:r w:rsidRPr="00752F2A">
        <w:rPr>
          <w:rFonts w:asciiTheme="majorBidi" w:hAnsiTheme="majorBidi" w:cstheme="majorBidi"/>
          <w:b/>
          <w:bCs/>
          <w:sz w:val="28"/>
          <w:szCs w:val="28"/>
          <w:rtl/>
        </w:rPr>
        <w:t>الأدوات الفرعية والأدوات</w:t>
      </w:r>
    </w:p>
    <w:p w:rsidR="00D75EBF" w:rsidRPr="00752F2A" w:rsidRDefault="00D75EBF" w:rsidP="00D75EBF">
      <w:pPr>
        <w:bidi/>
        <w:rPr>
          <w:rFonts w:asciiTheme="majorBidi" w:hAnsiTheme="majorBidi" w:cstheme="majorBidi"/>
          <w:b/>
          <w:bCs/>
          <w:sz w:val="28"/>
          <w:szCs w:val="28"/>
          <w:rtl/>
        </w:rPr>
      </w:pPr>
      <w:r w:rsidRPr="00752F2A">
        <w:rPr>
          <w:rFonts w:asciiTheme="majorBidi" w:hAnsiTheme="majorBidi" w:cstheme="majorBidi"/>
          <w:b/>
          <w:bCs/>
          <w:sz w:val="28"/>
          <w:szCs w:val="28"/>
          <w:rtl/>
        </w:rPr>
        <w:t>وضع معايير التقييم والأسئلة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في هذه المرحلة، من المهم تحديد "المسائل" التي يتمحور حولها التقييم وتحدد إطاره. باعتبار أن هذه المسائل تشكل قاعدة يستند إليها وضع الأسئلة التي يقوم عليها التقييم. بهذا، يمكن للمقييم أن يصل إلى مجموعة من الاستنتاجات والتوصيات. ويجب أن تنخرط الجهات المعنية الرئيسية في وضع اسئلة التقييم وتحديد المسائل ذات الصلة.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ويمكن الحصول على الأسئلة الرئيسية للتقييم في أدوات الخطوات الفرعية.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ونظراً إلى تأثير برامج التحويلات النقدية غير المباشر على الاقتصاد المحلي، يمكن لتحليل الاثار المختلفة بتوسيع نطاق التقييم ليتعدى مجرد تحليل الأثر على المستفدين ويطال ىثار البرنامج على الجهات المحلية. ويمكن الحصول على مبادئ توجيهية مفصلة تتضمن أدوات تقييم الآثار على الاقتصاد المحلي في أدوات الخطوات الفرعية.</w:t>
      </w:r>
    </w:p>
    <w:p w:rsidR="00D75EBF" w:rsidRPr="00752F2A" w:rsidRDefault="00D75EBF" w:rsidP="00D75EBF">
      <w:pPr>
        <w:bidi/>
        <w:rPr>
          <w:rFonts w:asciiTheme="majorBidi" w:hAnsiTheme="majorBidi" w:cstheme="majorBidi"/>
          <w:b/>
          <w:bCs/>
          <w:sz w:val="28"/>
          <w:szCs w:val="28"/>
          <w:rtl/>
        </w:rPr>
      </w:pPr>
      <w:r w:rsidRPr="00752F2A">
        <w:rPr>
          <w:rFonts w:asciiTheme="majorBidi" w:hAnsiTheme="majorBidi" w:cstheme="majorBidi"/>
          <w:b/>
          <w:bCs/>
          <w:sz w:val="28"/>
          <w:szCs w:val="28"/>
          <w:rtl/>
        </w:rPr>
        <w:t>إعداد الشروط المرجعية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تحدد الشروط المرجعية هدف التقييم ونطاقه، وتقدم مبادئ توجيهية مفصلة حول مراحل التقييم والنتائج المرجوة منه والجهات المستهدفة.</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وتسمح أدوات الخطوات الفرعية بالحصول على نموذج الشروط المرجعية وقائمة بالنقاط الرئيسية التي يجب إدراجها في الشروط.</w:t>
      </w:r>
    </w:p>
    <w:p w:rsidR="00D75EBF" w:rsidRPr="00752F2A" w:rsidRDefault="00D75EBF" w:rsidP="00D75EBF">
      <w:pPr>
        <w:bidi/>
        <w:rPr>
          <w:rFonts w:asciiTheme="majorBidi" w:hAnsiTheme="majorBidi" w:cstheme="majorBidi"/>
          <w:b/>
          <w:bCs/>
          <w:sz w:val="28"/>
          <w:szCs w:val="28"/>
          <w:rtl/>
        </w:rPr>
      </w:pPr>
      <w:r w:rsidRPr="00752F2A">
        <w:rPr>
          <w:rFonts w:asciiTheme="majorBidi" w:hAnsiTheme="majorBidi" w:cstheme="majorBidi"/>
          <w:b/>
          <w:bCs/>
          <w:sz w:val="28"/>
          <w:szCs w:val="28"/>
          <w:rtl/>
        </w:rPr>
        <w:t>إعداد التقارير</w:t>
      </w:r>
    </w:p>
    <w:p w:rsidR="00D75EBF" w:rsidRDefault="00D75EBF" w:rsidP="00D75EBF">
      <w:pPr>
        <w:bidi/>
        <w:rPr>
          <w:rFonts w:asciiTheme="majorBidi" w:hAnsiTheme="majorBidi" w:cstheme="majorBidi"/>
          <w:sz w:val="28"/>
          <w:szCs w:val="28"/>
          <w:rtl/>
        </w:rPr>
      </w:pPr>
      <w:r>
        <w:rPr>
          <w:rFonts w:asciiTheme="majorBidi" w:hAnsiTheme="majorBidi" w:cstheme="majorBidi"/>
          <w:sz w:val="28"/>
          <w:szCs w:val="28"/>
          <w:rtl/>
        </w:rPr>
        <w:t>تكون التقارير الخاصة بالتقييم واضحة ومبسطة أي أنه من الأفضل الابتعاد عن المصطلحات التقنية والتأكد من وجود العناصر التالية: موجز تنفيذي، لمحة حول النشاط الخاضع للتقييم، وصف لوسائل التقييم، النتائج الرئيسية، الدروس المستفادة، الاستنتاجات والتوصيات. ويمكن الحصول على تموذج تقرير خاص بالتقييم ونماذج لدراسات الحالة في أدوات الخطوات الفرعية.</w:t>
      </w:r>
    </w:p>
    <w:p w:rsidR="00D75EBF" w:rsidRDefault="00D75EBF" w:rsidP="00D75EBF">
      <w:pPr>
        <w:bidi/>
        <w:rPr>
          <w:rFonts w:asciiTheme="majorBidi" w:hAnsiTheme="majorBidi" w:cstheme="majorBidi"/>
          <w:sz w:val="28"/>
          <w:szCs w:val="28"/>
          <w:rtl/>
        </w:rPr>
      </w:pPr>
    </w:p>
    <w:p w:rsidR="00D75EBF" w:rsidRDefault="00D75EBF" w:rsidP="00D75EBF">
      <w:pPr>
        <w:pStyle w:val="RefTitre"/>
        <w:bidi/>
        <w:jc w:val="both"/>
        <w:rPr>
          <w:rFonts w:asciiTheme="majorBidi" w:hAnsiTheme="majorBidi" w:cstheme="majorBidi"/>
          <w:sz w:val="28"/>
          <w:szCs w:val="28"/>
          <w:rtl/>
        </w:rPr>
      </w:pPr>
      <w:r>
        <w:rPr>
          <w:rFonts w:asciiTheme="majorBidi" w:hAnsiTheme="majorBidi" w:cstheme="majorBidi"/>
          <w:sz w:val="28"/>
          <w:szCs w:val="28"/>
          <w:rtl/>
        </w:rPr>
        <w:t>المراجع</w:t>
      </w:r>
    </w:p>
    <w:p w:rsidR="00D75EBF" w:rsidRDefault="00D75EBF" w:rsidP="00D75EBF">
      <w:pPr>
        <w:bidi/>
        <w:rPr>
          <w:rFonts w:asciiTheme="majorBidi" w:hAnsiTheme="majorBidi" w:cstheme="majorBidi"/>
          <w:sz w:val="28"/>
          <w:szCs w:val="28"/>
        </w:rPr>
      </w:pPr>
      <w:r>
        <w:rPr>
          <w:rFonts w:asciiTheme="majorBidi" w:hAnsiTheme="majorBidi" w:cstheme="majorBidi"/>
          <w:sz w:val="28"/>
          <w:szCs w:val="28"/>
        </w:rPr>
        <w:t>Evaluating humanitarian action using the OECD-DAC criteria. ALNAP</w:t>
      </w:r>
      <w:r>
        <w:rPr>
          <w:rFonts w:asciiTheme="majorBidi" w:hAnsiTheme="majorBidi" w:cstheme="majorBidi"/>
          <w:sz w:val="28"/>
          <w:szCs w:val="28"/>
        </w:rPr>
        <w:br/>
      </w:r>
      <w:hyperlink r:id="rId8" w:history="1">
        <w:r>
          <w:rPr>
            <w:rStyle w:val="Hyperlink"/>
            <w:rFonts w:asciiTheme="majorBidi" w:eastAsia="Times New Roman" w:hAnsiTheme="majorBidi" w:cstheme="majorBidi"/>
            <w:sz w:val="28"/>
            <w:szCs w:val="28"/>
          </w:rPr>
          <w:t>www.alnap.org/resource/5253</w:t>
        </w:r>
      </w:hyperlink>
    </w:p>
    <w:p w:rsidR="00D75EBF" w:rsidRDefault="00D75EBF" w:rsidP="00D75EBF">
      <w:pPr>
        <w:bidi/>
        <w:rPr>
          <w:rFonts w:asciiTheme="majorBidi" w:hAnsiTheme="majorBidi" w:cstheme="majorBidi"/>
          <w:sz w:val="28"/>
          <w:szCs w:val="28"/>
          <w:rtl/>
        </w:rPr>
      </w:pPr>
    </w:p>
    <w:p w:rsidR="00D75EBF" w:rsidRDefault="00D75EBF" w:rsidP="00D75EBF">
      <w:pPr>
        <w:bidi/>
        <w:ind w:left="360"/>
        <w:rPr>
          <w:rFonts w:asciiTheme="majorBidi" w:hAnsiTheme="majorBidi" w:cstheme="majorBidi"/>
          <w:sz w:val="28"/>
          <w:szCs w:val="28"/>
        </w:rPr>
      </w:pPr>
    </w:p>
    <w:p w:rsidR="005F333D" w:rsidRPr="00073E17" w:rsidRDefault="005F333D" w:rsidP="005F333D">
      <w:pPr>
        <w:rPr>
          <w:sz w:val="22"/>
          <w:szCs w:val="22"/>
        </w:rPr>
      </w:pPr>
    </w:p>
    <w:sectPr w:rsidR="005F333D" w:rsidRPr="00073E17" w:rsidSect="00474FD4">
      <w:headerReference w:type="default" r:id="rId9"/>
      <w:footerReference w:type="default" r:id="rId10"/>
      <w:headerReference w:type="first" r:id="rId11"/>
      <w:footerReference w:type="first" r:id="rId12"/>
      <w:pgSz w:w="11900" w:h="16840"/>
      <w:pgMar w:top="1134" w:right="1134" w:bottom="1134" w:left="1134"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D4" w:rsidRDefault="00DD64D4" w:rsidP="005F333D">
      <w:r>
        <w:separator/>
      </w:r>
    </w:p>
  </w:endnote>
  <w:endnote w:type="continuationSeparator" w:id="1">
    <w:p w:rsidR="00DD64D4" w:rsidRDefault="00DD64D4" w:rsidP="005F3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D4" w:rsidRPr="00B45C74" w:rsidRDefault="00D32AC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74FD4"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52F2A">
      <w:rPr>
        <w:b/>
        <w:noProof/>
        <w:color w:val="808080" w:themeColor="background1" w:themeShade="80"/>
        <w:sz w:val="18"/>
        <w:szCs w:val="18"/>
      </w:rPr>
      <w:t>2</w:t>
    </w:r>
    <w:r w:rsidRPr="00B45C74">
      <w:rPr>
        <w:b/>
        <w:color w:val="808080" w:themeColor="background1" w:themeShade="80"/>
        <w:sz w:val="18"/>
        <w:szCs w:val="18"/>
      </w:rPr>
      <w:fldChar w:fldCharType="end"/>
    </w:r>
  </w:p>
  <w:p w:rsidR="00474FD4" w:rsidRPr="003A3500" w:rsidRDefault="00474FD4" w:rsidP="00ED1B2B">
    <w:pPr>
      <w:pStyle w:val="Footer"/>
    </w:pPr>
    <w:r w:rsidRPr="00107E15">
      <w:rPr>
        <w:b/>
      </w:rPr>
      <w:t xml:space="preserve">Module </w:t>
    </w:r>
    <w:r>
      <w:rPr>
        <w:b/>
      </w:rPr>
      <w:t>5</w:t>
    </w:r>
    <w:r w:rsidRPr="00107E15">
      <w:rPr>
        <w:b/>
      </w:rPr>
      <w:t>.</w:t>
    </w:r>
    <w:r w:rsidRPr="00107E15">
      <w:t xml:space="preserve"> Step </w:t>
    </w:r>
    <w:r>
      <w:t>4</w:t>
    </w:r>
    <w:r w:rsidRPr="00107E15">
      <w:t>.</w:t>
    </w:r>
    <w:r>
      <w:t xml:space="preserve"> Roadmap for evaluating CTP</w:t>
    </w:r>
    <w:r w:rsidR="00D32AC5" w:rsidRPr="00107E15">
      <w:rPr>
        <w:i/>
      </w:rPr>
      <w:fldChar w:fldCharType="begin"/>
    </w:r>
    <w:r w:rsidRPr="00107E15">
      <w:rPr>
        <w:i/>
      </w:rPr>
      <w:instrText xml:space="preserve"> STYLEREF  H1 \t  \* MERGEFORMAT </w:instrText>
    </w:r>
    <w:r w:rsidR="00D32AC5" w:rsidRPr="00107E15">
      <w:rPr>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D4" w:rsidRPr="00B45C74" w:rsidRDefault="00D32AC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74FD4"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52F2A">
      <w:rPr>
        <w:b/>
        <w:noProof/>
        <w:color w:val="808080" w:themeColor="background1" w:themeShade="80"/>
        <w:sz w:val="18"/>
        <w:szCs w:val="18"/>
      </w:rPr>
      <w:t>1</w:t>
    </w:r>
    <w:r w:rsidRPr="00B45C74">
      <w:rPr>
        <w:b/>
        <w:color w:val="808080" w:themeColor="background1" w:themeShade="80"/>
        <w:sz w:val="18"/>
        <w:szCs w:val="18"/>
      </w:rPr>
      <w:fldChar w:fldCharType="end"/>
    </w:r>
  </w:p>
  <w:p w:rsidR="00474FD4" w:rsidRPr="00474FD4" w:rsidRDefault="00474FD4" w:rsidP="00ED1B2B">
    <w:pPr>
      <w:pStyle w:val="Footer"/>
    </w:pPr>
    <w:r w:rsidRPr="00107E15">
      <w:rPr>
        <w:b/>
      </w:rPr>
      <w:t xml:space="preserve">Module </w:t>
    </w:r>
    <w:r>
      <w:rPr>
        <w:b/>
      </w:rPr>
      <w:t>5</w:t>
    </w:r>
    <w:r w:rsidRPr="00107E15">
      <w:rPr>
        <w:b/>
      </w:rPr>
      <w:t>.</w:t>
    </w:r>
    <w:r w:rsidRPr="00107E15">
      <w:t xml:space="preserve"> Step </w:t>
    </w:r>
    <w:r>
      <w:t>4</w:t>
    </w:r>
    <w:r w:rsidRPr="00107E15">
      <w:t>.</w:t>
    </w:r>
    <w:r w:rsidR="00D32AC5" w:rsidRPr="00D32AC5">
      <w:fldChar w:fldCharType="begin"/>
    </w:r>
    <w:r w:rsidR="00C51F60">
      <w:instrText xml:space="preserve"> STYLEREF  H1 \t  \* MERGEFORMAT </w:instrText>
    </w:r>
    <w:r w:rsidR="00D32AC5">
      <w:rPr>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D4" w:rsidRDefault="00DD64D4" w:rsidP="00B719EB">
      <w:pPr>
        <w:spacing w:after="0"/>
      </w:pPr>
      <w:r>
        <w:separator/>
      </w:r>
    </w:p>
  </w:footnote>
  <w:footnote w:type="continuationSeparator" w:id="1">
    <w:p w:rsidR="00DD64D4" w:rsidRDefault="00DD64D4" w:rsidP="005F333D">
      <w:r>
        <w:continuationSeparator/>
      </w:r>
    </w:p>
  </w:footnote>
  <w:footnote w:id="2">
    <w:p w:rsidR="00D75EBF" w:rsidRDefault="00D75EBF" w:rsidP="00D75EBF">
      <w:pPr>
        <w:pStyle w:val="FootnoteText"/>
        <w:bidi/>
        <w:rPr>
          <w:rFonts w:asciiTheme="minorHAnsi" w:hAnsiTheme="minorHAnsi" w:cstheme="minorBidi"/>
          <w:sz w:val="20"/>
          <w:szCs w:val="20"/>
          <w:rtl/>
        </w:rPr>
      </w:pPr>
      <w:r>
        <w:rPr>
          <w:rStyle w:val="FootnoteReference"/>
        </w:rPr>
        <w:footnoteRef/>
      </w:r>
      <w:r>
        <w:t xml:space="preserve"> </w:t>
      </w:r>
      <w:r>
        <w:rPr>
          <w:rtl/>
          <w:lang w:val="it-IT"/>
        </w:rPr>
        <w:t xml:space="preserve"> </w:t>
      </w:r>
      <w:r>
        <w:rPr>
          <w:lang w:val="it-IT"/>
        </w:rPr>
        <w:t xml:space="preserve">UNDP. </w:t>
      </w:r>
      <w:r>
        <w:t>Handbook on Planning, Monitoring and Evaluating for Development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D4" w:rsidRPr="00074036" w:rsidRDefault="00474FD4"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BF" w:rsidRPr="00823516" w:rsidRDefault="00D75EBF" w:rsidP="00D75EBF">
    <w:pPr>
      <w:pStyle w:val="H1"/>
      <w:bidi/>
      <w:rPr>
        <w:rFonts w:asciiTheme="majorBidi" w:hAnsiTheme="majorBidi" w:cstheme="majorBidi"/>
        <w:b w:val="0"/>
        <w:bCs/>
        <w:sz w:val="28"/>
        <w:szCs w:val="28"/>
      </w:rPr>
    </w:pPr>
    <w:r w:rsidRPr="00823516">
      <w:rPr>
        <w:rFonts w:asciiTheme="majorBidi" w:hAnsiTheme="majorBidi" w:cstheme="majorBidi"/>
        <w:b w:val="0"/>
        <w:bCs/>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462530" cy="474980"/>
                  </a:xfrm>
                  <a:prstGeom prst="rect">
                    <a:avLst/>
                  </a:prstGeom>
                </pic:spPr>
              </pic:pic>
            </a:graphicData>
          </a:graphic>
        </wp:anchor>
      </w:drawing>
    </w:r>
    <w:r w:rsidRPr="00823516">
      <w:rPr>
        <w:rFonts w:asciiTheme="majorBidi" w:hAnsiTheme="majorBidi" w:cstheme="majorBidi"/>
        <w:b w:val="0"/>
        <w:bCs/>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981075" cy="952500"/>
                  </a:xfrm>
                  <a:prstGeom prst="rect">
                    <a:avLst/>
                  </a:prstGeom>
                </pic:spPr>
              </pic:pic>
            </a:graphicData>
          </a:graphic>
        </wp:anchor>
      </w:drawing>
    </w:r>
  </w:p>
  <w:p w:rsidR="00D75EBF" w:rsidRPr="00823516" w:rsidRDefault="00D75EBF" w:rsidP="00D75EBF">
    <w:pPr>
      <w:pStyle w:val="Header"/>
      <w:bidi/>
      <w:jc w:val="both"/>
      <w:rPr>
        <w:rFonts w:asciiTheme="majorBidi" w:hAnsiTheme="majorBidi" w:cstheme="majorBidi"/>
        <w:bCs/>
        <w:color w:val="DC281E"/>
        <w:sz w:val="28"/>
        <w:szCs w:val="28"/>
        <w:rtl/>
      </w:rPr>
    </w:pPr>
    <w:r w:rsidRPr="00823516">
      <w:rPr>
        <w:rFonts w:asciiTheme="majorBidi" w:hAnsiTheme="majorBidi" w:cstheme="majorBidi"/>
        <w:bCs/>
        <w:color w:val="DC281E"/>
        <w:sz w:val="28"/>
        <w:szCs w:val="28"/>
        <w:rtl/>
      </w:rPr>
      <w:t>مجموعة الأدوات المرتبطة بالتحويلات النقدية في حالات الطوارئ</w:t>
    </w:r>
  </w:p>
  <w:p w:rsidR="00D75EBF" w:rsidRPr="00E471D5" w:rsidRDefault="00D75EBF" w:rsidP="00D75EBF">
    <w:pPr>
      <w:pStyle w:val="Header"/>
    </w:pPr>
  </w:p>
  <w:p w:rsidR="00474FD4" w:rsidRPr="00474FD4" w:rsidRDefault="00474FD4" w:rsidP="00050617">
    <w:pPr>
      <w:pStyle w:val="Header1"/>
      <w:rPr>
        <w:rFonts w:ascii="Arial Bold" w:hAnsi="Arial Bold"/>
        <w:color w:val="DC281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B54"/>
    <w:multiLevelType w:val="hybridMultilevel"/>
    <w:tmpl w:val="3DA09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4">
    <w:nsid w:val="45E10361"/>
    <w:multiLevelType w:val="hybridMultilevel"/>
    <w:tmpl w:val="C2E4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CA4E0F"/>
    <w:multiLevelType w:val="hybridMultilevel"/>
    <w:tmpl w:val="80CEDF0A"/>
    <w:lvl w:ilvl="0" w:tplc="6CBCC3C2">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41278FB"/>
    <w:multiLevelType w:val="multilevel"/>
    <w:tmpl w:val="0A0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0C358E5"/>
    <w:multiLevelType w:val="multilevel"/>
    <w:tmpl w:val="0926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404AF2"/>
    <w:multiLevelType w:val="multilevel"/>
    <w:tmpl w:val="C5C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085F45"/>
    <w:multiLevelType w:val="multilevel"/>
    <w:tmpl w:val="5F8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61B75"/>
    <w:multiLevelType w:val="multilevel"/>
    <w:tmpl w:val="016A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0"/>
  </w:num>
  <w:num w:numId="4">
    <w:abstractNumId w:val="11"/>
  </w:num>
  <w:num w:numId="5">
    <w:abstractNumId w:val="6"/>
  </w:num>
  <w:num w:numId="6">
    <w:abstractNumId w:val="13"/>
  </w:num>
  <w:num w:numId="7">
    <w:abstractNumId w:val="0"/>
  </w:num>
  <w:num w:numId="8">
    <w:abstractNumId w:val="3"/>
  </w:num>
  <w:num w:numId="9">
    <w:abstractNumId w:val="1"/>
  </w:num>
  <w:num w:numId="10">
    <w:abstractNumId w:val="7"/>
  </w:num>
  <w:num w:numId="11">
    <w:abstractNumId w:val="2"/>
  </w:num>
  <w:num w:numId="12">
    <w:abstractNumId w:val="8"/>
  </w:num>
  <w:num w:numId="13">
    <w:abstractNumId w:val="12"/>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DD5844"/>
    <w:rsid w:val="00031578"/>
    <w:rsid w:val="000B39D3"/>
    <w:rsid w:val="001512AE"/>
    <w:rsid w:val="001D3874"/>
    <w:rsid w:val="001F37D6"/>
    <w:rsid w:val="002572B7"/>
    <w:rsid w:val="00261BCE"/>
    <w:rsid w:val="002839D9"/>
    <w:rsid w:val="00303C2E"/>
    <w:rsid w:val="00331673"/>
    <w:rsid w:val="00353131"/>
    <w:rsid w:val="003F370B"/>
    <w:rsid w:val="00400CDB"/>
    <w:rsid w:val="00474FD4"/>
    <w:rsid w:val="00477DFE"/>
    <w:rsid w:val="004B0469"/>
    <w:rsid w:val="004C4824"/>
    <w:rsid w:val="004D0D98"/>
    <w:rsid w:val="004E7185"/>
    <w:rsid w:val="005F333D"/>
    <w:rsid w:val="00632AA1"/>
    <w:rsid w:val="00643D5E"/>
    <w:rsid w:val="00653DA1"/>
    <w:rsid w:val="006924B8"/>
    <w:rsid w:val="00752F2A"/>
    <w:rsid w:val="00770DAF"/>
    <w:rsid w:val="007B74DA"/>
    <w:rsid w:val="007E447F"/>
    <w:rsid w:val="007F31E8"/>
    <w:rsid w:val="008A2E84"/>
    <w:rsid w:val="008B0A16"/>
    <w:rsid w:val="008F3426"/>
    <w:rsid w:val="009015B0"/>
    <w:rsid w:val="00912D4D"/>
    <w:rsid w:val="009B3BC4"/>
    <w:rsid w:val="00AF0551"/>
    <w:rsid w:val="00B719EB"/>
    <w:rsid w:val="00B820BA"/>
    <w:rsid w:val="00BE5F6A"/>
    <w:rsid w:val="00C01636"/>
    <w:rsid w:val="00C51F60"/>
    <w:rsid w:val="00D32AC5"/>
    <w:rsid w:val="00D46B58"/>
    <w:rsid w:val="00D75EBF"/>
    <w:rsid w:val="00DB0B54"/>
    <w:rsid w:val="00DD5844"/>
    <w:rsid w:val="00DD64D4"/>
    <w:rsid w:val="00F5312F"/>
    <w:rsid w:val="00F73653"/>
    <w:rsid w:val="00FA3C4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24"/>
    <w:pPr>
      <w:spacing w:after="120"/>
      <w:jc w:val="both"/>
    </w:pPr>
    <w:rPr>
      <w:rFonts w:ascii="Arial" w:hAnsi="Arial" w:cs="Times New Roman"/>
    </w:rPr>
  </w:style>
  <w:style w:type="paragraph" w:styleId="Heading1">
    <w:name w:val="heading 1"/>
    <w:basedOn w:val="H1"/>
    <w:next w:val="Normal"/>
    <w:link w:val="Heading1Char"/>
    <w:uiPriority w:val="9"/>
    <w:rsid w:val="004C4824"/>
  </w:style>
  <w:style w:type="paragraph" w:styleId="Heading2">
    <w:name w:val="heading 2"/>
    <w:basedOn w:val="Normal"/>
    <w:next w:val="Normal"/>
    <w:link w:val="Heading2Char"/>
    <w:uiPriority w:val="9"/>
    <w:unhideWhenUsed/>
    <w:qFormat/>
    <w:rsid w:val="004C48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482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824"/>
    <w:rPr>
      <w:rFonts w:ascii="Lucida Grande" w:hAnsi="Lucida Grande" w:cs="Lucida Grande"/>
      <w:sz w:val="18"/>
      <w:szCs w:val="18"/>
    </w:rPr>
  </w:style>
  <w:style w:type="paragraph" w:styleId="ListParagraph">
    <w:name w:val="List Paragraph"/>
    <w:basedOn w:val="Normal"/>
    <w:link w:val="ListParagraphChar"/>
    <w:uiPriority w:val="34"/>
    <w:qFormat/>
    <w:rsid w:val="004C4824"/>
    <w:pPr>
      <w:spacing w:after="240"/>
      <w:ind w:left="720"/>
      <w:contextualSpacing/>
    </w:pPr>
    <w:rPr>
      <w:rFonts w:eastAsiaTheme="minorHAnsi" w:cstheme="minorBidi"/>
      <w:szCs w:val="22"/>
    </w:rPr>
  </w:style>
  <w:style w:type="table" w:styleId="TableGrid">
    <w:name w:val="Table Grid"/>
    <w:basedOn w:val="TableNormal"/>
    <w:uiPriority w:val="59"/>
    <w:rsid w:val="004C4824"/>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Strong">
    <w:name w:val="Strong"/>
    <w:basedOn w:val="DefaultParagraphFont"/>
    <w:uiPriority w:val="22"/>
    <w:qFormat/>
    <w:rsid w:val="0052540E"/>
    <w:rPr>
      <w:b/>
      <w:bCs/>
    </w:rPr>
  </w:style>
  <w:style w:type="character" w:customStyle="1" w:styleId="apple-converted-space">
    <w:name w:val="apple-converted-space"/>
    <w:basedOn w:val="DefaultParagraphFont"/>
    <w:rsid w:val="0052540E"/>
  </w:style>
  <w:style w:type="paragraph" w:styleId="FootnoteText">
    <w:name w:val="footnote text"/>
    <w:basedOn w:val="Normal"/>
    <w:link w:val="FootnoteTextChar"/>
    <w:uiPriority w:val="99"/>
    <w:unhideWhenUsed/>
    <w:rsid w:val="004C4824"/>
    <w:pPr>
      <w:spacing w:after="0"/>
    </w:pPr>
    <w:rPr>
      <w:sz w:val="16"/>
      <w:szCs w:val="22"/>
    </w:rPr>
  </w:style>
  <w:style w:type="character" w:customStyle="1" w:styleId="FootnoteTextChar">
    <w:name w:val="Footnote Text Char"/>
    <w:basedOn w:val="DefaultParagraphFont"/>
    <w:link w:val="FootnoteText"/>
    <w:uiPriority w:val="99"/>
    <w:rsid w:val="004C4824"/>
    <w:rPr>
      <w:rFonts w:ascii="Arial" w:hAnsi="Arial" w:cs="Times New Roman"/>
      <w:sz w:val="16"/>
      <w:szCs w:val="22"/>
    </w:rPr>
  </w:style>
  <w:style w:type="character" w:styleId="FootnoteReference">
    <w:name w:val="footnote reference"/>
    <w:basedOn w:val="DefaultParagraphFont"/>
    <w:uiPriority w:val="99"/>
    <w:unhideWhenUsed/>
    <w:rsid w:val="004C4824"/>
    <w:rPr>
      <w:vertAlign w:val="superscript"/>
    </w:rPr>
  </w:style>
  <w:style w:type="character" w:customStyle="1" w:styleId="Heading1Char">
    <w:name w:val="Heading 1 Char"/>
    <w:basedOn w:val="DefaultParagraphFont"/>
    <w:link w:val="Heading1"/>
    <w:uiPriority w:val="9"/>
    <w:rsid w:val="004C4824"/>
    <w:rPr>
      <w:rFonts w:ascii="Arial" w:hAnsi="Arial" w:cs="Times New Roman"/>
      <w:b/>
      <w:sz w:val="40"/>
      <w:szCs w:val="52"/>
    </w:rPr>
  </w:style>
  <w:style w:type="character" w:customStyle="1" w:styleId="ListParagraphChar">
    <w:name w:val="List Paragraph Char"/>
    <w:basedOn w:val="DefaultParagraphFont"/>
    <w:link w:val="ListParagraph"/>
    <w:uiPriority w:val="34"/>
    <w:rsid w:val="004C4824"/>
    <w:rPr>
      <w:rFonts w:ascii="Arial" w:eastAsiaTheme="minorHAnsi" w:hAnsi="Arial" w:cstheme="minorBidi"/>
      <w:szCs w:val="22"/>
    </w:rPr>
  </w:style>
  <w:style w:type="paragraph" w:styleId="Header">
    <w:name w:val="header"/>
    <w:basedOn w:val="Normal"/>
    <w:link w:val="HeaderChar"/>
    <w:uiPriority w:val="99"/>
    <w:unhideWhenUsed/>
    <w:rsid w:val="004C4824"/>
    <w:pPr>
      <w:spacing w:after="0" w:line="288" w:lineRule="auto"/>
      <w:jc w:val="left"/>
    </w:pPr>
    <w:rPr>
      <w:sz w:val="16"/>
    </w:rPr>
  </w:style>
  <w:style w:type="character" w:customStyle="1" w:styleId="HeaderChar">
    <w:name w:val="Header Char"/>
    <w:basedOn w:val="DefaultParagraphFont"/>
    <w:link w:val="Header"/>
    <w:uiPriority w:val="99"/>
    <w:rsid w:val="004C4824"/>
    <w:rPr>
      <w:rFonts w:ascii="Arial" w:hAnsi="Arial" w:cs="Times New Roman"/>
      <w:sz w:val="16"/>
    </w:rPr>
  </w:style>
  <w:style w:type="paragraph" w:styleId="Footer">
    <w:name w:val="footer"/>
    <w:basedOn w:val="Normal"/>
    <w:link w:val="FooterChar"/>
    <w:uiPriority w:val="99"/>
    <w:unhideWhenUsed/>
    <w:rsid w:val="004C4824"/>
    <w:pPr>
      <w:spacing w:after="0"/>
      <w:jc w:val="left"/>
    </w:pPr>
    <w:rPr>
      <w:sz w:val="16"/>
      <w:szCs w:val="18"/>
    </w:rPr>
  </w:style>
  <w:style w:type="character" w:customStyle="1" w:styleId="FooterChar">
    <w:name w:val="Footer Char"/>
    <w:basedOn w:val="DefaultParagraphFont"/>
    <w:link w:val="Footer"/>
    <w:uiPriority w:val="99"/>
    <w:rsid w:val="004C4824"/>
    <w:rPr>
      <w:rFonts w:ascii="Arial" w:hAnsi="Arial" w:cs="Times New Roman"/>
      <w:sz w:val="16"/>
      <w:szCs w:val="18"/>
    </w:rPr>
  </w:style>
  <w:style w:type="character" w:styleId="Hyperlink">
    <w:name w:val="Hyperlink"/>
    <w:basedOn w:val="DefaultParagraphFont"/>
    <w:uiPriority w:val="99"/>
    <w:unhideWhenUsed/>
    <w:rsid w:val="004C4824"/>
    <w:rPr>
      <w:color w:val="0000FF" w:themeColor="hyperlink"/>
      <w:u w:val="single"/>
    </w:rPr>
  </w:style>
  <w:style w:type="character" w:customStyle="1" w:styleId="Heading2Char">
    <w:name w:val="Heading 2 Char"/>
    <w:basedOn w:val="DefaultParagraphFont"/>
    <w:link w:val="Heading2"/>
    <w:uiPriority w:val="9"/>
    <w:rsid w:val="004C4824"/>
    <w:rPr>
      <w:rFonts w:ascii="Arial" w:hAnsi="Arial" w:cs="Times New Roman"/>
      <w:b/>
      <w:caps/>
      <w:sz w:val="24"/>
      <w:szCs w:val="26"/>
    </w:rPr>
  </w:style>
  <w:style w:type="character" w:customStyle="1" w:styleId="Heading3Char">
    <w:name w:val="Heading 3 Char"/>
    <w:basedOn w:val="DefaultParagraphFont"/>
    <w:link w:val="Heading3"/>
    <w:uiPriority w:val="9"/>
    <w:rsid w:val="004C4824"/>
    <w:rPr>
      <w:rFonts w:ascii="Arial" w:hAnsi="Arial" w:cs="Times New Roman"/>
      <w:b/>
      <w:sz w:val="22"/>
      <w:szCs w:val="24"/>
    </w:rPr>
  </w:style>
  <w:style w:type="paragraph" w:customStyle="1" w:styleId="Default">
    <w:name w:val="Default"/>
    <w:rsid w:val="004C482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C4824"/>
    <w:rPr>
      <w:sz w:val="18"/>
      <w:szCs w:val="18"/>
    </w:rPr>
  </w:style>
  <w:style w:type="paragraph" w:styleId="CommentText">
    <w:name w:val="annotation text"/>
    <w:basedOn w:val="Normal"/>
    <w:link w:val="CommentTextChar"/>
    <w:uiPriority w:val="99"/>
    <w:semiHidden/>
    <w:unhideWhenUsed/>
    <w:rsid w:val="00474FD4"/>
  </w:style>
  <w:style w:type="character" w:customStyle="1" w:styleId="CommentTextChar">
    <w:name w:val="Comment Text Char"/>
    <w:basedOn w:val="DefaultParagraphFont"/>
    <w:link w:val="CommentText"/>
    <w:uiPriority w:val="99"/>
    <w:semiHidden/>
    <w:rsid w:val="00474FD4"/>
    <w:rPr>
      <w:rFonts w:ascii="Arial" w:hAnsi="Arial" w:cs="Times New Roman"/>
    </w:rPr>
  </w:style>
  <w:style w:type="paragraph" w:styleId="CommentSubject">
    <w:name w:val="annotation subject"/>
    <w:basedOn w:val="Normal"/>
    <w:link w:val="CommentSubjectChar"/>
    <w:uiPriority w:val="99"/>
    <w:semiHidden/>
    <w:unhideWhenUsed/>
    <w:rsid w:val="004C4824"/>
    <w:rPr>
      <w:b/>
      <w:bCs/>
    </w:rPr>
  </w:style>
  <w:style w:type="character" w:customStyle="1" w:styleId="CommentSubjectChar">
    <w:name w:val="Comment Subject Char"/>
    <w:basedOn w:val="DefaultParagraphFont"/>
    <w:link w:val="CommentSubject"/>
    <w:uiPriority w:val="99"/>
    <w:semiHidden/>
    <w:rsid w:val="004C4824"/>
    <w:rPr>
      <w:rFonts w:ascii="Arial" w:hAnsi="Arial" w:cs="Times New Roman"/>
      <w:b/>
      <w:bCs/>
    </w:rPr>
  </w:style>
  <w:style w:type="character" w:styleId="PageNumber">
    <w:name w:val="page number"/>
    <w:basedOn w:val="DefaultParagraphFont"/>
    <w:uiPriority w:val="99"/>
    <w:unhideWhenUsed/>
    <w:rsid w:val="004C4824"/>
    <w:rPr>
      <w:b/>
    </w:rPr>
  </w:style>
  <w:style w:type="character" w:styleId="FollowedHyperlink">
    <w:name w:val="FollowedHyperlink"/>
    <w:basedOn w:val="DefaultParagraphFont"/>
    <w:uiPriority w:val="99"/>
    <w:semiHidden/>
    <w:unhideWhenUsed/>
    <w:rsid w:val="004C4824"/>
    <w:rPr>
      <w:color w:val="800080" w:themeColor="followedHyperlink"/>
      <w:u w:val="single"/>
    </w:rPr>
  </w:style>
  <w:style w:type="paragraph" w:styleId="Revision">
    <w:name w:val="Revision"/>
    <w:hidden/>
    <w:uiPriority w:val="99"/>
    <w:semiHidden/>
    <w:rsid w:val="004C4824"/>
    <w:rPr>
      <w:rFonts w:ascii="Arial" w:hAnsi="Arial" w:cs="Arial"/>
      <w:sz w:val="21"/>
      <w:szCs w:val="21"/>
    </w:rPr>
  </w:style>
  <w:style w:type="paragraph" w:customStyle="1" w:styleId="BasicParagraph">
    <w:name w:val="[Basic Paragraph]"/>
    <w:basedOn w:val="Normal"/>
    <w:uiPriority w:val="99"/>
    <w:rsid w:val="004C48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4824"/>
    <w:pPr>
      <w:spacing w:before="360" w:after="240"/>
      <w:jc w:val="left"/>
      <w:outlineLvl w:val="0"/>
    </w:pPr>
    <w:rPr>
      <w:b/>
      <w:sz w:val="40"/>
      <w:szCs w:val="52"/>
    </w:rPr>
  </w:style>
  <w:style w:type="paragraph" w:customStyle="1" w:styleId="Bullet1">
    <w:name w:val="Bullet 1"/>
    <w:basedOn w:val="Normal"/>
    <w:rsid w:val="004C4824"/>
    <w:pPr>
      <w:numPr>
        <w:numId w:val="11"/>
      </w:numPr>
      <w:spacing w:before="60"/>
    </w:pPr>
    <w:rPr>
      <w:rFonts w:eastAsia="Times New Roman"/>
      <w:color w:val="000000"/>
    </w:rPr>
  </w:style>
  <w:style w:type="paragraph" w:customStyle="1" w:styleId="RefItem1">
    <w:name w:val="Ref Item 1"/>
    <w:basedOn w:val="Normal"/>
    <w:rsid w:val="004C4824"/>
    <w:pPr>
      <w:jc w:val="left"/>
    </w:pPr>
    <w:rPr>
      <w:color w:val="000000"/>
      <w:szCs w:val="24"/>
      <w:lang w:eastAsia="it-IT"/>
    </w:rPr>
  </w:style>
  <w:style w:type="paragraph" w:customStyle="1" w:styleId="RefTitre">
    <w:name w:val="Ref Titre"/>
    <w:basedOn w:val="Normal"/>
    <w:rsid w:val="004C4824"/>
    <w:pPr>
      <w:jc w:val="left"/>
    </w:pPr>
    <w:rPr>
      <w:rFonts w:eastAsia="Times New Roman"/>
      <w:b/>
      <w:bCs/>
      <w:sz w:val="26"/>
      <w:szCs w:val="26"/>
    </w:rPr>
  </w:style>
  <w:style w:type="paragraph" w:customStyle="1" w:styleId="Header1">
    <w:name w:val="Header 1"/>
    <w:basedOn w:val="Header"/>
    <w:rsid w:val="004C4824"/>
    <w:rPr>
      <w:b/>
      <w:sz w:val="24"/>
      <w:szCs w:val="24"/>
    </w:rPr>
  </w:style>
  <w:style w:type="character" w:customStyle="1" w:styleId="Pantone485">
    <w:name w:val="Pantone 485"/>
    <w:basedOn w:val="DefaultParagraphFont"/>
    <w:uiPriority w:val="1"/>
    <w:qFormat/>
    <w:rsid w:val="004C4824"/>
    <w:rPr>
      <w:rFonts w:cs="Caecilia-Light"/>
      <w:color w:val="DC281E"/>
      <w:szCs w:val="16"/>
    </w:rPr>
  </w:style>
  <w:style w:type="character" w:customStyle="1" w:styleId="H1Char">
    <w:name w:val="H1 Char"/>
    <w:basedOn w:val="DefaultParagraphFont"/>
    <w:link w:val="H1"/>
    <w:rsid w:val="004C4824"/>
    <w:rPr>
      <w:rFonts w:ascii="Arial" w:hAnsi="Arial" w:cs="Times New Roman"/>
      <w:b/>
      <w:sz w:val="40"/>
      <w:szCs w:val="52"/>
    </w:rPr>
  </w:style>
  <w:style w:type="table" w:customStyle="1" w:styleId="TableGray">
    <w:name w:val="Table Gray"/>
    <w:basedOn w:val="TableNormal"/>
    <w:uiPriority w:val="99"/>
    <w:rsid w:val="004C4824"/>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4824"/>
    <w:pPr>
      <w:numPr>
        <w:numId w:val="12"/>
      </w:numPr>
      <w:spacing w:before="120" w:after="120"/>
      <w:contextualSpacing w:val="0"/>
    </w:pPr>
    <w:rPr>
      <w:rFonts w:eastAsia="Cambria" w:cs="Arial"/>
    </w:rPr>
  </w:style>
  <w:style w:type="paragraph" w:customStyle="1" w:styleId="ListNumber1">
    <w:name w:val="List Number 1"/>
    <w:basedOn w:val="Normal"/>
    <w:rsid w:val="004C4824"/>
    <w:pPr>
      <w:numPr>
        <w:ilvl w:val="1"/>
        <w:numId w:val="9"/>
      </w:numPr>
      <w:contextualSpacing/>
    </w:pPr>
    <w:rPr>
      <w:rFonts w:eastAsiaTheme="minorHAnsi" w:cstheme="minorHAnsi"/>
      <w:szCs w:val="22"/>
    </w:rPr>
  </w:style>
  <w:style w:type="paragraph" w:customStyle="1" w:styleId="NormalNo">
    <w:name w:val="Normal + No"/>
    <w:basedOn w:val="Normal"/>
    <w:qFormat/>
    <w:rsid w:val="004C4824"/>
    <w:pPr>
      <w:numPr>
        <w:numId w:val="10"/>
      </w:numPr>
    </w:pPr>
    <w:rPr>
      <w:rFonts w:eastAsia="MS Mincho"/>
      <w:b/>
      <w:sz w:val="22"/>
    </w:rPr>
  </w:style>
  <w:style w:type="paragraph" w:customStyle="1" w:styleId="Bullet3">
    <w:name w:val="Bullet 3"/>
    <w:basedOn w:val="ListParagraph"/>
    <w:qFormat/>
    <w:rsid w:val="004C4824"/>
    <w:pPr>
      <w:numPr>
        <w:numId w:val="13"/>
      </w:numPr>
      <w:spacing w:before="120" w:after="120"/>
      <w:ind w:right="425"/>
    </w:pPr>
    <w:rPr>
      <w:rFonts w:cs="Arial"/>
      <w:i/>
      <w:iCs/>
    </w:rPr>
  </w:style>
  <w:style w:type="paragraph" w:customStyle="1" w:styleId="Indent">
    <w:name w:val="Indent"/>
    <w:basedOn w:val="Normal"/>
    <w:qFormat/>
    <w:rsid w:val="004C4824"/>
    <w:pPr>
      <w:ind w:left="567"/>
    </w:pPr>
    <w:rPr>
      <w:rFonts w:cs="Arial"/>
      <w:b/>
    </w:rPr>
  </w:style>
  <w:style w:type="paragraph" w:customStyle="1" w:styleId="TitreTableau">
    <w:name w:val="Titre Tableau"/>
    <w:basedOn w:val="Normal"/>
    <w:qFormat/>
    <w:rsid w:val="004C4824"/>
    <w:pPr>
      <w:spacing w:before="120"/>
      <w:jc w:val="center"/>
    </w:pPr>
    <w:rPr>
      <w:rFonts w:cs="Arial"/>
      <w:b/>
      <w:bCs/>
      <w:color w:val="FFFFFF" w:themeColor="background1"/>
      <w:lang w:val="en-CA"/>
    </w:rPr>
  </w:style>
  <w:style w:type="paragraph" w:customStyle="1" w:styleId="BulletTableau">
    <w:name w:val="Bullet Tableau"/>
    <w:basedOn w:val="Bullet2"/>
    <w:qFormat/>
    <w:rsid w:val="004C4824"/>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FootnoteTextChar"/>
    <w:uiPriority w:val="9"/>
    <w:qFormat/>
    <w:rsid w:val="00447A15"/>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DD5844"/>
    <w:pPr>
      <w:ind w:left="720"/>
      <w:contextualSpacing/>
    </w:pPr>
  </w:style>
  <w:style w:type="table" w:styleId="BalloonTextChar">
    <w:name w:val="Table Grid"/>
    <w:basedOn w:val="TableNormal"/>
    <w:uiPriority w:val="59"/>
    <w:rsid w:val="00A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Normal (Web)"/>
    <w:basedOn w:val="Normal"/>
    <w:uiPriority w:val="99"/>
    <w:unhideWhenUsed/>
    <w:rsid w:val="007F35D1"/>
    <w:pPr>
      <w:spacing w:before="100" w:beforeAutospacing="1" w:after="100" w:afterAutospacing="1"/>
    </w:pPr>
    <w:rPr>
      <w:rFonts w:ascii="Times" w:hAnsi="Times" w:cs="Times New Roman"/>
      <w:lang w:val="en-US"/>
    </w:rPr>
  </w:style>
  <w:style w:type="character" w:styleId="TableGrid">
    <w:name w:val="Strong"/>
    <w:basedOn w:val="DefaultParagraphFont"/>
    <w:uiPriority w:val="22"/>
    <w:qFormat/>
    <w:rsid w:val="0052540E"/>
    <w:rPr>
      <w:b/>
      <w:bCs/>
    </w:rPr>
  </w:style>
  <w:style w:type="character" w:customStyle="1" w:styleId="NormalWeb">
    <w:name w:val="apple-converted-space"/>
    <w:basedOn w:val="DefaultParagraphFont"/>
    <w:rsid w:val="0052540E"/>
  </w:style>
  <w:style w:type="paragraph" w:styleId="Strong">
    <w:name w:val="footnote text"/>
    <w:basedOn w:val="Normal"/>
    <w:link w:val="apple-converted-space"/>
    <w:uiPriority w:val="99"/>
    <w:unhideWhenUsed/>
    <w:rsid w:val="00447A15"/>
    <w:rPr>
      <w:sz w:val="24"/>
      <w:szCs w:val="24"/>
    </w:rPr>
  </w:style>
  <w:style w:type="character" w:customStyle="1" w:styleId="apple-converted-space">
    <w:name w:val="Footnote Text Char"/>
    <w:basedOn w:val="DefaultParagraphFont"/>
    <w:link w:val="Strong"/>
    <w:uiPriority w:val="99"/>
    <w:rsid w:val="00447A15"/>
    <w:rPr>
      <w:sz w:val="24"/>
      <w:szCs w:val="24"/>
      <w:lang w:val="en-GB"/>
    </w:rPr>
  </w:style>
  <w:style w:type="character" w:styleId="FootnoteText">
    <w:name w:val="footnote reference"/>
    <w:basedOn w:val="DefaultParagraphFont"/>
    <w:uiPriority w:val="99"/>
    <w:unhideWhenUsed/>
    <w:rsid w:val="00447A15"/>
    <w:rPr>
      <w:vertAlign w:val="superscript"/>
    </w:rPr>
  </w:style>
  <w:style w:type="character" w:customStyle="1" w:styleId="FootnoteTextChar">
    <w:name w:val="Heading 1 Char"/>
    <w:basedOn w:val="DefaultParagraphFont"/>
    <w:link w:val="Heading1"/>
    <w:uiPriority w:val="9"/>
    <w:rsid w:val="00447A15"/>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434054577">
      <w:bodyDiv w:val="1"/>
      <w:marLeft w:val="0"/>
      <w:marRight w:val="0"/>
      <w:marTop w:val="0"/>
      <w:marBottom w:val="0"/>
      <w:divBdr>
        <w:top w:val="none" w:sz="0" w:space="0" w:color="auto"/>
        <w:left w:val="none" w:sz="0" w:space="0" w:color="auto"/>
        <w:bottom w:val="none" w:sz="0" w:space="0" w:color="auto"/>
        <w:right w:val="none" w:sz="0" w:space="0" w:color="auto"/>
      </w:divBdr>
      <w:divsChild>
        <w:div w:id="273441149">
          <w:marLeft w:val="0"/>
          <w:marRight w:val="0"/>
          <w:marTop w:val="0"/>
          <w:marBottom w:val="0"/>
          <w:divBdr>
            <w:top w:val="none" w:sz="0" w:space="0" w:color="auto"/>
            <w:left w:val="none" w:sz="0" w:space="0" w:color="auto"/>
            <w:bottom w:val="none" w:sz="0" w:space="0" w:color="auto"/>
            <w:right w:val="none" w:sz="0" w:space="0" w:color="auto"/>
          </w:divBdr>
          <w:divsChild>
            <w:div w:id="246691794">
              <w:marLeft w:val="0"/>
              <w:marRight w:val="0"/>
              <w:marTop w:val="0"/>
              <w:marBottom w:val="0"/>
              <w:divBdr>
                <w:top w:val="none" w:sz="0" w:space="0" w:color="auto"/>
                <w:left w:val="none" w:sz="0" w:space="0" w:color="auto"/>
                <w:bottom w:val="none" w:sz="0" w:space="0" w:color="auto"/>
                <w:right w:val="none" w:sz="0" w:space="0" w:color="auto"/>
              </w:divBdr>
              <w:divsChild>
                <w:div w:id="424031846">
                  <w:marLeft w:val="0"/>
                  <w:marRight w:val="0"/>
                  <w:marTop w:val="0"/>
                  <w:marBottom w:val="0"/>
                  <w:divBdr>
                    <w:top w:val="none" w:sz="0" w:space="0" w:color="auto"/>
                    <w:left w:val="none" w:sz="0" w:space="0" w:color="auto"/>
                    <w:bottom w:val="none" w:sz="0" w:space="0" w:color="auto"/>
                    <w:right w:val="none" w:sz="0" w:space="0" w:color="auto"/>
                  </w:divBdr>
                  <w:divsChild>
                    <w:div w:id="2085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9800">
      <w:bodyDiv w:val="1"/>
      <w:marLeft w:val="0"/>
      <w:marRight w:val="0"/>
      <w:marTop w:val="0"/>
      <w:marBottom w:val="0"/>
      <w:divBdr>
        <w:top w:val="none" w:sz="0" w:space="0" w:color="auto"/>
        <w:left w:val="none" w:sz="0" w:space="0" w:color="auto"/>
        <w:bottom w:val="none" w:sz="0" w:space="0" w:color="auto"/>
        <w:right w:val="none" w:sz="0" w:space="0" w:color="auto"/>
      </w:divBdr>
    </w:div>
    <w:div w:id="750392171">
      <w:bodyDiv w:val="1"/>
      <w:marLeft w:val="0"/>
      <w:marRight w:val="0"/>
      <w:marTop w:val="0"/>
      <w:marBottom w:val="0"/>
      <w:divBdr>
        <w:top w:val="none" w:sz="0" w:space="0" w:color="auto"/>
        <w:left w:val="none" w:sz="0" w:space="0" w:color="auto"/>
        <w:bottom w:val="none" w:sz="0" w:space="0" w:color="auto"/>
        <w:right w:val="none" w:sz="0" w:space="0" w:color="auto"/>
      </w:divBdr>
    </w:div>
    <w:div w:id="812913936">
      <w:bodyDiv w:val="1"/>
      <w:marLeft w:val="0"/>
      <w:marRight w:val="0"/>
      <w:marTop w:val="0"/>
      <w:marBottom w:val="0"/>
      <w:divBdr>
        <w:top w:val="none" w:sz="0" w:space="0" w:color="auto"/>
        <w:left w:val="none" w:sz="0" w:space="0" w:color="auto"/>
        <w:bottom w:val="none" w:sz="0" w:space="0" w:color="auto"/>
        <w:right w:val="none" w:sz="0" w:space="0" w:color="auto"/>
      </w:divBdr>
      <w:divsChild>
        <w:div w:id="1293556782">
          <w:marLeft w:val="0"/>
          <w:marRight w:val="0"/>
          <w:marTop w:val="0"/>
          <w:marBottom w:val="0"/>
          <w:divBdr>
            <w:top w:val="none" w:sz="0" w:space="0" w:color="auto"/>
            <w:left w:val="none" w:sz="0" w:space="0" w:color="auto"/>
            <w:bottom w:val="none" w:sz="0" w:space="0" w:color="auto"/>
            <w:right w:val="none" w:sz="0" w:space="0" w:color="auto"/>
          </w:divBdr>
          <w:divsChild>
            <w:div w:id="124083542">
              <w:marLeft w:val="0"/>
              <w:marRight w:val="0"/>
              <w:marTop w:val="0"/>
              <w:marBottom w:val="0"/>
              <w:divBdr>
                <w:top w:val="none" w:sz="0" w:space="0" w:color="auto"/>
                <w:left w:val="none" w:sz="0" w:space="0" w:color="auto"/>
                <w:bottom w:val="none" w:sz="0" w:space="0" w:color="auto"/>
                <w:right w:val="none" w:sz="0" w:space="0" w:color="auto"/>
              </w:divBdr>
              <w:divsChild>
                <w:div w:id="558201918">
                  <w:marLeft w:val="0"/>
                  <w:marRight w:val="0"/>
                  <w:marTop w:val="0"/>
                  <w:marBottom w:val="0"/>
                  <w:divBdr>
                    <w:top w:val="none" w:sz="0" w:space="0" w:color="auto"/>
                    <w:left w:val="none" w:sz="0" w:space="0" w:color="auto"/>
                    <w:bottom w:val="none" w:sz="0" w:space="0" w:color="auto"/>
                    <w:right w:val="none" w:sz="0" w:space="0" w:color="auto"/>
                  </w:divBdr>
                  <w:divsChild>
                    <w:div w:id="13799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870">
      <w:bodyDiv w:val="1"/>
      <w:marLeft w:val="0"/>
      <w:marRight w:val="0"/>
      <w:marTop w:val="0"/>
      <w:marBottom w:val="0"/>
      <w:divBdr>
        <w:top w:val="none" w:sz="0" w:space="0" w:color="auto"/>
        <w:left w:val="none" w:sz="0" w:space="0" w:color="auto"/>
        <w:bottom w:val="none" w:sz="0" w:space="0" w:color="auto"/>
        <w:right w:val="none" w:sz="0" w:space="0" w:color="auto"/>
      </w:divBdr>
      <w:divsChild>
        <w:div w:id="1961036378">
          <w:marLeft w:val="0"/>
          <w:marRight w:val="0"/>
          <w:marTop w:val="0"/>
          <w:marBottom w:val="0"/>
          <w:divBdr>
            <w:top w:val="none" w:sz="0" w:space="0" w:color="auto"/>
            <w:left w:val="none" w:sz="0" w:space="0" w:color="auto"/>
            <w:bottom w:val="none" w:sz="0" w:space="0" w:color="auto"/>
            <w:right w:val="none" w:sz="0" w:space="0" w:color="auto"/>
          </w:divBdr>
          <w:divsChild>
            <w:div w:id="441460642">
              <w:marLeft w:val="0"/>
              <w:marRight w:val="0"/>
              <w:marTop w:val="0"/>
              <w:marBottom w:val="0"/>
              <w:divBdr>
                <w:top w:val="none" w:sz="0" w:space="0" w:color="auto"/>
                <w:left w:val="none" w:sz="0" w:space="0" w:color="auto"/>
                <w:bottom w:val="none" w:sz="0" w:space="0" w:color="auto"/>
                <w:right w:val="none" w:sz="0" w:space="0" w:color="auto"/>
              </w:divBdr>
              <w:divsChild>
                <w:div w:id="805590273">
                  <w:marLeft w:val="0"/>
                  <w:marRight w:val="0"/>
                  <w:marTop w:val="0"/>
                  <w:marBottom w:val="0"/>
                  <w:divBdr>
                    <w:top w:val="none" w:sz="0" w:space="0" w:color="auto"/>
                    <w:left w:val="none" w:sz="0" w:space="0" w:color="auto"/>
                    <w:bottom w:val="none" w:sz="0" w:space="0" w:color="auto"/>
                    <w:right w:val="none" w:sz="0" w:space="0" w:color="auto"/>
                  </w:divBdr>
                  <w:divsChild>
                    <w:div w:id="118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0846">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576817910">
              <w:marLeft w:val="0"/>
              <w:marRight w:val="0"/>
              <w:marTop w:val="0"/>
              <w:marBottom w:val="0"/>
              <w:divBdr>
                <w:top w:val="none" w:sz="0" w:space="0" w:color="auto"/>
                <w:left w:val="none" w:sz="0" w:space="0" w:color="auto"/>
                <w:bottom w:val="none" w:sz="0" w:space="0" w:color="auto"/>
                <w:right w:val="none" w:sz="0" w:space="0" w:color="auto"/>
              </w:divBdr>
              <w:divsChild>
                <w:div w:id="1418018512">
                  <w:marLeft w:val="0"/>
                  <w:marRight w:val="0"/>
                  <w:marTop w:val="0"/>
                  <w:marBottom w:val="0"/>
                  <w:divBdr>
                    <w:top w:val="none" w:sz="0" w:space="0" w:color="auto"/>
                    <w:left w:val="none" w:sz="0" w:space="0" w:color="auto"/>
                    <w:bottom w:val="none" w:sz="0" w:space="0" w:color="auto"/>
                    <w:right w:val="none" w:sz="0" w:space="0" w:color="auto"/>
                  </w:divBdr>
                  <w:divsChild>
                    <w:div w:id="1956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06">
      <w:bodyDiv w:val="1"/>
      <w:marLeft w:val="0"/>
      <w:marRight w:val="0"/>
      <w:marTop w:val="0"/>
      <w:marBottom w:val="0"/>
      <w:divBdr>
        <w:top w:val="none" w:sz="0" w:space="0" w:color="auto"/>
        <w:left w:val="none" w:sz="0" w:space="0" w:color="auto"/>
        <w:bottom w:val="none" w:sz="0" w:space="0" w:color="auto"/>
        <w:right w:val="none" w:sz="0" w:space="0" w:color="auto"/>
      </w:divBdr>
    </w:div>
    <w:div w:id="1225795572">
      <w:bodyDiv w:val="1"/>
      <w:marLeft w:val="0"/>
      <w:marRight w:val="0"/>
      <w:marTop w:val="0"/>
      <w:marBottom w:val="0"/>
      <w:divBdr>
        <w:top w:val="none" w:sz="0" w:space="0" w:color="auto"/>
        <w:left w:val="none" w:sz="0" w:space="0" w:color="auto"/>
        <w:bottom w:val="none" w:sz="0" w:space="0" w:color="auto"/>
        <w:right w:val="none" w:sz="0" w:space="0" w:color="auto"/>
      </w:divBdr>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3">
          <w:marLeft w:val="0"/>
          <w:marRight w:val="0"/>
          <w:marTop w:val="0"/>
          <w:marBottom w:val="0"/>
          <w:divBdr>
            <w:top w:val="none" w:sz="0" w:space="0" w:color="auto"/>
            <w:left w:val="none" w:sz="0" w:space="0" w:color="auto"/>
            <w:bottom w:val="none" w:sz="0" w:space="0" w:color="auto"/>
            <w:right w:val="none" w:sz="0" w:space="0" w:color="auto"/>
          </w:divBdr>
          <w:divsChild>
            <w:div w:id="1754740296">
              <w:marLeft w:val="0"/>
              <w:marRight w:val="0"/>
              <w:marTop w:val="0"/>
              <w:marBottom w:val="0"/>
              <w:divBdr>
                <w:top w:val="none" w:sz="0" w:space="0" w:color="auto"/>
                <w:left w:val="none" w:sz="0" w:space="0" w:color="auto"/>
                <w:bottom w:val="none" w:sz="0" w:space="0" w:color="auto"/>
                <w:right w:val="none" w:sz="0" w:space="0" w:color="auto"/>
              </w:divBdr>
              <w:divsChild>
                <w:div w:id="690448017">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067">
      <w:bodyDiv w:val="1"/>
      <w:marLeft w:val="0"/>
      <w:marRight w:val="0"/>
      <w:marTop w:val="0"/>
      <w:marBottom w:val="0"/>
      <w:divBdr>
        <w:top w:val="none" w:sz="0" w:space="0" w:color="auto"/>
        <w:left w:val="none" w:sz="0" w:space="0" w:color="auto"/>
        <w:bottom w:val="none" w:sz="0" w:space="0" w:color="auto"/>
        <w:right w:val="none" w:sz="0" w:space="0" w:color="auto"/>
      </w:divBdr>
    </w:div>
    <w:div w:id="1652709242">
      <w:bodyDiv w:val="1"/>
      <w:marLeft w:val="0"/>
      <w:marRight w:val="0"/>
      <w:marTop w:val="0"/>
      <w:marBottom w:val="0"/>
      <w:divBdr>
        <w:top w:val="none" w:sz="0" w:space="0" w:color="auto"/>
        <w:left w:val="none" w:sz="0" w:space="0" w:color="auto"/>
        <w:bottom w:val="none" w:sz="0" w:space="0" w:color="auto"/>
        <w:right w:val="none" w:sz="0" w:space="0" w:color="auto"/>
      </w:divBdr>
    </w:div>
    <w:div w:id="1755012580">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71">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291013980">
                  <w:marLeft w:val="0"/>
                  <w:marRight w:val="0"/>
                  <w:marTop w:val="0"/>
                  <w:marBottom w:val="0"/>
                  <w:divBdr>
                    <w:top w:val="none" w:sz="0" w:space="0" w:color="auto"/>
                    <w:left w:val="none" w:sz="0" w:space="0" w:color="auto"/>
                    <w:bottom w:val="none" w:sz="0" w:space="0" w:color="auto"/>
                    <w:right w:val="none" w:sz="0" w:space="0" w:color="auto"/>
                  </w:divBdr>
                  <w:divsChild>
                    <w:div w:id="211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5312">
      <w:bodyDiv w:val="1"/>
      <w:marLeft w:val="0"/>
      <w:marRight w:val="0"/>
      <w:marTop w:val="0"/>
      <w:marBottom w:val="0"/>
      <w:divBdr>
        <w:top w:val="none" w:sz="0" w:space="0" w:color="auto"/>
        <w:left w:val="none" w:sz="0" w:space="0" w:color="auto"/>
        <w:bottom w:val="none" w:sz="0" w:space="0" w:color="auto"/>
        <w:right w:val="none" w:sz="0" w:space="0" w:color="auto"/>
      </w:divBdr>
      <w:divsChild>
        <w:div w:id="1963533090">
          <w:marLeft w:val="0"/>
          <w:marRight w:val="0"/>
          <w:marTop w:val="0"/>
          <w:marBottom w:val="0"/>
          <w:divBdr>
            <w:top w:val="none" w:sz="0" w:space="0" w:color="auto"/>
            <w:left w:val="none" w:sz="0" w:space="0" w:color="auto"/>
            <w:bottom w:val="none" w:sz="0" w:space="0" w:color="auto"/>
            <w:right w:val="none" w:sz="0" w:space="0" w:color="auto"/>
          </w:divBdr>
          <w:divsChild>
            <w:div w:id="1319385472">
              <w:marLeft w:val="0"/>
              <w:marRight w:val="0"/>
              <w:marTop w:val="0"/>
              <w:marBottom w:val="0"/>
              <w:divBdr>
                <w:top w:val="none" w:sz="0" w:space="0" w:color="auto"/>
                <w:left w:val="none" w:sz="0" w:space="0" w:color="auto"/>
                <w:bottom w:val="none" w:sz="0" w:space="0" w:color="auto"/>
                <w:right w:val="none" w:sz="0" w:space="0" w:color="auto"/>
              </w:divBdr>
              <w:divsChild>
                <w:div w:id="426266008">
                  <w:marLeft w:val="0"/>
                  <w:marRight w:val="0"/>
                  <w:marTop w:val="0"/>
                  <w:marBottom w:val="0"/>
                  <w:divBdr>
                    <w:top w:val="none" w:sz="0" w:space="0" w:color="auto"/>
                    <w:left w:val="none" w:sz="0" w:space="0" w:color="auto"/>
                    <w:bottom w:val="none" w:sz="0" w:space="0" w:color="auto"/>
                    <w:right w:val="none" w:sz="0" w:space="0" w:color="auto"/>
                  </w:divBdr>
                  <w:divsChild>
                    <w:div w:id="964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ap.org/resource/52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52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49</cp:revision>
  <cp:lastPrinted>2015-10-13T19:09:00Z</cp:lastPrinted>
  <dcterms:created xsi:type="dcterms:W3CDTF">2014-12-10T17:55:00Z</dcterms:created>
  <dcterms:modified xsi:type="dcterms:W3CDTF">2016-02-12T11:23:00Z</dcterms:modified>
</cp:coreProperties>
</file>