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9435" w14:textId="649FE8B0" w:rsidR="00F13CF8" w:rsidRPr="00D01368" w:rsidRDefault="002D6090" w:rsidP="008B379C">
      <w:pPr>
        <w:pStyle w:val="H1"/>
        <w:rPr>
          <w:rFonts w:ascii="Times New Roman" w:hAnsi="Times New Roman"/>
          <w:lang w:val="ru-RU"/>
        </w:rPr>
      </w:pPr>
      <w:r w:rsidRPr="00D01368">
        <w:rPr>
          <w:rFonts w:ascii="Times New Roman" w:hAnsi="Times New Roman"/>
          <w:lang w:val="ru-RU"/>
        </w:rPr>
        <w:t>Дорожная карта по вопросам обеспечения готовности</w:t>
      </w:r>
    </w:p>
    <w:p w14:paraId="27342F04" w14:textId="0D557271" w:rsidR="00E91929" w:rsidRPr="00D01368" w:rsidRDefault="00E91929" w:rsidP="00E91929">
      <w:pPr>
        <w:pStyle w:val="H1"/>
        <w:ind w:left="-170"/>
        <w:rPr>
          <w:rFonts w:ascii="Times New Roman" w:hAnsi="Times New Roman"/>
          <w:lang w:val="ru-RU"/>
        </w:rPr>
      </w:pPr>
    </w:p>
    <w:p w14:paraId="08E70AEE" w14:textId="4CAAE9F2" w:rsidR="007D1A58" w:rsidRPr="00D01368" w:rsidRDefault="002D6090" w:rsidP="00674833">
      <w:pPr>
        <w:pStyle w:val="2"/>
        <w:rPr>
          <w:rFonts w:ascii="Times New Roman" w:hAnsi="Times New Roman"/>
          <w:lang w:val="ru-RU"/>
        </w:rPr>
      </w:pPr>
      <w:r w:rsidRPr="00D01368">
        <w:rPr>
          <w:rFonts w:ascii="Times New Roman" w:hAnsi="Times New Roman"/>
          <w:lang w:val="ru-RU"/>
        </w:rPr>
        <w:t>Введение</w:t>
      </w:r>
      <w:bookmarkStart w:id="0" w:name="_GoBack"/>
      <w:bookmarkEnd w:id="0"/>
    </w:p>
    <w:p w14:paraId="7C1DE7F3" w14:textId="564B0609" w:rsidR="002D6090" w:rsidRPr="00D01368" w:rsidRDefault="002D6090" w:rsidP="00674833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Подготовка к осуществлению программ </w:t>
      </w:r>
      <w:r w:rsidR="00D01368">
        <w:rPr>
          <w:rFonts w:ascii="Times New Roman" w:hAnsi="Times New Roman"/>
          <w:sz w:val="28"/>
          <w:szCs w:val="28"/>
          <w:lang w:val="ru-RU"/>
        </w:rPr>
        <w:t>должна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способствовать повышению оперативный готовности в целях обеспечения своевременного и полномасштабного экстренного реагирования.</w:t>
      </w:r>
      <w:r w:rsidR="00D01368">
        <w:rPr>
          <w:rFonts w:ascii="Times New Roman" w:hAnsi="Times New Roman"/>
          <w:sz w:val="28"/>
          <w:szCs w:val="28"/>
          <w:lang w:val="ru-RU"/>
        </w:rPr>
        <w:t xml:space="preserve"> При условии хорошей подготовки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D01368">
        <w:rPr>
          <w:rFonts w:ascii="Times New Roman" w:hAnsi="Times New Roman"/>
          <w:sz w:val="28"/>
          <w:szCs w:val="28"/>
          <w:lang w:val="ru-RU"/>
        </w:rPr>
        <w:t>денежных переводов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могут осуществляться быстро и в широких масштабах. Если вы уже </w:t>
      </w:r>
      <w:r w:rsidR="003E48FB" w:rsidRPr="00D01368">
        <w:rPr>
          <w:rFonts w:ascii="Times New Roman" w:hAnsi="Times New Roman"/>
          <w:sz w:val="28"/>
          <w:szCs w:val="28"/>
          <w:lang w:val="ru-RU"/>
        </w:rPr>
        <w:t xml:space="preserve">разработали общие планы по обеспечению готовности, а также планы готовности на случай ЧС, необходимо удостовериться, что </w:t>
      </w:r>
      <w:r w:rsidR="00F14449" w:rsidRPr="00D01368">
        <w:rPr>
          <w:rFonts w:ascii="Times New Roman" w:hAnsi="Times New Roman"/>
          <w:sz w:val="28"/>
          <w:szCs w:val="28"/>
          <w:lang w:val="ru-RU"/>
        </w:rPr>
        <w:t>в этих плана</w:t>
      </w:r>
      <w:r w:rsidR="00D01368">
        <w:rPr>
          <w:rFonts w:ascii="Times New Roman" w:hAnsi="Times New Roman"/>
          <w:sz w:val="28"/>
          <w:szCs w:val="28"/>
          <w:lang w:val="ru-RU"/>
        </w:rPr>
        <w:t>х</w:t>
      </w:r>
      <w:r w:rsidR="00F14449" w:rsidRPr="00D01368">
        <w:rPr>
          <w:rFonts w:ascii="Times New Roman" w:hAnsi="Times New Roman"/>
          <w:sz w:val="28"/>
          <w:szCs w:val="28"/>
          <w:lang w:val="ru-RU"/>
        </w:rPr>
        <w:t xml:space="preserve"> учтены программы денежных переводов</w:t>
      </w:r>
      <w:r w:rsidR="00FC3895">
        <w:rPr>
          <w:rFonts w:ascii="Times New Roman" w:hAnsi="Times New Roman"/>
          <w:sz w:val="28"/>
          <w:szCs w:val="28"/>
          <w:lang w:val="ru-RU"/>
        </w:rPr>
        <w:t xml:space="preserve"> (ПДП)</w:t>
      </w:r>
      <w:r w:rsidR="00F14449" w:rsidRPr="00D013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4F2CE23" w14:textId="01ECD242" w:rsidR="00D53C90" w:rsidRPr="00D01368" w:rsidRDefault="00333B8D" w:rsidP="00674833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i/>
          <w:sz w:val="28"/>
          <w:szCs w:val="28"/>
          <w:lang w:val="ru-RU"/>
        </w:rPr>
        <w:t>Руководящими</w:t>
      </w:r>
      <w:r w:rsidR="00F14449" w:rsidRPr="00D01368">
        <w:rPr>
          <w:rFonts w:ascii="Times New Roman" w:hAnsi="Times New Roman"/>
          <w:i/>
          <w:sz w:val="28"/>
          <w:szCs w:val="28"/>
          <w:lang w:val="ru-RU"/>
        </w:rPr>
        <w:t xml:space="preserve"> указания</w:t>
      </w:r>
      <w:r w:rsidRPr="00D01368">
        <w:rPr>
          <w:rFonts w:ascii="Times New Roman" w:hAnsi="Times New Roman"/>
          <w:i/>
          <w:sz w:val="28"/>
          <w:szCs w:val="28"/>
          <w:lang w:val="ru-RU"/>
        </w:rPr>
        <w:t>ми</w:t>
      </w:r>
      <w:r w:rsidR="00F14449" w:rsidRPr="00D01368">
        <w:rPr>
          <w:rFonts w:ascii="Times New Roman" w:hAnsi="Times New Roman"/>
          <w:i/>
          <w:sz w:val="28"/>
          <w:szCs w:val="28"/>
          <w:lang w:val="ru-RU"/>
        </w:rPr>
        <w:t xml:space="preserve"> по </w:t>
      </w:r>
      <w:r w:rsidR="00FC3895" w:rsidRPr="00D013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="00F14449" w:rsidRPr="00D01368">
        <w:rPr>
          <w:rFonts w:ascii="Times New Roman" w:hAnsi="Times New Roman"/>
          <w:i/>
          <w:sz w:val="28"/>
          <w:szCs w:val="28"/>
          <w:lang w:val="ru-RU"/>
        </w:rPr>
        <w:t xml:space="preserve"> ПДП и их подготовк</w:t>
      </w:r>
      <w:r w:rsidR="00FC3895">
        <w:rPr>
          <w:rFonts w:ascii="Times New Roman" w:hAnsi="Times New Roman"/>
          <w:i/>
          <w:sz w:val="28"/>
          <w:szCs w:val="28"/>
          <w:lang w:val="ru-RU"/>
        </w:rPr>
        <w:t>е</w:t>
      </w:r>
      <w:r w:rsidR="00FC3895">
        <w:rPr>
          <w:rFonts w:ascii="Times New Roman" w:hAnsi="Times New Roman"/>
          <w:sz w:val="28"/>
          <w:szCs w:val="28"/>
          <w:lang w:val="ru-RU"/>
        </w:rPr>
        <w:t>, разработанными</w:t>
      </w:r>
      <w:r w:rsidR="00F14449" w:rsidRPr="00D01368">
        <w:rPr>
          <w:rFonts w:ascii="Times New Roman" w:hAnsi="Times New Roman"/>
          <w:sz w:val="28"/>
          <w:szCs w:val="28"/>
          <w:lang w:val="ru-RU"/>
        </w:rPr>
        <w:t xml:space="preserve"> Международным движением Красного Креста и Красного Полумесяца (Движение)</w:t>
      </w:r>
      <w:r w:rsidR="00FC3895">
        <w:rPr>
          <w:rFonts w:ascii="Times New Roman" w:hAnsi="Times New Roman"/>
          <w:sz w:val="28"/>
          <w:szCs w:val="28"/>
          <w:lang w:val="ru-RU"/>
        </w:rPr>
        <w:t>,</w:t>
      </w:r>
      <w:r w:rsidR="00F14449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368">
        <w:rPr>
          <w:rFonts w:ascii="Times New Roman" w:hAnsi="Times New Roman"/>
          <w:sz w:val="28"/>
          <w:szCs w:val="28"/>
          <w:lang w:val="ru-RU"/>
        </w:rPr>
        <w:t>предлагается трехступенчатый процесс разработки Плана действий и стратегии по обеспечению готовности к осуществлению ПДП. Методические материалы по вопросам предоставления наличных денежных средств в у</w:t>
      </w:r>
      <w:r w:rsidR="00FC3895">
        <w:rPr>
          <w:rFonts w:ascii="Times New Roman" w:hAnsi="Times New Roman"/>
          <w:sz w:val="28"/>
          <w:szCs w:val="28"/>
          <w:lang w:val="ru-RU"/>
        </w:rPr>
        <w:t>словиях ЧС содержат описания ряд</w:t>
      </w:r>
      <w:r w:rsidRPr="00D01368">
        <w:rPr>
          <w:rFonts w:ascii="Times New Roman" w:hAnsi="Times New Roman"/>
          <w:sz w:val="28"/>
          <w:szCs w:val="28"/>
          <w:lang w:val="ru-RU"/>
        </w:rPr>
        <w:t>а</w:t>
      </w:r>
      <w:r w:rsidR="00FC3895">
        <w:rPr>
          <w:rFonts w:ascii="Times New Roman" w:hAnsi="Times New Roman"/>
          <w:sz w:val="28"/>
          <w:szCs w:val="28"/>
          <w:lang w:val="ru-RU"/>
        </w:rPr>
        <w:t xml:space="preserve"> инструм</w:t>
      </w:r>
      <w:r w:rsidRPr="00D01368">
        <w:rPr>
          <w:rFonts w:ascii="Times New Roman" w:hAnsi="Times New Roman"/>
          <w:sz w:val="28"/>
          <w:szCs w:val="28"/>
          <w:lang w:val="ru-RU"/>
        </w:rPr>
        <w:t>е</w:t>
      </w:r>
      <w:r w:rsidR="00FC3895">
        <w:rPr>
          <w:rFonts w:ascii="Times New Roman" w:hAnsi="Times New Roman"/>
          <w:sz w:val="28"/>
          <w:szCs w:val="28"/>
          <w:lang w:val="ru-RU"/>
        </w:rPr>
        <w:t>н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тов для поддержки трех </w:t>
      </w:r>
      <w:r w:rsidR="00FC3895" w:rsidRPr="00D01368">
        <w:rPr>
          <w:rFonts w:ascii="Times New Roman" w:hAnsi="Times New Roman"/>
          <w:sz w:val="28"/>
          <w:szCs w:val="28"/>
          <w:lang w:val="ru-RU"/>
        </w:rPr>
        <w:t>перелагаемых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этапов</w:t>
      </w:r>
      <w:r w:rsidR="004948E4" w:rsidRPr="00D01368">
        <w:rPr>
          <w:rFonts w:ascii="Times New Roman" w:hAnsi="Times New Roman"/>
          <w:bCs/>
          <w:sz w:val="28"/>
          <w:szCs w:val="28"/>
          <w:lang w:val="ru-RU"/>
        </w:rPr>
        <w:t>:</w:t>
      </w:r>
      <w:r w:rsidR="00E6698A" w:rsidRPr="00D013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72793" w:rsidRPr="00D013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21DB0BA1" w14:textId="2F2934A2" w:rsidR="00E6698A" w:rsidRPr="00D01368" w:rsidRDefault="00333B8D" w:rsidP="00674833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b/>
          <w:sz w:val="28"/>
          <w:szCs w:val="28"/>
          <w:lang w:val="ru-RU"/>
        </w:rPr>
        <w:t>Этап</w:t>
      </w:r>
      <w:r w:rsidR="004948E4" w:rsidRPr="00D01368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090E17" w:rsidRPr="00D0136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D01368">
        <w:rPr>
          <w:rFonts w:ascii="Times New Roman" w:hAnsi="Times New Roman"/>
          <w:sz w:val="28"/>
          <w:szCs w:val="28"/>
          <w:lang w:val="ru-RU"/>
        </w:rPr>
        <w:t>Подготовка и анализ</w:t>
      </w:r>
    </w:p>
    <w:p w14:paraId="04E86651" w14:textId="430163FB" w:rsidR="005D170E" w:rsidRPr="00D01368" w:rsidRDefault="00333B8D" w:rsidP="00674833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b/>
          <w:sz w:val="28"/>
          <w:szCs w:val="28"/>
          <w:lang w:val="ru-RU"/>
        </w:rPr>
        <w:t>Этап</w:t>
      </w:r>
      <w:r w:rsidR="004948E4" w:rsidRPr="00D01368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="00090E17" w:rsidRPr="00D01368">
        <w:rPr>
          <w:rFonts w:ascii="Times New Roman" w:hAnsi="Times New Roman"/>
          <w:b/>
          <w:sz w:val="28"/>
          <w:szCs w:val="28"/>
          <w:lang w:val="ru-RU"/>
        </w:rPr>
        <w:t>.</w:t>
      </w:r>
      <w:r w:rsidR="005D170E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368">
        <w:rPr>
          <w:rFonts w:ascii="Times New Roman" w:hAnsi="Times New Roman"/>
          <w:sz w:val="28"/>
          <w:szCs w:val="28"/>
          <w:lang w:val="ru-RU"/>
        </w:rPr>
        <w:t>Разработка и реализация</w:t>
      </w:r>
    </w:p>
    <w:p w14:paraId="27C2286E" w14:textId="0CFAE002" w:rsidR="003E5563" w:rsidRPr="00D01368" w:rsidRDefault="00333B8D" w:rsidP="00674833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b/>
          <w:sz w:val="28"/>
          <w:szCs w:val="28"/>
          <w:lang w:val="ru-RU"/>
        </w:rPr>
        <w:t>Этап</w:t>
      </w:r>
      <w:r w:rsidR="004948E4" w:rsidRPr="00D01368"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="00090E17" w:rsidRPr="00D01368">
        <w:rPr>
          <w:rFonts w:ascii="Times New Roman" w:hAnsi="Times New Roman"/>
          <w:b/>
          <w:sz w:val="28"/>
          <w:szCs w:val="28"/>
          <w:lang w:val="ru-RU"/>
        </w:rPr>
        <w:t>.</w:t>
      </w:r>
      <w:r w:rsidR="005D170E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F11" w:rsidRPr="00D01368">
        <w:rPr>
          <w:rFonts w:ascii="Times New Roman" w:hAnsi="Times New Roman"/>
          <w:sz w:val="28"/>
          <w:szCs w:val="28"/>
          <w:lang w:val="ru-RU"/>
        </w:rPr>
        <w:t>Анализ, обучение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и совершенствование</w:t>
      </w:r>
    </w:p>
    <w:p w14:paraId="11BF82D6" w14:textId="61C32B2C" w:rsidR="00B550F3" w:rsidRPr="00D01368" w:rsidRDefault="003D137F" w:rsidP="00674833">
      <w:pPr>
        <w:rPr>
          <w:rFonts w:ascii="Times New Roman" w:hAnsi="Times New Roman"/>
          <w:bCs/>
          <w:sz w:val="28"/>
          <w:szCs w:val="28"/>
          <w:lang w:val="ru-RU"/>
        </w:rPr>
      </w:pPr>
      <w:r w:rsidRPr="00D01368">
        <w:rPr>
          <w:rFonts w:ascii="Times New Roman" w:hAnsi="Times New Roman"/>
          <w:bCs/>
          <w:sz w:val="28"/>
          <w:szCs w:val="28"/>
          <w:lang w:val="ru-RU"/>
        </w:rPr>
        <w:t xml:space="preserve">Для каждого этапа разработана дорожная карта с краткими руководящими указаниями, минимальными стандартами, </w:t>
      </w:r>
      <w:r w:rsidR="00D24D6B" w:rsidRPr="00D0136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D01368">
        <w:rPr>
          <w:rFonts w:ascii="Times New Roman" w:hAnsi="Times New Roman"/>
          <w:bCs/>
          <w:sz w:val="28"/>
          <w:szCs w:val="28"/>
          <w:lang w:val="ru-RU"/>
        </w:rPr>
        <w:t xml:space="preserve">писанием промежуточных шагов и существующих инструментов. </w:t>
      </w:r>
      <w:r w:rsidR="00E7239C" w:rsidRPr="00D01368">
        <w:rPr>
          <w:rFonts w:ascii="Times New Roman" w:hAnsi="Times New Roman"/>
          <w:bCs/>
          <w:sz w:val="28"/>
          <w:szCs w:val="28"/>
          <w:lang w:val="ru-RU"/>
        </w:rPr>
        <w:t xml:space="preserve">Предлагаемые шаги и </w:t>
      </w:r>
      <w:r w:rsidR="004953BD" w:rsidRPr="00D01368">
        <w:rPr>
          <w:rFonts w:ascii="Times New Roman" w:hAnsi="Times New Roman"/>
          <w:bCs/>
          <w:sz w:val="28"/>
          <w:szCs w:val="28"/>
          <w:lang w:val="ru-RU"/>
        </w:rPr>
        <w:t>инструменты</w:t>
      </w:r>
      <w:r w:rsidR="00E7239C" w:rsidRPr="00D01368">
        <w:rPr>
          <w:rFonts w:ascii="Times New Roman" w:hAnsi="Times New Roman"/>
          <w:bCs/>
          <w:sz w:val="28"/>
          <w:szCs w:val="28"/>
          <w:lang w:val="ru-RU"/>
        </w:rPr>
        <w:t xml:space="preserve"> могут быть адаптированы для </w:t>
      </w:r>
      <w:r w:rsidR="004953BD" w:rsidRPr="00D01368">
        <w:rPr>
          <w:rFonts w:ascii="Times New Roman" w:hAnsi="Times New Roman"/>
          <w:bCs/>
          <w:sz w:val="28"/>
          <w:szCs w:val="28"/>
          <w:lang w:val="ru-RU"/>
        </w:rPr>
        <w:t>использования</w:t>
      </w:r>
      <w:r w:rsidR="00E7239C" w:rsidRPr="00D01368">
        <w:rPr>
          <w:rFonts w:ascii="Times New Roman" w:hAnsi="Times New Roman"/>
          <w:bCs/>
          <w:sz w:val="28"/>
          <w:szCs w:val="28"/>
          <w:lang w:val="ru-RU"/>
        </w:rPr>
        <w:t xml:space="preserve"> разными </w:t>
      </w:r>
      <w:r w:rsidR="004953BD" w:rsidRPr="00D01368">
        <w:rPr>
          <w:rFonts w:ascii="Times New Roman" w:hAnsi="Times New Roman"/>
          <w:bCs/>
          <w:sz w:val="28"/>
          <w:szCs w:val="28"/>
          <w:lang w:val="ru-RU"/>
        </w:rPr>
        <w:t>организациями</w:t>
      </w:r>
      <w:r w:rsidR="00E7239C" w:rsidRPr="00D01368">
        <w:rPr>
          <w:rFonts w:ascii="Times New Roman" w:hAnsi="Times New Roman"/>
          <w:bCs/>
          <w:sz w:val="28"/>
          <w:szCs w:val="28"/>
          <w:lang w:val="ru-RU"/>
        </w:rPr>
        <w:t xml:space="preserve"> в разных условиях. При адаптации инструментов к конкретным условиям и потребностям </w:t>
      </w:r>
      <w:r w:rsidR="004953BD">
        <w:rPr>
          <w:rFonts w:ascii="Times New Roman" w:hAnsi="Times New Roman"/>
          <w:bCs/>
          <w:sz w:val="28"/>
          <w:szCs w:val="28"/>
          <w:lang w:val="ru-RU"/>
        </w:rPr>
        <w:t>рекомендуется</w:t>
      </w:r>
      <w:r w:rsidR="00DE4E52" w:rsidRPr="00D01368">
        <w:rPr>
          <w:rFonts w:ascii="Times New Roman" w:hAnsi="Times New Roman"/>
          <w:bCs/>
          <w:sz w:val="28"/>
          <w:szCs w:val="28"/>
          <w:lang w:val="ru-RU"/>
        </w:rPr>
        <w:t xml:space="preserve"> воспользоваться подробными </w:t>
      </w:r>
      <w:r w:rsidR="004953BD" w:rsidRPr="00D01368">
        <w:rPr>
          <w:rFonts w:ascii="Times New Roman" w:hAnsi="Times New Roman"/>
          <w:bCs/>
          <w:sz w:val="28"/>
          <w:szCs w:val="28"/>
          <w:lang w:val="ru-RU"/>
        </w:rPr>
        <w:t>инструкциями</w:t>
      </w:r>
      <w:r w:rsidR="00DE4E52" w:rsidRPr="00D01368">
        <w:rPr>
          <w:rFonts w:ascii="Times New Roman" w:hAnsi="Times New Roman"/>
          <w:bCs/>
          <w:sz w:val="28"/>
          <w:szCs w:val="28"/>
          <w:lang w:val="ru-RU"/>
        </w:rPr>
        <w:t xml:space="preserve"> по обеспечению готовности из предлагаемых справочных документов, которые можно найти как в основных так и в справочных разделах методических указаний. </w:t>
      </w:r>
      <w:r w:rsidR="00DE4E52" w:rsidRPr="00D01368">
        <w:rPr>
          <w:rFonts w:ascii="Times New Roman" w:eastAsia="+mn-ea" w:hAnsi="Times New Roman"/>
          <w:iCs/>
          <w:color w:val="000000"/>
          <w:kern w:val="24"/>
          <w:sz w:val="28"/>
          <w:szCs w:val="28"/>
          <w:lang w:val="ru-RU"/>
        </w:rPr>
        <w:t xml:space="preserve">Для каждого этапа предлагаются минимальные стандарты, позволяющие </w:t>
      </w:r>
      <w:r w:rsidR="00DE4E52" w:rsidRPr="00D01368">
        <w:rPr>
          <w:rFonts w:ascii="Times New Roman" w:eastAsia="+mn-ea" w:hAnsi="Times New Roman"/>
          <w:iCs/>
          <w:color w:val="000000"/>
          <w:kern w:val="24"/>
          <w:sz w:val="28"/>
          <w:szCs w:val="28"/>
          <w:lang w:val="ru-RU"/>
        </w:rPr>
        <w:lastRenderedPageBreak/>
        <w:t xml:space="preserve">специалистам-практикам понять, какие аспекты следует обязательно учитывать в своей работе. </w:t>
      </w:r>
    </w:p>
    <w:p w14:paraId="7B0B0163" w14:textId="152FB75D" w:rsidR="001B79C9" w:rsidRPr="00D01368" w:rsidRDefault="00DE4E52" w:rsidP="0016162D">
      <w:pPr>
        <w:pStyle w:val="2"/>
        <w:rPr>
          <w:rFonts w:ascii="Times New Roman" w:hAnsi="Times New Roman"/>
          <w:lang w:val="ru-RU"/>
        </w:rPr>
      </w:pPr>
      <w:r w:rsidRPr="00D01368">
        <w:rPr>
          <w:rFonts w:ascii="Times New Roman" w:hAnsi="Times New Roman"/>
          <w:lang w:val="ru-RU"/>
        </w:rPr>
        <w:t>МИНИМАЛЬНЫЕ СТАНДАРТЫ</w:t>
      </w:r>
    </w:p>
    <w:p w14:paraId="31672AD7" w14:textId="1427E3CC" w:rsidR="00C97F74" w:rsidRPr="00D01368" w:rsidRDefault="00DE4E52" w:rsidP="0016162D">
      <w:pPr>
        <w:pStyle w:val="Bullet1"/>
        <w:keepNext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ПДП должны быть интегрированы в стратегические планы, планы действий на случай ЧС и п</w:t>
      </w:r>
      <w:r w:rsidR="004953BD">
        <w:rPr>
          <w:rFonts w:ascii="Times New Roman" w:hAnsi="Times New Roman"/>
          <w:sz w:val="28"/>
          <w:szCs w:val="28"/>
          <w:lang w:val="ru-RU"/>
        </w:rPr>
        <w:t xml:space="preserve">ланы оперативного реагирования 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с учетом необходимых кадровых ресурсов, объемов </w:t>
      </w:r>
      <w:r w:rsidR="004953BD" w:rsidRPr="00D01368">
        <w:rPr>
          <w:rFonts w:ascii="Times New Roman" w:hAnsi="Times New Roman"/>
          <w:sz w:val="28"/>
          <w:szCs w:val="28"/>
          <w:lang w:val="ru-RU"/>
        </w:rPr>
        <w:t>финансирования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системы мониторинга и оценки, а </w:t>
      </w:r>
      <w:r w:rsidR="004953BD" w:rsidRPr="00D01368">
        <w:rPr>
          <w:rFonts w:ascii="Times New Roman" w:hAnsi="Times New Roman"/>
          <w:sz w:val="28"/>
          <w:szCs w:val="28"/>
          <w:lang w:val="ru-RU"/>
        </w:rPr>
        <w:t>также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систем мобилизации ресурсов. </w:t>
      </w:r>
      <w:r w:rsidR="00C97F74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896CE45" w14:textId="0BE456EE" w:rsidR="00095A26" w:rsidRPr="00D01368" w:rsidRDefault="00DE4E52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Различные подразделения, участвующие в потенциальных программах ПДП, и особенно департаменты логистики и </w:t>
      </w:r>
      <w:r w:rsidR="004953BD" w:rsidRPr="00D01368">
        <w:rPr>
          <w:rFonts w:ascii="Times New Roman" w:hAnsi="Times New Roman"/>
          <w:sz w:val="28"/>
          <w:szCs w:val="28"/>
          <w:lang w:val="ru-RU"/>
        </w:rPr>
        <w:t>финансов</w:t>
      </w:r>
      <w:r w:rsidRPr="00D01368">
        <w:rPr>
          <w:rFonts w:ascii="Times New Roman" w:hAnsi="Times New Roman"/>
          <w:sz w:val="28"/>
          <w:szCs w:val="28"/>
          <w:lang w:val="ru-RU"/>
        </w:rPr>
        <w:t>, должны сотрудничать друг с другом при планировании подготовительных этапов, популяризации таких программ и их реализации.</w:t>
      </w:r>
    </w:p>
    <w:p w14:paraId="633431CA" w14:textId="75D89E69" w:rsidR="00AB382D" w:rsidRPr="00D01368" w:rsidRDefault="00C74D7D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Сбор и анализ вторичных данных должен осуществляться, в первую очередь, с целью определения общей картины ситуации и проведения анализа исходной ситуации. </w:t>
      </w:r>
    </w:p>
    <w:p w14:paraId="5BA2F275" w14:textId="30AC3A97" w:rsidR="00AB382D" w:rsidRPr="00D01368" w:rsidRDefault="00C74D7D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Среди возможных сценариев необходимо разработать, по</w:t>
      </w:r>
      <w:r w:rsidR="004953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01368">
        <w:rPr>
          <w:rFonts w:ascii="Times New Roman" w:hAnsi="Times New Roman"/>
          <w:color w:val="000000" w:themeColor="text1"/>
          <w:sz w:val="28"/>
          <w:szCs w:val="28"/>
          <w:lang w:val="ru-RU"/>
        </w:rPr>
        <w:t>меньшей мере, сценарий наихудшего развития событий, основываясь на результатах анализа исходной ситуации, и в</w:t>
      </w:r>
      <w:r w:rsidR="004953BD">
        <w:rPr>
          <w:rFonts w:ascii="Times New Roman" w:hAnsi="Times New Roman"/>
          <w:color w:val="000000" w:themeColor="text1"/>
          <w:sz w:val="28"/>
          <w:szCs w:val="28"/>
          <w:lang w:val="ru-RU"/>
        </w:rPr>
        <w:t>ключить в него предварительное описание</w:t>
      </w:r>
      <w:r w:rsidRPr="00D013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потенциальных вариантов реагирования. </w:t>
      </w:r>
      <w:r w:rsidR="00A72793" w:rsidRPr="00D013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71666A8A" w14:textId="614148AB" w:rsidR="00CC7A23" w:rsidRPr="00D01368" w:rsidRDefault="00CC7A23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При проведении анализа </w:t>
      </w:r>
      <w:r w:rsidR="00FF3178">
        <w:rPr>
          <w:rFonts w:ascii="Times New Roman" w:hAnsi="Times New Roman"/>
          <w:sz w:val="28"/>
          <w:szCs w:val="28"/>
          <w:lang w:val="ru-RU"/>
        </w:rPr>
        <w:t xml:space="preserve">ситуации </w:t>
      </w:r>
      <w:r w:rsidRPr="00D01368">
        <w:rPr>
          <w:rFonts w:ascii="Times New Roman" w:hAnsi="Times New Roman"/>
          <w:sz w:val="28"/>
          <w:szCs w:val="28"/>
          <w:lang w:val="ru-RU"/>
        </w:rPr>
        <w:t>до наступления бедс</w:t>
      </w:r>
      <w:r w:rsidR="00FF3178">
        <w:rPr>
          <w:rFonts w:ascii="Times New Roman" w:hAnsi="Times New Roman"/>
          <w:sz w:val="28"/>
          <w:szCs w:val="28"/>
          <w:lang w:val="ru-RU"/>
        </w:rPr>
        <w:t>твия необходимо оценить основные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заинтересованные стороны, </w:t>
      </w:r>
      <w:r w:rsidR="00FF3178">
        <w:rPr>
          <w:rFonts w:ascii="Times New Roman" w:hAnsi="Times New Roman"/>
          <w:sz w:val="28"/>
          <w:szCs w:val="28"/>
          <w:lang w:val="ru-RU"/>
        </w:rPr>
        <w:t>состояние рынков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, потенциал поставщиков услуг, возможности доступа и предпочтения членов </w:t>
      </w:r>
      <w:r w:rsidR="002C396C">
        <w:rPr>
          <w:rFonts w:ascii="Times New Roman" w:hAnsi="Times New Roman"/>
          <w:sz w:val="28"/>
          <w:szCs w:val="28"/>
          <w:lang w:val="ru-RU"/>
        </w:rPr>
        <w:t>сообществ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, а также риски, связанные с потенциальным </w:t>
      </w:r>
      <w:r w:rsidR="002C396C" w:rsidRPr="00D01368">
        <w:rPr>
          <w:rFonts w:ascii="Times New Roman" w:hAnsi="Times New Roman"/>
          <w:sz w:val="28"/>
          <w:szCs w:val="28"/>
          <w:lang w:val="ru-RU"/>
        </w:rPr>
        <w:t>осуществлением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ПДП. </w:t>
      </w:r>
    </w:p>
    <w:p w14:paraId="4F6075B5" w14:textId="0AB4AE4F" w:rsidR="00F50148" w:rsidRPr="00D01368" w:rsidRDefault="002C396C" w:rsidP="0016162D">
      <w:pPr>
        <w:pStyle w:val="Bullet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50148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368">
        <w:rPr>
          <w:rFonts w:ascii="Times New Roman" w:hAnsi="Times New Roman"/>
          <w:sz w:val="28"/>
          <w:szCs w:val="28"/>
          <w:lang w:val="ru-RU"/>
        </w:rPr>
        <w:t>также</w:t>
      </w:r>
      <w:r w:rsidR="00F50148" w:rsidRPr="00D01368">
        <w:rPr>
          <w:rFonts w:ascii="Times New Roman" w:hAnsi="Times New Roman"/>
          <w:sz w:val="28"/>
          <w:szCs w:val="28"/>
          <w:lang w:val="ru-RU"/>
        </w:rPr>
        <w:t xml:space="preserve"> провести анализ рентабельности раздачи наличных денежных средств на </w:t>
      </w:r>
      <w:r w:rsidRPr="00D01368">
        <w:rPr>
          <w:rFonts w:ascii="Times New Roman" w:hAnsi="Times New Roman"/>
          <w:sz w:val="28"/>
          <w:szCs w:val="28"/>
          <w:lang w:val="ru-RU"/>
        </w:rPr>
        <w:t>основании</w:t>
      </w:r>
      <w:r w:rsidR="00F50148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368">
        <w:rPr>
          <w:rFonts w:ascii="Times New Roman" w:hAnsi="Times New Roman"/>
          <w:sz w:val="28"/>
          <w:szCs w:val="28"/>
          <w:lang w:val="ru-RU"/>
        </w:rPr>
        <w:t>результатов</w:t>
      </w:r>
      <w:r w:rsidR="00F50148" w:rsidRPr="00D01368">
        <w:rPr>
          <w:rFonts w:ascii="Times New Roman" w:hAnsi="Times New Roman"/>
          <w:sz w:val="28"/>
          <w:szCs w:val="28"/>
          <w:lang w:val="ru-RU"/>
        </w:rPr>
        <w:t xml:space="preserve"> анализа исходной ситуации и, в первую очередь, предпочтений бенефициаров, потенциала рынка и поставщиков услуг, чтобы выявить практические </w:t>
      </w:r>
      <w:r w:rsidRPr="00D01368">
        <w:rPr>
          <w:rFonts w:ascii="Times New Roman" w:hAnsi="Times New Roman"/>
          <w:sz w:val="28"/>
          <w:szCs w:val="28"/>
          <w:lang w:val="ru-RU"/>
        </w:rPr>
        <w:t>возможности</w:t>
      </w:r>
      <w:r w:rsidR="00F50148" w:rsidRPr="00D01368">
        <w:rPr>
          <w:rFonts w:ascii="Times New Roman" w:hAnsi="Times New Roman"/>
          <w:sz w:val="28"/>
          <w:szCs w:val="28"/>
          <w:lang w:val="ru-RU"/>
        </w:rPr>
        <w:t xml:space="preserve"> и механизмы для осуществления операций реагирования, которые в наибол</w:t>
      </w:r>
      <w:r>
        <w:rPr>
          <w:rFonts w:ascii="Times New Roman" w:hAnsi="Times New Roman"/>
          <w:sz w:val="28"/>
          <w:szCs w:val="28"/>
          <w:lang w:val="ru-RU"/>
        </w:rPr>
        <w:t>ьш</w:t>
      </w:r>
      <w:r w:rsidR="00F50148" w:rsidRPr="00D01368">
        <w:rPr>
          <w:rFonts w:ascii="Times New Roman" w:hAnsi="Times New Roman"/>
          <w:sz w:val="28"/>
          <w:szCs w:val="28"/>
          <w:lang w:val="ru-RU"/>
        </w:rPr>
        <w:t xml:space="preserve">ей степени подходят для реагирования на разработанные сценарии. </w:t>
      </w:r>
    </w:p>
    <w:p w14:paraId="7976C32D" w14:textId="0F9B6515" w:rsidR="00F50148" w:rsidRPr="00D01368" w:rsidRDefault="00F50148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Необходимо также провести самооценку с </w:t>
      </w:r>
      <w:r w:rsidR="002C396C" w:rsidRPr="00D01368">
        <w:rPr>
          <w:rFonts w:ascii="Times New Roman" w:hAnsi="Times New Roman"/>
          <w:sz w:val="28"/>
          <w:szCs w:val="28"/>
          <w:lang w:val="ru-RU"/>
        </w:rPr>
        <w:t>участием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лиц, </w:t>
      </w:r>
      <w:r w:rsidR="002C396C" w:rsidRPr="00D01368">
        <w:rPr>
          <w:rFonts w:ascii="Times New Roman" w:hAnsi="Times New Roman"/>
          <w:sz w:val="28"/>
          <w:szCs w:val="28"/>
          <w:lang w:val="ru-RU"/>
        </w:rPr>
        <w:t>ответственных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за принятие решений из ключевых департаментов для </w:t>
      </w:r>
      <w:r w:rsidR="002C396C" w:rsidRPr="00D01368">
        <w:rPr>
          <w:rFonts w:ascii="Times New Roman" w:hAnsi="Times New Roman"/>
          <w:sz w:val="28"/>
          <w:szCs w:val="28"/>
          <w:lang w:val="ru-RU"/>
        </w:rPr>
        <w:t>выявления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пробелов в организационном </w:t>
      </w:r>
      <w:r w:rsidR="002C396C" w:rsidRPr="00D01368">
        <w:rPr>
          <w:rFonts w:ascii="Times New Roman" w:hAnsi="Times New Roman"/>
          <w:sz w:val="28"/>
          <w:szCs w:val="28"/>
          <w:lang w:val="ru-RU"/>
        </w:rPr>
        <w:t>потенциале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для своевременного осуществления ПДП в необходимом масштабе.</w:t>
      </w:r>
    </w:p>
    <w:p w14:paraId="5C2A9FD0" w14:textId="39760F8D" w:rsidR="00F50148" w:rsidRPr="00D01368" w:rsidRDefault="00F50148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Нужно сформировать техническую рабочую группу по ПДП под руководством координационного цен</w:t>
      </w:r>
      <w:r w:rsidR="002C396C">
        <w:rPr>
          <w:rFonts w:ascii="Times New Roman" w:hAnsi="Times New Roman"/>
          <w:sz w:val="28"/>
          <w:szCs w:val="28"/>
          <w:lang w:val="ru-RU"/>
        </w:rPr>
        <w:t>тра ПДП для надзора за разработкой 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396C" w:rsidRPr="00D01368">
        <w:rPr>
          <w:rFonts w:ascii="Times New Roman" w:hAnsi="Times New Roman"/>
          <w:sz w:val="28"/>
          <w:szCs w:val="28"/>
          <w:lang w:val="ru-RU"/>
        </w:rPr>
        <w:t>реализацией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Плана действий по </w:t>
      </w:r>
      <w:r w:rsidR="002C396C" w:rsidRPr="00D01368">
        <w:rPr>
          <w:rFonts w:ascii="Times New Roman" w:hAnsi="Times New Roman"/>
          <w:sz w:val="28"/>
          <w:szCs w:val="28"/>
          <w:lang w:val="ru-RU"/>
        </w:rPr>
        <w:t>вопросам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готовности</w:t>
      </w:r>
      <w:r w:rsidR="002C396C">
        <w:rPr>
          <w:rFonts w:ascii="Times New Roman" w:hAnsi="Times New Roman"/>
          <w:sz w:val="28"/>
          <w:szCs w:val="28"/>
          <w:lang w:val="ru-RU"/>
        </w:rPr>
        <w:t>, а также осуществления мониторинга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2AE190C" w14:textId="5B607CF3" w:rsidR="00F50148" w:rsidRPr="00D01368" w:rsidRDefault="00F50148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План действий по вопросам готовности должен</w:t>
      </w:r>
      <w:r w:rsidR="002C396C">
        <w:rPr>
          <w:rFonts w:ascii="Times New Roman" w:hAnsi="Times New Roman"/>
          <w:sz w:val="28"/>
          <w:szCs w:val="28"/>
          <w:lang w:val="ru-RU"/>
        </w:rPr>
        <w:t xml:space="preserve"> ежегодно обновляться, иметь продуманный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бюдж</w:t>
      </w:r>
      <w:r w:rsidR="002C396C">
        <w:rPr>
          <w:rFonts w:ascii="Times New Roman" w:hAnsi="Times New Roman"/>
          <w:sz w:val="28"/>
          <w:szCs w:val="28"/>
          <w:lang w:val="ru-RU"/>
        </w:rPr>
        <w:t>ет,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396C">
        <w:rPr>
          <w:rFonts w:ascii="Times New Roman" w:hAnsi="Times New Roman"/>
          <w:sz w:val="28"/>
          <w:szCs w:val="28"/>
          <w:lang w:val="ru-RU"/>
        </w:rPr>
        <w:t xml:space="preserve">четкую схему финансирования и четко </w:t>
      </w:r>
      <w:r w:rsidR="002C396C">
        <w:rPr>
          <w:rFonts w:ascii="Times New Roman" w:hAnsi="Times New Roman"/>
          <w:sz w:val="28"/>
          <w:szCs w:val="28"/>
          <w:lang w:val="ru-RU"/>
        </w:rPr>
        <w:lastRenderedPageBreak/>
        <w:t>прописанные виды деятельности с указанием планируемых краткосрочных результатов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B211C64" w14:textId="6D8085E6" w:rsidR="00F50148" w:rsidRPr="00D01368" w:rsidRDefault="002C396C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50148" w:rsidRPr="00D01368">
        <w:rPr>
          <w:rFonts w:ascii="Times New Roman" w:hAnsi="Times New Roman"/>
          <w:sz w:val="28"/>
          <w:szCs w:val="28"/>
          <w:lang w:val="ru-RU"/>
        </w:rPr>
        <w:t xml:space="preserve"> согласовать, широко </w:t>
      </w:r>
      <w:r w:rsidRPr="00D01368">
        <w:rPr>
          <w:rFonts w:ascii="Times New Roman" w:hAnsi="Times New Roman"/>
          <w:sz w:val="28"/>
          <w:szCs w:val="28"/>
          <w:lang w:val="ru-RU"/>
        </w:rPr>
        <w:t>распространить</w:t>
      </w:r>
      <w:r w:rsidR="00F50148" w:rsidRPr="00D01368">
        <w:rPr>
          <w:rFonts w:ascii="Times New Roman" w:hAnsi="Times New Roman"/>
          <w:sz w:val="28"/>
          <w:szCs w:val="28"/>
          <w:lang w:val="ru-RU"/>
        </w:rPr>
        <w:t xml:space="preserve"> и периодически пересматривать стандартные оперативные процедуры ПДП, а также иные системы и процедуры.</w:t>
      </w:r>
    </w:p>
    <w:p w14:paraId="0B0145B6" w14:textId="6C4D42B9" w:rsidR="00F50148" w:rsidRPr="00D01368" w:rsidRDefault="00F50148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Необходимо организовать учения или пилотные программы для </w:t>
      </w:r>
      <w:r w:rsidR="009C1B2E">
        <w:rPr>
          <w:rFonts w:ascii="Times New Roman" w:hAnsi="Times New Roman"/>
          <w:sz w:val="28"/>
          <w:szCs w:val="28"/>
          <w:lang w:val="ru-RU"/>
        </w:rPr>
        <w:t>проверки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оперативной готовности по ПДП</w:t>
      </w:r>
      <w:r w:rsidR="009C1B2E">
        <w:rPr>
          <w:rFonts w:ascii="Times New Roman" w:hAnsi="Times New Roman"/>
          <w:sz w:val="28"/>
          <w:szCs w:val="28"/>
          <w:lang w:val="ru-RU"/>
        </w:rPr>
        <w:t xml:space="preserve"> и периодически проводить их снова.</w:t>
      </w:r>
    </w:p>
    <w:p w14:paraId="0E0BFBBC" w14:textId="6733FE65" w:rsidR="00BE6F9F" w:rsidRPr="00D01368" w:rsidRDefault="00F50148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Должны быть введены в действие внутренние и внешние координационные механизмы по ПДП</w:t>
      </w:r>
      <w:r w:rsidR="00BE6F9F" w:rsidRPr="00D01368">
        <w:rPr>
          <w:rFonts w:ascii="Times New Roman" w:hAnsi="Times New Roman"/>
          <w:sz w:val="28"/>
          <w:szCs w:val="28"/>
          <w:lang w:val="ru-RU"/>
        </w:rPr>
        <w:t>.</w:t>
      </w:r>
    </w:p>
    <w:p w14:paraId="50B34574" w14:textId="0E6DD269" w:rsidR="00F50148" w:rsidRPr="00D01368" w:rsidRDefault="00F50148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ПДП должны быть учтены при </w:t>
      </w:r>
      <w:r w:rsidR="009C1B2E" w:rsidRPr="00D01368">
        <w:rPr>
          <w:rFonts w:ascii="Times New Roman" w:hAnsi="Times New Roman"/>
          <w:sz w:val="28"/>
          <w:szCs w:val="28"/>
          <w:lang w:val="ru-RU"/>
        </w:rPr>
        <w:t>составлении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планов и стратегий</w:t>
      </w:r>
      <w:r w:rsidR="006E6784">
        <w:rPr>
          <w:rFonts w:ascii="Times New Roman" w:hAnsi="Times New Roman"/>
          <w:sz w:val="28"/>
          <w:szCs w:val="28"/>
          <w:lang w:val="ru-RU"/>
        </w:rPr>
        <w:t xml:space="preserve"> информационного взаимодействия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086A013" w14:textId="364C7A87" w:rsidR="002C07A0" w:rsidRPr="00D01368" w:rsidRDefault="006E6784" w:rsidP="0016162D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документировать</w:t>
      </w:r>
      <w:r w:rsidR="00E7180F" w:rsidRPr="00D01368">
        <w:rPr>
          <w:rFonts w:ascii="Times New Roman" w:hAnsi="Times New Roman"/>
          <w:sz w:val="28"/>
          <w:szCs w:val="28"/>
          <w:lang w:val="ru-RU"/>
        </w:rPr>
        <w:t xml:space="preserve"> опыт, накопленный в рамках осуществления операций реагирования и на основании полученных знаний совершенствовать процедуры и инструменты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7180F" w:rsidRPr="00D01368">
        <w:rPr>
          <w:rFonts w:ascii="Times New Roman" w:hAnsi="Times New Roman"/>
          <w:sz w:val="28"/>
          <w:szCs w:val="28"/>
          <w:lang w:val="ru-RU"/>
        </w:rPr>
        <w:t xml:space="preserve"> по мере необходимости</w:t>
      </w:r>
      <w:r w:rsidR="00593F9E" w:rsidRPr="00D01368">
        <w:rPr>
          <w:rFonts w:ascii="Times New Roman" w:hAnsi="Times New Roman"/>
          <w:sz w:val="28"/>
          <w:szCs w:val="28"/>
          <w:lang w:val="ru-RU"/>
        </w:rPr>
        <w:t>.</w:t>
      </w:r>
    </w:p>
    <w:p w14:paraId="690C7AF4" w14:textId="1115BA03" w:rsidR="00E075B1" w:rsidRPr="00D01368" w:rsidRDefault="00E7180F" w:rsidP="00674833">
      <w:pPr>
        <w:pStyle w:val="2"/>
        <w:rPr>
          <w:rFonts w:ascii="Times New Roman" w:hAnsi="Times New Roman"/>
          <w:lang w:val="ru-RU"/>
        </w:rPr>
      </w:pPr>
      <w:r w:rsidRPr="00D01368">
        <w:rPr>
          <w:rFonts w:ascii="Times New Roman" w:hAnsi="Times New Roman"/>
          <w:lang w:val="ru-RU"/>
        </w:rPr>
        <w:t>ЭТАП 1. ПОДГОТОВКА И АНАЛИЗ</w:t>
      </w:r>
    </w:p>
    <w:p w14:paraId="142CFDE6" w14:textId="1C6F9C78" w:rsidR="00E7180F" w:rsidRPr="00D01368" w:rsidRDefault="00E7180F" w:rsidP="00B550F3">
      <w:pPr>
        <w:spacing w:before="120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Этап</w:t>
      </w:r>
      <w:r w:rsidR="00090E17" w:rsidRPr="00D01368">
        <w:rPr>
          <w:rFonts w:ascii="Times New Roman" w:hAnsi="Times New Roman"/>
          <w:sz w:val="28"/>
          <w:szCs w:val="28"/>
          <w:lang w:val="ru-RU"/>
        </w:rPr>
        <w:t xml:space="preserve"> 1 </w:t>
      </w:r>
      <w:r w:rsidRPr="00D01368">
        <w:rPr>
          <w:rFonts w:ascii="Times New Roman" w:hAnsi="Times New Roman"/>
          <w:sz w:val="28"/>
          <w:szCs w:val="28"/>
          <w:lang w:val="ru-RU"/>
        </w:rPr>
        <w:t>посвящен вопросам проведения анализа ситуации на основа</w:t>
      </w:r>
      <w:r w:rsidR="006E6784">
        <w:rPr>
          <w:rFonts w:ascii="Times New Roman" w:hAnsi="Times New Roman"/>
          <w:sz w:val="28"/>
          <w:szCs w:val="28"/>
          <w:lang w:val="ru-RU"/>
        </w:rPr>
        <w:t>нии вторичных данных, разработке и анализу сценариев, документированию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информации об исходной </w:t>
      </w:r>
      <w:r w:rsidR="006E6784" w:rsidRPr="00D01368">
        <w:rPr>
          <w:rFonts w:ascii="Times New Roman" w:hAnsi="Times New Roman"/>
          <w:sz w:val="28"/>
          <w:szCs w:val="28"/>
          <w:lang w:val="ru-RU"/>
        </w:rPr>
        <w:t>ситуации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и выявлению пробелов в области готовности к осуществлению ПДП посредством самооценки.</w:t>
      </w:r>
    </w:p>
    <w:p w14:paraId="7E14D6F3" w14:textId="411DD15A" w:rsidR="005264BD" w:rsidRPr="00D01368" w:rsidRDefault="00E7180F" w:rsidP="00B4685C">
      <w:pPr>
        <w:spacing w:before="120"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Вторичные данные дают отправную точку</w:t>
      </w:r>
      <w:r w:rsidR="006E6784">
        <w:rPr>
          <w:rFonts w:ascii="Times New Roman" w:hAnsi="Times New Roman"/>
          <w:sz w:val="28"/>
          <w:szCs w:val="28"/>
          <w:lang w:val="ru-RU"/>
        </w:rPr>
        <w:t>, которая позволяет определ</w:t>
      </w:r>
      <w:r w:rsidR="005264BD" w:rsidRPr="00D01368">
        <w:rPr>
          <w:rFonts w:ascii="Times New Roman" w:hAnsi="Times New Roman"/>
          <w:sz w:val="28"/>
          <w:szCs w:val="28"/>
          <w:lang w:val="ru-RU"/>
        </w:rPr>
        <w:t>ить масштаб будущего бедствия. Они также позволяют получить информацию о том, по каким сценариям могут развиваться события. Документация по исходной ситуации</w:t>
      </w:r>
      <w:r w:rsidR="006E6784">
        <w:rPr>
          <w:rFonts w:ascii="Times New Roman" w:hAnsi="Times New Roman"/>
          <w:sz w:val="28"/>
          <w:szCs w:val="28"/>
          <w:lang w:val="ru-RU"/>
        </w:rPr>
        <w:t xml:space="preserve"> будет зависеть от </w:t>
      </w:r>
      <w:r w:rsidR="005264BD" w:rsidRPr="00D01368">
        <w:rPr>
          <w:rFonts w:ascii="Times New Roman" w:hAnsi="Times New Roman"/>
          <w:sz w:val="28"/>
          <w:szCs w:val="28"/>
          <w:lang w:val="ru-RU"/>
        </w:rPr>
        <w:t>анализа</w:t>
      </w:r>
      <w:r w:rsidR="006E6784">
        <w:rPr>
          <w:rFonts w:ascii="Times New Roman" w:hAnsi="Times New Roman"/>
          <w:sz w:val="28"/>
          <w:szCs w:val="28"/>
          <w:lang w:val="ru-RU"/>
        </w:rPr>
        <w:t xml:space="preserve"> условий работы и</w:t>
      </w:r>
      <w:r w:rsidR="005264BD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784">
        <w:rPr>
          <w:rFonts w:ascii="Times New Roman" w:hAnsi="Times New Roman"/>
          <w:sz w:val="28"/>
          <w:szCs w:val="28"/>
          <w:lang w:val="ru-RU"/>
        </w:rPr>
        <w:t>благоприятствующих условий</w:t>
      </w:r>
      <w:r w:rsidR="00A66C3C" w:rsidRPr="00D01368">
        <w:rPr>
          <w:rFonts w:ascii="Times New Roman" w:hAnsi="Times New Roman"/>
          <w:sz w:val="28"/>
          <w:szCs w:val="28"/>
          <w:lang w:val="ru-RU"/>
        </w:rPr>
        <w:t xml:space="preserve">: государственные программы и политики; потребности и возможности доступа сообществ и домохозяйств; использование наличных денежных средств и преимущества, которые дают </w:t>
      </w:r>
      <w:r w:rsidR="006E6784" w:rsidRPr="00D01368">
        <w:rPr>
          <w:rFonts w:ascii="Times New Roman" w:hAnsi="Times New Roman"/>
          <w:sz w:val="28"/>
          <w:szCs w:val="28"/>
          <w:lang w:val="ru-RU"/>
        </w:rPr>
        <w:t>программы</w:t>
      </w:r>
      <w:r w:rsidR="00A66C3C" w:rsidRPr="00D01368">
        <w:rPr>
          <w:rFonts w:ascii="Times New Roman" w:hAnsi="Times New Roman"/>
          <w:sz w:val="28"/>
          <w:szCs w:val="28"/>
          <w:lang w:val="ru-RU"/>
        </w:rPr>
        <w:t xml:space="preserve"> ПДП; потенциал рынка и поставщиков услуг; а также риски, </w:t>
      </w:r>
      <w:r w:rsidR="006E6784" w:rsidRPr="00D01368">
        <w:rPr>
          <w:rFonts w:ascii="Times New Roman" w:hAnsi="Times New Roman"/>
          <w:sz w:val="28"/>
          <w:szCs w:val="28"/>
          <w:lang w:val="ru-RU"/>
        </w:rPr>
        <w:t>связанные</w:t>
      </w:r>
      <w:r w:rsidR="00A66C3C" w:rsidRPr="00D01368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6E6784">
        <w:rPr>
          <w:rFonts w:ascii="Times New Roman" w:hAnsi="Times New Roman"/>
          <w:sz w:val="28"/>
          <w:szCs w:val="28"/>
          <w:lang w:val="ru-RU"/>
        </w:rPr>
        <w:t xml:space="preserve">работой с </w:t>
      </w:r>
      <w:r w:rsidR="00A66C3C" w:rsidRPr="00D01368">
        <w:rPr>
          <w:rFonts w:ascii="Times New Roman" w:hAnsi="Times New Roman"/>
          <w:sz w:val="28"/>
          <w:szCs w:val="28"/>
          <w:lang w:val="ru-RU"/>
        </w:rPr>
        <w:t xml:space="preserve">наличными денежными средствами. Для восполнения </w:t>
      </w:r>
      <w:r w:rsidR="00165AD1" w:rsidRPr="00D01368"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="00A66C3C" w:rsidRPr="00D01368"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="00165AD1">
        <w:rPr>
          <w:rFonts w:ascii="Times New Roman" w:hAnsi="Times New Roman"/>
          <w:sz w:val="28"/>
          <w:szCs w:val="28"/>
          <w:lang w:val="ru-RU"/>
        </w:rPr>
        <w:t xml:space="preserve">белов и получения ответов на более </w:t>
      </w:r>
      <w:r w:rsidR="001C3864">
        <w:rPr>
          <w:rFonts w:ascii="Times New Roman" w:hAnsi="Times New Roman"/>
          <w:sz w:val="28"/>
          <w:szCs w:val="28"/>
          <w:lang w:val="ru-RU"/>
        </w:rPr>
        <w:t>сложные</w:t>
      </w:r>
      <w:r w:rsidR="00165AD1">
        <w:rPr>
          <w:rFonts w:ascii="Times New Roman" w:hAnsi="Times New Roman"/>
          <w:sz w:val="28"/>
          <w:szCs w:val="28"/>
          <w:lang w:val="ru-RU"/>
        </w:rPr>
        <w:t xml:space="preserve"> воп</w:t>
      </w:r>
      <w:r w:rsidR="00A66C3C" w:rsidRPr="00D01368">
        <w:rPr>
          <w:rFonts w:ascii="Times New Roman" w:hAnsi="Times New Roman"/>
          <w:sz w:val="28"/>
          <w:szCs w:val="28"/>
          <w:lang w:val="ru-RU"/>
        </w:rPr>
        <w:t>росы необходимо собрать информацию из перв</w:t>
      </w:r>
      <w:r w:rsidR="001C3864">
        <w:rPr>
          <w:rFonts w:ascii="Times New Roman" w:hAnsi="Times New Roman"/>
          <w:sz w:val="28"/>
          <w:szCs w:val="28"/>
          <w:lang w:val="ru-RU"/>
        </w:rPr>
        <w:t>ы</w:t>
      </w:r>
      <w:r w:rsidR="00A66C3C" w:rsidRPr="00D01368">
        <w:rPr>
          <w:rFonts w:ascii="Times New Roman" w:hAnsi="Times New Roman"/>
          <w:sz w:val="28"/>
          <w:szCs w:val="28"/>
          <w:lang w:val="ru-RU"/>
        </w:rPr>
        <w:t>х рук.</w:t>
      </w:r>
    </w:p>
    <w:p w14:paraId="03A9D933" w14:textId="14F8D764" w:rsidR="00A66C3C" w:rsidRPr="00D01368" w:rsidRDefault="00A66C3C" w:rsidP="00B4685C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Разработка и анализ сценариев должны основываться на предположениях о том, как может произ</w:t>
      </w:r>
      <w:r w:rsidR="001C3864">
        <w:rPr>
          <w:rFonts w:ascii="Times New Roman" w:hAnsi="Times New Roman"/>
          <w:sz w:val="28"/>
          <w:szCs w:val="28"/>
          <w:lang w:val="ru-RU"/>
        </w:rPr>
        <w:t>ойти и развиваться бедствие в</w:t>
      </w:r>
      <w:r w:rsidRPr="00D01368">
        <w:rPr>
          <w:rFonts w:ascii="Times New Roman" w:hAnsi="Times New Roman"/>
          <w:sz w:val="28"/>
          <w:szCs w:val="28"/>
          <w:lang w:val="ru-RU"/>
        </w:rPr>
        <w:t>следствие</w:t>
      </w:r>
      <w:r w:rsidR="001C3864">
        <w:rPr>
          <w:rFonts w:ascii="Times New Roman" w:hAnsi="Times New Roman"/>
          <w:sz w:val="28"/>
          <w:szCs w:val="28"/>
          <w:lang w:val="ru-RU"/>
        </w:rPr>
        <w:t xml:space="preserve"> реализации триггерных фа</w:t>
      </w:r>
      <w:r w:rsidRPr="00D01368">
        <w:rPr>
          <w:rFonts w:ascii="Times New Roman" w:hAnsi="Times New Roman"/>
          <w:sz w:val="28"/>
          <w:szCs w:val="28"/>
          <w:lang w:val="ru-RU"/>
        </w:rPr>
        <w:t>к</w:t>
      </w:r>
      <w:r w:rsidR="001C3864">
        <w:rPr>
          <w:rFonts w:ascii="Times New Roman" w:hAnsi="Times New Roman"/>
          <w:sz w:val="28"/>
          <w:szCs w:val="28"/>
          <w:lang w:val="ru-RU"/>
        </w:rPr>
        <w:t>т</w:t>
      </w:r>
      <w:r w:rsidRPr="00D01368">
        <w:rPr>
          <w:rFonts w:ascii="Times New Roman" w:hAnsi="Times New Roman"/>
          <w:sz w:val="28"/>
          <w:szCs w:val="28"/>
          <w:lang w:val="ru-RU"/>
        </w:rPr>
        <w:t>оров или событий, таких как вооруженные конфликты, природные бедствия и т.д. Сценарий должен включать в себя следующую информацию:</w:t>
      </w:r>
      <w:r w:rsidR="001C3864">
        <w:rPr>
          <w:rFonts w:ascii="Times New Roman" w:hAnsi="Times New Roman"/>
          <w:sz w:val="28"/>
          <w:szCs w:val="28"/>
          <w:lang w:val="ru-RU"/>
        </w:rPr>
        <w:t xml:space="preserve"> вероятность его реализации и потенциальный масштаб бедствия; триггерные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факторы и предположен</w:t>
      </w:r>
      <w:r w:rsidR="001C3864">
        <w:rPr>
          <w:rFonts w:ascii="Times New Roman" w:hAnsi="Times New Roman"/>
          <w:sz w:val="28"/>
          <w:szCs w:val="28"/>
          <w:lang w:val="ru-RU"/>
        </w:rPr>
        <w:t xml:space="preserve">ия; потенциальные последствия; 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гуманитарные потребности, а также связанные с этим оперативные ограничения. В нем также должны быть предварительно определены </w:t>
      </w:r>
      <w:r w:rsidRPr="00D01368">
        <w:rPr>
          <w:rFonts w:ascii="Times New Roman" w:hAnsi="Times New Roman"/>
          <w:sz w:val="28"/>
          <w:szCs w:val="28"/>
          <w:lang w:val="ru-RU"/>
        </w:rPr>
        <w:lastRenderedPageBreak/>
        <w:t>потенциальные варианты экстренного реагирования (практические меры и механизмы) и их масштабы.</w:t>
      </w:r>
    </w:p>
    <w:p w14:paraId="5DE8B4D8" w14:textId="6E26AB30" w:rsidR="00A66C3C" w:rsidRPr="00D01368" w:rsidRDefault="00A66C3C" w:rsidP="004820CE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Анализ пробелов в области готовности должен производиться с участие</w:t>
      </w:r>
      <w:r w:rsidR="001C3864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D01368">
        <w:rPr>
          <w:rFonts w:ascii="Times New Roman" w:hAnsi="Times New Roman"/>
          <w:sz w:val="28"/>
          <w:szCs w:val="28"/>
          <w:lang w:val="ru-RU"/>
        </w:rPr>
        <w:t>чи</w:t>
      </w:r>
      <w:r w:rsidR="001C3864">
        <w:rPr>
          <w:rFonts w:ascii="Times New Roman" w:hAnsi="Times New Roman"/>
          <w:sz w:val="28"/>
          <w:szCs w:val="28"/>
          <w:lang w:val="ru-RU"/>
        </w:rPr>
        <w:t>н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овников, ответственных </w:t>
      </w:r>
      <w:r w:rsidR="001C3864">
        <w:rPr>
          <w:rFonts w:ascii="Times New Roman" w:hAnsi="Times New Roman"/>
          <w:sz w:val="28"/>
          <w:szCs w:val="28"/>
          <w:lang w:val="ru-RU"/>
        </w:rPr>
        <w:t>за принятие решений, в основных департаментах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(управления </w:t>
      </w:r>
      <w:r w:rsidR="001C3864" w:rsidRPr="00D01368">
        <w:rPr>
          <w:rFonts w:ascii="Times New Roman" w:hAnsi="Times New Roman"/>
          <w:sz w:val="28"/>
          <w:szCs w:val="28"/>
          <w:lang w:val="ru-RU"/>
        </w:rPr>
        <w:t>действиями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по борьбе с бе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>дствиями, здравоохранения, логис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тики, финансов, отраслевого развития и т.д.) </w:t>
      </w:r>
      <w:r w:rsidR="001C3864">
        <w:rPr>
          <w:rFonts w:ascii="Times New Roman" w:hAnsi="Times New Roman"/>
          <w:sz w:val="28"/>
          <w:szCs w:val="28"/>
          <w:lang w:val="ru-RU"/>
        </w:rPr>
        <w:t>Привлечь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 данную категорию</w:t>
      </w:r>
      <w:r w:rsidR="001C3864">
        <w:rPr>
          <w:rFonts w:ascii="Times New Roman" w:hAnsi="Times New Roman"/>
          <w:sz w:val="28"/>
          <w:szCs w:val="28"/>
          <w:lang w:val="ru-RU"/>
        </w:rPr>
        <w:t xml:space="preserve"> специалистов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864">
        <w:rPr>
          <w:rFonts w:ascii="Times New Roman" w:hAnsi="Times New Roman"/>
          <w:sz w:val="28"/>
          <w:szCs w:val="28"/>
          <w:lang w:val="ru-RU"/>
        </w:rPr>
        <w:t xml:space="preserve">к диалогу 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можно посредством осуществления </w:t>
      </w:r>
      <w:r w:rsidR="001C3864" w:rsidRPr="00D01368">
        <w:rPr>
          <w:rFonts w:ascii="Times New Roman" w:hAnsi="Times New Roman"/>
          <w:sz w:val="28"/>
          <w:szCs w:val="28"/>
          <w:lang w:val="ru-RU"/>
        </w:rPr>
        <w:t>адвокационных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 усилий, которые необходимо начинать с самого начала подгото</w:t>
      </w:r>
      <w:r w:rsidR="005B647E">
        <w:rPr>
          <w:rFonts w:ascii="Times New Roman" w:hAnsi="Times New Roman"/>
          <w:sz w:val="28"/>
          <w:szCs w:val="28"/>
          <w:lang w:val="ru-RU"/>
        </w:rPr>
        <w:t>вительного этапа. Это цели может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647E">
        <w:rPr>
          <w:rFonts w:ascii="Times New Roman" w:hAnsi="Times New Roman"/>
          <w:sz w:val="28"/>
          <w:szCs w:val="28"/>
          <w:lang w:val="ru-RU"/>
        </w:rPr>
        <w:t>послужить тематическая встреча с участием всех заинтересованных департаментов, призванная под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готовить организацию к </w:t>
      </w:r>
      <w:r w:rsidR="001C3864" w:rsidRPr="00D01368">
        <w:rPr>
          <w:rFonts w:ascii="Times New Roman" w:hAnsi="Times New Roman"/>
          <w:sz w:val="28"/>
          <w:szCs w:val="28"/>
          <w:lang w:val="ru-RU"/>
        </w:rPr>
        <w:t>проведению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 анализа пробелов на этапе обеспечения готовности, </w:t>
      </w:r>
      <w:r w:rsidR="005B647E" w:rsidRPr="00D01368">
        <w:rPr>
          <w:rFonts w:ascii="Times New Roman" w:hAnsi="Times New Roman"/>
          <w:sz w:val="28"/>
          <w:szCs w:val="28"/>
          <w:lang w:val="ru-RU"/>
        </w:rPr>
        <w:t>пересмотреть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 свою оперативную готовность к </w:t>
      </w:r>
      <w:r w:rsidR="005B647E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="00AF1CE1" w:rsidRPr="00D01368">
        <w:rPr>
          <w:rFonts w:ascii="Times New Roman" w:hAnsi="Times New Roman"/>
          <w:sz w:val="28"/>
          <w:szCs w:val="28"/>
          <w:lang w:val="ru-RU"/>
        </w:rPr>
        <w:t xml:space="preserve"> ПДП и выявить приоритетные области для развития. </w:t>
      </w:r>
    </w:p>
    <w:p w14:paraId="15380E0B" w14:textId="1E414E4B" w:rsidR="00E075B1" w:rsidRPr="00D01368" w:rsidRDefault="00AF1CE1" w:rsidP="00674833">
      <w:pPr>
        <w:pStyle w:val="2"/>
        <w:rPr>
          <w:rFonts w:ascii="Times New Roman" w:hAnsi="Times New Roman"/>
          <w:lang w:val="ru-RU"/>
        </w:rPr>
      </w:pPr>
      <w:r w:rsidRPr="00D01368">
        <w:rPr>
          <w:rFonts w:ascii="Times New Roman" w:hAnsi="Times New Roman"/>
          <w:lang w:val="ru-RU"/>
        </w:rPr>
        <w:t>ЭТАП 2. РАЗРАБОТКА И РЕАЛИЗАЦИЯ</w:t>
      </w:r>
    </w:p>
    <w:p w14:paraId="209734C2" w14:textId="701F3635" w:rsidR="00AF1CE1" w:rsidRPr="00D01368" w:rsidRDefault="00AF1CE1" w:rsidP="00E075B1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Этап</w:t>
      </w:r>
      <w:r w:rsidR="00090E17" w:rsidRPr="00D0136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090E17" w:rsidRPr="00D013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01368">
        <w:rPr>
          <w:rFonts w:ascii="Times New Roman" w:hAnsi="Times New Roman"/>
          <w:sz w:val="28"/>
          <w:szCs w:val="28"/>
          <w:lang w:val="ru-RU"/>
        </w:rPr>
        <w:t>посвящен разработке</w:t>
      </w:r>
      <w:r w:rsidR="005B647E">
        <w:rPr>
          <w:rFonts w:ascii="Times New Roman" w:hAnsi="Times New Roman"/>
          <w:sz w:val="28"/>
          <w:szCs w:val="28"/>
          <w:lang w:val="ru-RU"/>
        </w:rPr>
        <w:t xml:space="preserve">  минимальных внутренних условий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для обеспечения готовности к осуществлен</w:t>
      </w:r>
      <w:r w:rsidR="00C31CC2">
        <w:rPr>
          <w:rFonts w:ascii="Times New Roman" w:hAnsi="Times New Roman"/>
          <w:sz w:val="28"/>
          <w:szCs w:val="28"/>
          <w:lang w:val="ru-RU"/>
        </w:rPr>
        <w:t xml:space="preserve">ию ПДП, внедрению ПДП в основные направления работы </w:t>
      </w:r>
      <w:r w:rsidRPr="00D01368">
        <w:rPr>
          <w:rFonts w:ascii="Times New Roman" w:hAnsi="Times New Roman"/>
          <w:sz w:val="28"/>
          <w:szCs w:val="28"/>
          <w:lang w:val="ru-RU"/>
        </w:rPr>
        <w:t>и реализации плана действий по обеспечению готовности к осуществлению ПДП.</w:t>
      </w:r>
    </w:p>
    <w:p w14:paraId="71E111EA" w14:textId="2C83FC19" w:rsidR="00AF1CE1" w:rsidRPr="00D01368" w:rsidRDefault="00AF1CE1" w:rsidP="005F155B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После того, как будет принято решение о повышении уровня готовности организации к осуществлению ПДП, должна быть сформирована координационная группа и техническая рабочая группа (ТРГ) по вопросам осуществления ПДП. Эти две группы должны работать сообща с целью разработки и согласования плана </w:t>
      </w:r>
      <w:r w:rsidR="00C31CC2" w:rsidRPr="00D01368">
        <w:rPr>
          <w:rFonts w:ascii="Times New Roman" w:hAnsi="Times New Roman"/>
          <w:sz w:val="28"/>
          <w:szCs w:val="28"/>
          <w:lang w:val="ru-RU"/>
        </w:rPr>
        <w:t>действий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C31CC2" w:rsidRPr="00D01368">
        <w:rPr>
          <w:rFonts w:ascii="Times New Roman" w:hAnsi="Times New Roman"/>
          <w:sz w:val="28"/>
          <w:szCs w:val="28"/>
          <w:lang w:val="ru-RU"/>
        </w:rPr>
        <w:t>обеспечению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готовности к осуществлению ПДП, который может помочь организации укрепить свой потенциал в области своевременного и полномасштабного осуществления ПДП в </w:t>
      </w:r>
      <w:r w:rsidR="00C31CC2" w:rsidRPr="00D01368">
        <w:rPr>
          <w:rFonts w:ascii="Times New Roman" w:hAnsi="Times New Roman"/>
          <w:sz w:val="28"/>
          <w:szCs w:val="28"/>
          <w:lang w:val="ru-RU"/>
        </w:rPr>
        <w:t>условиях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ЧС. План </w:t>
      </w:r>
      <w:r w:rsidR="00C31CC2" w:rsidRPr="00D01368">
        <w:rPr>
          <w:rFonts w:ascii="Times New Roman" w:hAnsi="Times New Roman"/>
          <w:sz w:val="28"/>
          <w:szCs w:val="28"/>
          <w:lang w:val="ru-RU"/>
        </w:rPr>
        <w:t>действий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должен включать в себя: конкретные виды деятельности, краткосрочные результаты, индикаторы, распределение обязанностей, временные рамки и бюджет. ТРГ по </w:t>
      </w:r>
      <w:r w:rsidR="00C31CC2" w:rsidRPr="00D01368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ПДП должна </w:t>
      </w:r>
      <w:r w:rsidR="00C31CC2" w:rsidRPr="00D01368">
        <w:rPr>
          <w:rFonts w:ascii="Times New Roman" w:hAnsi="Times New Roman"/>
          <w:sz w:val="28"/>
          <w:szCs w:val="28"/>
          <w:lang w:val="ru-RU"/>
        </w:rPr>
        <w:t>позаботиться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C31CC2">
        <w:rPr>
          <w:rFonts w:ascii="Times New Roman" w:hAnsi="Times New Roman"/>
          <w:sz w:val="28"/>
          <w:szCs w:val="28"/>
          <w:lang w:val="ru-RU"/>
        </w:rPr>
        <w:t>разработке эффе</w:t>
      </w:r>
      <w:r w:rsidRPr="00D01368">
        <w:rPr>
          <w:rFonts w:ascii="Times New Roman" w:hAnsi="Times New Roman"/>
          <w:sz w:val="28"/>
          <w:szCs w:val="28"/>
          <w:lang w:val="ru-RU"/>
        </w:rPr>
        <w:t>к</w:t>
      </w:r>
      <w:r w:rsidR="00C31CC2">
        <w:rPr>
          <w:rFonts w:ascii="Times New Roman" w:hAnsi="Times New Roman"/>
          <w:sz w:val="28"/>
          <w:szCs w:val="28"/>
          <w:lang w:val="ru-RU"/>
        </w:rPr>
        <w:t>тивных стандартных оперативных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1CC2">
        <w:rPr>
          <w:rFonts w:ascii="Times New Roman" w:hAnsi="Times New Roman"/>
          <w:sz w:val="28"/>
          <w:szCs w:val="28"/>
          <w:lang w:val="ru-RU"/>
        </w:rPr>
        <w:t>процедур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(СОП)</w:t>
      </w:r>
      <w:r w:rsidR="000C4FC6">
        <w:rPr>
          <w:rFonts w:ascii="Times New Roman" w:hAnsi="Times New Roman"/>
          <w:sz w:val="28"/>
          <w:szCs w:val="28"/>
          <w:lang w:val="ru-RU"/>
        </w:rPr>
        <w:t>, а также о том,</w:t>
      </w:r>
      <w:r w:rsidR="00F64944" w:rsidRPr="00D01368">
        <w:rPr>
          <w:rFonts w:ascii="Times New Roman" w:hAnsi="Times New Roman"/>
          <w:sz w:val="28"/>
          <w:szCs w:val="28"/>
          <w:lang w:val="ru-RU"/>
        </w:rPr>
        <w:t xml:space="preserve"> чтобы реализация ПДП была продумана на всех уровнях –</w:t>
      </w:r>
      <w:r w:rsidR="000C4F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4944" w:rsidRPr="00D01368">
        <w:rPr>
          <w:rFonts w:ascii="Times New Roman" w:hAnsi="Times New Roman"/>
          <w:sz w:val="28"/>
          <w:szCs w:val="28"/>
          <w:lang w:val="ru-RU"/>
        </w:rPr>
        <w:t>кадрового обеспечени</w:t>
      </w:r>
      <w:r w:rsidR="000C4FC6">
        <w:rPr>
          <w:rFonts w:ascii="Times New Roman" w:hAnsi="Times New Roman"/>
          <w:sz w:val="28"/>
          <w:szCs w:val="28"/>
          <w:lang w:val="ru-RU"/>
        </w:rPr>
        <w:t>я, финансирования, мониторинга,</w:t>
      </w:r>
      <w:r w:rsidR="00F64944" w:rsidRPr="00D01368">
        <w:rPr>
          <w:rFonts w:ascii="Times New Roman" w:hAnsi="Times New Roman"/>
          <w:sz w:val="28"/>
          <w:szCs w:val="28"/>
          <w:lang w:val="ru-RU"/>
        </w:rPr>
        <w:t xml:space="preserve"> оценки и мобилизации ресурсов.    </w:t>
      </w:r>
    </w:p>
    <w:p w14:paraId="44A46C7D" w14:textId="0E3E72E3" w:rsidR="00E075B1" w:rsidRPr="00D01368" w:rsidRDefault="00F64944" w:rsidP="00F64944">
      <w:pPr>
        <w:rPr>
          <w:rFonts w:ascii="Times New Roman" w:hAnsi="Times New Roman"/>
          <w:b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Реализация плана </w:t>
      </w:r>
      <w:r w:rsidR="000C4FC6" w:rsidRPr="00D01368">
        <w:rPr>
          <w:rFonts w:ascii="Times New Roman" w:hAnsi="Times New Roman"/>
          <w:sz w:val="28"/>
          <w:szCs w:val="28"/>
          <w:lang w:val="ru-RU"/>
        </w:rPr>
        <w:t>действий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по обеспечению готовности</w:t>
      </w:r>
      <w:r w:rsidR="000C4FC6">
        <w:rPr>
          <w:rFonts w:ascii="Times New Roman" w:hAnsi="Times New Roman"/>
          <w:sz w:val="28"/>
          <w:szCs w:val="28"/>
          <w:lang w:val="ru-RU"/>
        </w:rPr>
        <w:t xml:space="preserve"> должна подразумевать проведение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учений и/или пилотных инициатив, которые позволят проверить </w:t>
      </w:r>
      <w:r w:rsidR="000C4FC6" w:rsidRPr="00D01368">
        <w:rPr>
          <w:rFonts w:ascii="Times New Roman" w:hAnsi="Times New Roman"/>
          <w:sz w:val="28"/>
          <w:szCs w:val="28"/>
          <w:lang w:val="ru-RU"/>
        </w:rPr>
        <w:t>оперативную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готовность НО к </w:t>
      </w:r>
      <w:r w:rsidR="000C4FC6">
        <w:rPr>
          <w:rFonts w:ascii="Times New Roman" w:hAnsi="Times New Roman"/>
          <w:sz w:val="28"/>
          <w:szCs w:val="28"/>
          <w:lang w:val="ru-RU"/>
        </w:rPr>
        <w:t>осуществлению ПДП, оценить уровень намеченных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краткосрочны</w:t>
      </w:r>
      <w:r w:rsidR="000C4FC6">
        <w:rPr>
          <w:rFonts w:ascii="Times New Roman" w:hAnsi="Times New Roman"/>
          <w:sz w:val="28"/>
          <w:szCs w:val="28"/>
          <w:lang w:val="ru-RU"/>
        </w:rPr>
        <w:t>х результатов</w:t>
      </w:r>
      <w:r w:rsidRPr="00D01368">
        <w:rPr>
          <w:rFonts w:ascii="Times New Roman" w:hAnsi="Times New Roman"/>
          <w:sz w:val="28"/>
          <w:szCs w:val="28"/>
          <w:lang w:val="ru-RU"/>
        </w:rPr>
        <w:t>, а также их улуч</w:t>
      </w:r>
      <w:r w:rsidR="000C4FC6">
        <w:rPr>
          <w:rFonts w:ascii="Times New Roman" w:hAnsi="Times New Roman"/>
          <w:sz w:val="28"/>
          <w:szCs w:val="28"/>
          <w:lang w:val="ru-RU"/>
        </w:rPr>
        <w:t>шить. Уровень реализации системы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готовн</w:t>
      </w:r>
      <w:r w:rsidR="000C4FC6">
        <w:rPr>
          <w:rFonts w:ascii="Times New Roman" w:hAnsi="Times New Roman"/>
          <w:sz w:val="28"/>
          <w:szCs w:val="28"/>
          <w:lang w:val="ru-RU"/>
        </w:rPr>
        <w:t>ости к осущес</w:t>
      </w:r>
      <w:r w:rsidRPr="00D01368">
        <w:rPr>
          <w:rFonts w:ascii="Times New Roman" w:hAnsi="Times New Roman"/>
          <w:sz w:val="28"/>
          <w:szCs w:val="28"/>
          <w:lang w:val="ru-RU"/>
        </w:rPr>
        <w:t>т</w:t>
      </w:r>
      <w:r w:rsidR="000C4FC6">
        <w:rPr>
          <w:rFonts w:ascii="Times New Roman" w:hAnsi="Times New Roman"/>
          <w:sz w:val="28"/>
          <w:szCs w:val="28"/>
          <w:lang w:val="ru-RU"/>
        </w:rPr>
        <w:t>влению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ПДП на разных уровнях зависит от эффективности координации на внутреннем и внешнем уровне, включая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координацию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действий между различными сотрудниками и департаментами, между штаб-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квартирой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и филиалами,  а также между местным НО, Движением, разными уровнями власти, другими гуманитарными организациями, финансовыми донорами и частным сектором.  В итоге, все </w:t>
      </w:r>
      <w:r w:rsidRPr="00D01368">
        <w:rPr>
          <w:rFonts w:ascii="Times New Roman" w:hAnsi="Times New Roman"/>
          <w:sz w:val="28"/>
          <w:szCs w:val="28"/>
          <w:lang w:val="ru-RU"/>
        </w:rPr>
        <w:lastRenderedPageBreak/>
        <w:t xml:space="preserve">аспекты информационного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взаимодействия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, связанные с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осуществлением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ПДП, должны быть включены в общие стратеги и планы информационного взаимодействия. </w:t>
      </w:r>
    </w:p>
    <w:p w14:paraId="72E2D0B9" w14:textId="61D1C788" w:rsidR="00E075B1" w:rsidRPr="00D01368" w:rsidRDefault="00F64944" w:rsidP="00674833">
      <w:pPr>
        <w:pStyle w:val="2"/>
        <w:rPr>
          <w:rFonts w:ascii="Times New Roman" w:hAnsi="Times New Roman"/>
          <w:w w:val="102"/>
          <w:lang w:val="ru-RU"/>
        </w:rPr>
      </w:pPr>
      <w:r w:rsidRPr="00D01368">
        <w:rPr>
          <w:rFonts w:ascii="Times New Roman" w:hAnsi="Times New Roman"/>
          <w:w w:val="102"/>
          <w:lang w:val="ru-RU"/>
        </w:rPr>
        <w:t>этап 3. АНАЛИЗ</w:t>
      </w:r>
      <w:r w:rsidR="00044FF0" w:rsidRPr="00D01368">
        <w:rPr>
          <w:rFonts w:ascii="Times New Roman" w:hAnsi="Times New Roman"/>
          <w:w w:val="102"/>
          <w:lang w:val="ru-RU"/>
        </w:rPr>
        <w:t xml:space="preserve">, </w:t>
      </w:r>
      <w:r w:rsidR="00F42F11" w:rsidRPr="00D01368">
        <w:rPr>
          <w:rFonts w:ascii="Times New Roman" w:hAnsi="Times New Roman"/>
          <w:w w:val="102"/>
          <w:lang w:val="ru-RU"/>
        </w:rPr>
        <w:t>обучение</w:t>
      </w:r>
      <w:r w:rsidRPr="00D01368">
        <w:rPr>
          <w:rFonts w:ascii="Times New Roman" w:hAnsi="Times New Roman"/>
          <w:w w:val="102"/>
          <w:lang w:val="ru-RU"/>
        </w:rPr>
        <w:t xml:space="preserve"> И СОВЕРШЕНСТВОВАНИЕ</w:t>
      </w:r>
    </w:p>
    <w:p w14:paraId="7C6D786B" w14:textId="07DF7722" w:rsidR="00374426" w:rsidRPr="00D01368" w:rsidRDefault="00374426" w:rsidP="00E075B1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>Этап</w:t>
      </w:r>
      <w:r w:rsidR="00090E17" w:rsidRPr="00D01368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D013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посвящен вопросам оценки готовности к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ПДП, анализу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эффективности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ПДП, а также</w:t>
      </w:r>
      <w:r w:rsidR="00CE7DCE">
        <w:rPr>
          <w:rFonts w:ascii="Times New Roman" w:hAnsi="Times New Roman"/>
          <w:sz w:val="28"/>
          <w:szCs w:val="28"/>
          <w:lang w:val="ru-RU"/>
        </w:rPr>
        <w:t xml:space="preserve"> документированию и распространению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знаний,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полученных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основании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уроков,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извлеченных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в процессе подготовки к осуществлению ПДП.</w:t>
      </w:r>
    </w:p>
    <w:p w14:paraId="50887B8C" w14:textId="7840E490" w:rsidR="00374426" w:rsidRPr="00D01368" w:rsidRDefault="00374426" w:rsidP="00E075B1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Координация усилий по созданию образовательной среды должна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осуществляться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координационной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группой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по ПДП и ТРГ, которые должны координировать усилия разных секторов и информировать ру</w:t>
      </w:r>
      <w:r w:rsidR="00CE7DCE">
        <w:rPr>
          <w:rFonts w:ascii="Times New Roman" w:hAnsi="Times New Roman"/>
          <w:sz w:val="28"/>
          <w:szCs w:val="28"/>
          <w:lang w:val="ru-RU"/>
        </w:rPr>
        <w:t xml:space="preserve">ководство и партнеров Движения </w:t>
      </w:r>
      <w:r w:rsidRPr="00D01368">
        <w:rPr>
          <w:rFonts w:ascii="Times New Roman" w:hAnsi="Times New Roman"/>
          <w:sz w:val="28"/>
          <w:szCs w:val="28"/>
          <w:lang w:val="ru-RU"/>
        </w:rPr>
        <w:t>о ходе реализации Плана дейс</w:t>
      </w:r>
      <w:r w:rsidR="00F42F11" w:rsidRPr="00D01368">
        <w:rPr>
          <w:rFonts w:ascii="Times New Roman" w:hAnsi="Times New Roman"/>
          <w:sz w:val="28"/>
          <w:szCs w:val="28"/>
          <w:lang w:val="ru-RU"/>
        </w:rPr>
        <w:t>твий. Оценка процесса готовности к осуществлению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ПДП должна позволить выявить основные достижения в реализации планов, задокументировать примеры передового опыта и разработать рекомен</w:t>
      </w:r>
      <w:r w:rsidR="004B6ABD" w:rsidRPr="00D01368">
        <w:rPr>
          <w:rFonts w:ascii="Times New Roman" w:hAnsi="Times New Roman"/>
          <w:sz w:val="28"/>
          <w:szCs w:val="28"/>
          <w:lang w:val="ru-RU"/>
        </w:rPr>
        <w:t>дации по совершенствованию</w:t>
      </w:r>
      <w:r w:rsidR="00CE7DCE">
        <w:rPr>
          <w:rFonts w:ascii="Times New Roman" w:hAnsi="Times New Roman"/>
          <w:sz w:val="28"/>
          <w:szCs w:val="28"/>
          <w:lang w:val="ru-RU"/>
        </w:rPr>
        <w:t xml:space="preserve"> используемых механизмов и повышению</w:t>
      </w:r>
      <w:r w:rsidR="004B6ABD" w:rsidRPr="00D01368">
        <w:rPr>
          <w:rFonts w:ascii="Times New Roman" w:hAnsi="Times New Roman"/>
          <w:sz w:val="28"/>
          <w:szCs w:val="28"/>
          <w:lang w:val="ru-RU"/>
        </w:rPr>
        <w:t xml:space="preserve"> уровня промежуточных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результатов</w:t>
      </w:r>
      <w:r w:rsidR="004B6ABD" w:rsidRPr="00D013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F44DD0C" w14:textId="4C8555EF" w:rsidR="00F42F11" w:rsidRPr="00D01368" w:rsidRDefault="00F42F11" w:rsidP="00C46DBB">
      <w:pPr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="00CE7DCE">
        <w:rPr>
          <w:rFonts w:ascii="Times New Roman" w:hAnsi="Times New Roman"/>
          <w:sz w:val="28"/>
          <w:szCs w:val="28"/>
          <w:lang w:val="ru-RU"/>
        </w:rPr>
        <w:t xml:space="preserve">накопленного опыта 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и обучение должны </w:t>
      </w:r>
      <w:r w:rsidR="00CE7DCE">
        <w:rPr>
          <w:rFonts w:ascii="Times New Roman" w:hAnsi="Times New Roman"/>
          <w:sz w:val="28"/>
          <w:szCs w:val="28"/>
          <w:lang w:val="ru-RU"/>
        </w:rPr>
        <w:t>осуществляться в рамках тренингов по ПДП. По завершении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программ ПДП в рамках экстренного реагирования, </w:t>
      </w:r>
      <w:r w:rsidR="00EE471E" w:rsidRPr="00D01368">
        <w:rPr>
          <w:rFonts w:ascii="Times New Roman" w:hAnsi="Times New Roman"/>
          <w:sz w:val="28"/>
          <w:szCs w:val="28"/>
          <w:lang w:val="ru-RU"/>
        </w:rPr>
        <w:t xml:space="preserve">необходимо провести внешнюю оценку, чтобы </w:t>
      </w:r>
      <w:r w:rsidR="00CE7DCE">
        <w:rPr>
          <w:rFonts w:ascii="Times New Roman" w:hAnsi="Times New Roman"/>
          <w:sz w:val="28"/>
          <w:szCs w:val="28"/>
          <w:lang w:val="ru-RU"/>
        </w:rPr>
        <w:t xml:space="preserve">беспристрастно </w:t>
      </w:r>
      <w:r w:rsidR="00EE471E" w:rsidRPr="00D01368">
        <w:rPr>
          <w:rFonts w:ascii="Times New Roman" w:hAnsi="Times New Roman"/>
          <w:sz w:val="28"/>
          <w:szCs w:val="28"/>
          <w:lang w:val="ru-RU"/>
        </w:rPr>
        <w:t xml:space="preserve">оценить все преимущества и недостатки </w:t>
      </w:r>
      <w:r w:rsidR="00CE7DCE" w:rsidRPr="00D01368">
        <w:rPr>
          <w:rFonts w:ascii="Times New Roman" w:hAnsi="Times New Roman"/>
          <w:sz w:val="28"/>
          <w:szCs w:val="28"/>
          <w:lang w:val="ru-RU"/>
        </w:rPr>
        <w:t>процесса</w:t>
      </w:r>
      <w:r w:rsidR="00EE471E" w:rsidRPr="00D01368">
        <w:rPr>
          <w:rFonts w:ascii="Times New Roman" w:hAnsi="Times New Roman"/>
          <w:sz w:val="28"/>
          <w:szCs w:val="28"/>
          <w:lang w:val="ru-RU"/>
        </w:rPr>
        <w:t xml:space="preserve"> работы. Фактологически</w:t>
      </w:r>
      <w:r w:rsidR="00CE7DCE">
        <w:rPr>
          <w:rFonts w:ascii="Times New Roman" w:hAnsi="Times New Roman"/>
          <w:sz w:val="28"/>
          <w:szCs w:val="28"/>
          <w:lang w:val="ru-RU"/>
        </w:rPr>
        <w:t>е исследования, проведенные внеш</w:t>
      </w:r>
      <w:r w:rsidR="00EE471E" w:rsidRPr="00D01368">
        <w:rPr>
          <w:rFonts w:ascii="Times New Roman" w:hAnsi="Times New Roman"/>
          <w:sz w:val="28"/>
          <w:szCs w:val="28"/>
          <w:lang w:val="ru-RU"/>
        </w:rPr>
        <w:t>ними наблюдателями – еще один интересны</w:t>
      </w:r>
      <w:r w:rsidR="00CE7DCE">
        <w:rPr>
          <w:rFonts w:ascii="Times New Roman" w:hAnsi="Times New Roman"/>
          <w:sz w:val="28"/>
          <w:szCs w:val="28"/>
          <w:lang w:val="ru-RU"/>
        </w:rPr>
        <w:t>й способ задокументировать примеры передового опыта</w:t>
      </w:r>
      <w:r w:rsidR="008E5481">
        <w:rPr>
          <w:rFonts w:ascii="Times New Roman" w:hAnsi="Times New Roman"/>
          <w:sz w:val="28"/>
          <w:szCs w:val="28"/>
          <w:lang w:val="ru-RU"/>
        </w:rPr>
        <w:t xml:space="preserve"> по осуществлению программ ПДП. Такие исследования могут быть использованы</w:t>
      </w:r>
      <w:r w:rsidR="00EE471E" w:rsidRPr="00D01368">
        <w:rPr>
          <w:rFonts w:ascii="Times New Roman" w:hAnsi="Times New Roman"/>
          <w:sz w:val="28"/>
          <w:szCs w:val="28"/>
          <w:lang w:val="ru-RU"/>
        </w:rPr>
        <w:t xml:space="preserve"> для</w:t>
      </w:r>
      <w:r w:rsidR="008E5481">
        <w:rPr>
          <w:rFonts w:ascii="Times New Roman" w:hAnsi="Times New Roman"/>
          <w:sz w:val="28"/>
          <w:szCs w:val="28"/>
          <w:lang w:val="ru-RU"/>
        </w:rPr>
        <w:t xml:space="preserve"> поддержки усилий по мобилизации ресурсов и</w:t>
      </w:r>
      <w:r w:rsidR="00EE471E" w:rsidRPr="00D01368">
        <w:rPr>
          <w:rFonts w:ascii="Times New Roman" w:hAnsi="Times New Roman"/>
          <w:sz w:val="28"/>
          <w:szCs w:val="28"/>
          <w:lang w:val="ru-RU"/>
        </w:rPr>
        <w:t xml:space="preserve"> развитию потенциала. </w:t>
      </w:r>
    </w:p>
    <w:p w14:paraId="6257937B" w14:textId="4984B37E" w:rsidR="00EE471E" w:rsidRPr="00D01368" w:rsidRDefault="00EE471E" w:rsidP="00B902E0">
      <w:pPr>
        <w:keepNext/>
        <w:keepLines/>
        <w:rPr>
          <w:rFonts w:ascii="Times New Roman" w:hAnsi="Times New Roman"/>
          <w:sz w:val="28"/>
          <w:szCs w:val="28"/>
          <w:lang w:val="ru-RU"/>
        </w:rPr>
      </w:pPr>
      <w:r w:rsidRPr="00D01368">
        <w:rPr>
          <w:rFonts w:ascii="Times New Roman" w:hAnsi="Times New Roman"/>
          <w:sz w:val="28"/>
          <w:szCs w:val="28"/>
          <w:lang w:val="ru-RU"/>
        </w:rPr>
        <w:t xml:space="preserve">Важно задокументировать и распространить знания, накопленные в рамках </w:t>
      </w:r>
      <w:r w:rsidR="0059587F" w:rsidRPr="00D01368">
        <w:rPr>
          <w:rFonts w:ascii="Times New Roman" w:hAnsi="Times New Roman"/>
          <w:sz w:val="28"/>
          <w:szCs w:val="28"/>
          <w:lang w:val="ru-RU"/>
        </w:rPr>
        <w:t>подготовки</w:t>
      </w:r>
      <w:r w:rsidR="0059587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87F" w:rsidRPr="00D01368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программ ПДП, как внутри Движения, так и среди других организаций и сетей за его пределами. Распространение инструментов и предметных иссле</w:t>
      </w:r>
      <w:r w:rsidR="0059587F">
        <w:rPr>
          <w:rFonts w:ascii="Times New Roman" w:hAnsi="Times New Roman"/>
          <w:sz w:val="28"/>
          <w:szCs w:val="28"/>
          <w:lang w:val="ru-RU"/>
        </w:rPr>
        <w:t>дований, а также аудио-видео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 материало</w:t>
      </w:r>
      <w:r w:rsidR="0059587F">
        <w:rPr>
          <w:rFonts w:ascii="Times New Roman" w:hAnsi="Times New Roman"/>
          <w:sz w:val="28"/>
          <w:szCs w:val="28"/>
          <w:lang w:val="ru-RU"/>
        </w:rPr>
        <w:t>в могут стать важ</w:t>
      </w:r>
      <w:r w:rsidRPr="00D01368">
        <w:rPr>
          <w:rFonts w:ascii="Times New Roman" w:hAnsi="Times New Roman"/>
          <w:sz w:val="28"/>
          <w:szCs w:val="28"/>
          <w:lang w:val="ru-RU"/>
        </w:rPr>
        <w:t xml:space="preserve">ным вкладом в развитие гуманитарного сектора. </w:t>
      </w:r>
    </w:p>
    <w:p w14:paraId="676B028D" w14:textId="77777777" w:rsidR="00B4685C" w:rsidRPr="00D01368" w:rsidRDefault="00B4685C" w:rsidP="00752615">
      <w:pPr>
        <w:rPr>
          <w:rFonts w:ascii="Times New Roman" w:hAnsi="Times New Roman"/>
          <w:lang w:val="ru-RU" w:eastAsia="en-GB"/>
        </w:rPr>
      </w:pPr>
    </w:p>
    <w:tbl>
      <w:tblPr>
        <w:tblStyle w:val="TableGray"/>
        <w:tblW w:w="9639" w:type="dxa"/>
        <w:tblInd w:w="142" w:type="dxa"/>
        <w:tblLook w:val="0600" w:firstRow="0" w:lastRow="0" w:firstColumn="0" w:lastColumn="0" w:noHBand="1" w:noVBand="1"/>
      </w:tblPr>
      <w:tblGrid>
        <w:gridCol w:w="9639"/>
      </w:tblGrid>
      <w:tr w:rsidR="00F674F8" w:rsidRPr="00D01368" w14:paraId="1BC6E672" w14:textId="77777777" w:rsidTr="00D22CA9">
        <w:trPr>
          <w:trHeight w:val="50"/>
        </w:trPr>
        <w:tc>
          <w:tcPr>
            <w:tcW w:w="9639" w:type="dxa"/>
            <w:hideMark/>
          </w:tcPr>
          <w:p w14:paraId="7E1D5DDA" w14:textId="0B731358" w:rsidR="00674833" w:rsidRPr="00D01368" w:rsidRDefault="00EE471E" w:rsidP="003D3A8C">
            <w:pPr>
              <w:pStyle w:val="RefTitre"/>
              <w:keepNext/>
              <w:keepLines/>
              <w:rPr>
                <w:rFonts w:ascii="Times New Roman" w:hAnsi="Times New Roman"/>
                <w:lang w:val="ru-RU"/>
              </w:rPr>
            </w:pPr>
            <w:r w:rsidRPr="00D01368">
              <w:rPr>
                <w:rFonts w:ascii="Times New Roman" w:hAnsi="Times New Roman"/>
                <w:lang w:val="ru-RU"/>
              </w:rPr>
              <w:t>СПРАВОЧНЫЕ ДОКУМЕНТЫ</w:t>
            </w:r>
          </w:p>
          <w:p w14:paraId="47A66496" w14:textId="0FA16DBC" w:rsidR="00674833" w:rsidRPr="00D01368" w:rsidRDefault="00EE471E" w:rsidP="003D3A8C">
            <w:pPr>
              <w:pStyle w:val="RefItem1"/>
              <w:keepNext/>
              <w:keepLines/>
              <w:rPr>
                <w:rFonts w:ascii="Times New Roman" w:hAnsi="Times New Roman"/>
                <w:lang w:val="ru-RU"/>
              </w:rPr>
            </w:pPr>
            <w:r w:rsidRPr="00D01368">
              <w:rPr>
                <w:rFonts w:ascii="Times New Roman" w:hAnsi="Times New Roman"/>
                <w:lang w:val="ru-RU"/>
              </w:rPr>
              <w:t>Международное движение Красного Креста и Красного Полумесяца</w:t>
            </w:r>
            <w:r w:rsidR="00674833" w:rsidRPr="00D01368">
              <w:rPr>
                <w:rFonts w:ascii="Times New Roman" w:hAnsi="Times New Roman"/>
                <w:lang w:val="ru-RU"/>
              </w:rPr>
              <w:t xml:space="preserve"> </w:t>
            </w:r>
            <w:r w:rsidRPr="00D01368">
              <w:rPr>
                <w:rFonts w:ascii="Times New Roman" w:hAnsi="Times New Roman"/>
                <w:lang w:val="ru-RU"/>
              </w:rPr>
              <w:t xml:space="preserve">– Руководящие указания по </w:t>
            </w:r>
            <w:r w:rsidR="0059587F">
              <w:rPr>
                <w:rFonts w:ascii="Times New Roman" w:hAnsi="Times New Roman"/>
                <w:lang w:val="ru-RU"/>
              </w:rPr>
              <w:t>внедрению</w:t>
            </w:r>
            <w:r w:rsidRPr="00D01368">
              <w:rPr>
                <w:rFonts w:ascii="Times New Roman" w:hAnsi="Times New Roman"/>
                <w:lang w:val="ru-RU"/>
              </w:rPr>
              <w:t xml:space="preserve"> и подготовке программ ПДП </w:t>
            </w:r>
          </w:p>
          <w:p w14:paraId="21009FF7" w14:textId="35C4B935" w:rsidR="0059587F" w:rsidRDefault="00EE471E" w:rsidP="00D22CA9">
            <w:pPr>
              <w:pStyle w:val="RefItem1"/>
              <w:keepNext/>
              <w:keepLines/>
              <w:ind w:right="-1544"/>
              <w:rPr>
                <w:rFonts w:ascii="Times New Roman" w:hAnsi="Times New Roman"/>
                <w:lang w:val="ru-RU"/>
              </w:rPr>
            </w:pPr>
            <w:r w:rsidRPr="00D01368">
              <w:rPr>
                <w:rFonts w:ascii="Times New Roman" w:hAnsi="Times New Roman"/>
                <w:lang w:val="ru-RU"/>
              </w:rPr>
              <w:t>Руково</w:t>
            </w:r>
            <w:r w:rsidR="0059587F">
              <w:rPr>
                <w:rFonts w:ascii="Times New Roman" w:hAnsi="Times New Roman"/>
                <w:lang w:val="ru-RU"/>
              </w:rPr>
              <w:t xml:space="preserve">дящие указания по </w:t>
            </w:r>
            <w:r w:rsidRPr="00D01368">
              <w:rPr>
                <w:rFonts w:ascii="Times New Roman" w:hAnsi="Times New Roman"/>
                <w:lang w:val="ru-RU"/>
              </w:rPr>
              <w:t>оценке</w:t>
            </w:r>
            <w:r w:rsidR="0059587F">
              <w:rPr>
                <w:rFonts w:ascii="Times New Roman" w:hAnsi="Times New Roman"/>
                <w:lang w:val="ru-RU"/>
              </w:rPr>
              <w:t xml:space="preserve"> состояния рынков</w:t>
            </w:r>
            <w:r w:rsidR="00674833" w:rsidRPr="00D01368">
              <w:rPr>
                <w:rFonts w:ascii="Times New Roman" w:hAnsi="Times New Roman"/>
                <w:lang w:val="ru-RU"/>
              </w:rPr>
              <w:t xml:space="preserve">: </w:t>
            </w:r>
            <w:r w:rsidRPr="00D01368">
              <w:rPr>
                <w:rFonts w:ascii="Times New Roman" w:hAnsi="Times New Roman"/>
                <w:lang w:val="ru-RU"/>
              </w:rPr>
              <w:t>Руково</w:t>
            </w:r>
            <w:r w:rsidR="0059587F">
              <w:rPr>
                <w:rFonts w:ascii="Times New Roman" w:hAnsi="Times New Roman"/>
                <w:lang w:val="ru-RU"/>
              </w:rPr>
              <w:t xml:space="preserve">дящие указания по </w:t>
            </w:r>
            <w:r w:rsidRPr="00D01368">
              <w:rPr>
                <w:rFonts w:ascii="Times New Roman" w:hAnsi="Times New Roman"/>
                <w:lang w:val="ru-RU"/>
              </w:rPr>
              <w:t>оценке</w:t>
            </w:r>
            <w:r w:rsidR="0059587F">
              <w:rPr>
                <w:rFonts w:ascii="Times New Roman" w:hAnsi="Times New Roman"/>
                <w:lang w:val="ru-RU"/>
              </w:rPr>
              <w:t xml:space="preserve"> состояния рынков</w:t>
            </w:r>
            <w:r w:rsidRPr="00D01368">
              <w:rPr>
                <w:rFonts w:ascii="Times New Roman" w:hAnsi="Times New Roman"/>
                <w:lang w:val="ru-RU"/>
              </w:rPr>
              <w:t xml:space="preserve"> в</w:t>
            </w:r>
          </w:p>
          <w:p w14:paraId="556DBA03" w14:textId="3005793C" w:rsidR="00674833" w:rsidRPr="00D01368" w:rsidRDefault="00EE471E" w:rsidP="00D22CA9">
            <w:pPr>
              <w:pStyle w:val="RefItem1"/>
              <w:keepNext/>
              <w:keepLines/>
              <w:ind w:right="-1544"/>
              <w:rPr>
                <w:rFonts w:ascii="Times New Roman" w:hAnsi="Times New Roman"/>
                <w:lang w:val="ru-RU"/>
              </w:rPr>
            </w:pPr>
            <w:r w:rsidRPr="00D01368">
              <w:rPr>
                <w:rFonts w:ascii="Times New Roman" w:hAnsi="Times New Roman"/>
                <w:lang w:val="ru-RU"/>
              </w:rPr>
              <w:t xml:space="preserve">рамках цикла реализации проекта. </w:t>
            </w:r>
            <w:hyperlink r:id="rId8" w:history="1">
              <w:r w:rsidR="0063591A" w:rsidRPr="00D01368">
                <w:rPr>
                  <w:rStyle w:val="af2"/>
                  <w:rFonts w:ascii="Times New Roman" w:hAnsi="Times New Roman"/>
                  <w:lang w:val="ru-RU"/>
                </w:rPr>
                <w:t>www.icrc.org/eng/assets/files/publications/icrc-002-4200.pdf</w:t>
              </w:r>
            </w:hyperlink>
          </w:p>
          <w:p w14:paraId="325C58C9" w14:textId="22E3E492" w:rsidR="00F674F8" w:rsidRPr="00D01368" w:rsidRDefault="00EE471E" w:rsidP="003D3A8C">
            <w:pPr>
              <w:pStyle w:val="RefItem1"/>
              <w:keepNext/>
              <w:keepLines/>
              <w:rPr>
                <w:rFonts w:ascii="Times New Roman" w:hAnsi="Times New Roman"/>
                <w:lang w:val="ru-RU"/>
              </w:rPr>
            </w:pPr>
            <w:r w:rsidRPr="00D01368">
              <w:rPr>
                <w:rFonts w:ascii="Times New Roman" w:hAnsi="Times New Roman"/>
                <w:lang w:val="ru-RU"/>
              </w:rPr>
              <w:t>Информационное взаимодействие с бенефи</w:t>
            </w:r>
            <w:r w:rsidR="0059587F">
              <w:rPr>
                <w:rFonts w:ascii="Times New Roman" w:hAnsi="Times New Roman"/>
                <w:lang w:val="ru-RU"/>
              </w:rPr>
              <w:t>циарами и вопросы отчетности (М</w:t>
            </w:r>
            <w:r w:rsidRPr="00D01368">
              <w:rPr>
                <w:rFonts w:ascii="Times New Roman" w:hAnsi="Times New Roman"/>
                <w:lang w:val="ru-RU"/>
              </w:rPr>
              <w:t>Ф</w:t>
            </w:r>
            <w:r w:rsidR="0059587F">
              <w:rPr>
                <w:rFonts w:ascii="Times New Roman" w:hAnsi="Times New Roman"/>
                <w:lang w:val="ru-RU"/>
              </w:rPr>
              <w:t>О</w:t>
            </w:r>
            <w:r w:rsidRPr="00D01368">
              <w:rPr>
                <w:rFonts w:ascii="Times New Roman" w:hAnsi="Times New Roman"/>
                <w:lang w:val="ru-RU"/>
              </w:rPr>
              <w:t>ККиКП</w:t>
            </w:r>
            <w:r w:rsidR="00674833" w:rsidRPr="00D01368">
              <w:rPr>
                <w:rFonts w:ascii="Times New Roman" w:hAnsi="Times New Roman"/>
                <w:lang w:val="ru-RU"/>
              </w:rPr>
              <w:t xml:space="preserve">) </w:t>
            </w:r>
            <w:hyperlink r:id="rId9" w:history="1">
              <w:r w:rsidR="00674833" w:rsidRPr="00D01368">
                <w:rPr>
                  <w:rStyle w:val="af2"/>
                  <w:rFonts w:ascii="Times New Roman" w:eastAsia="Times New Roman" w:hAnsi="Times New Roman"/>
                  <w:lang w:val="ru-RU"/>
                </w:rPr>
                <w:t>www.ifrc.org/PageFiles/94411/IFRC%20BCA%20Lesson%20Learned%20doc_final.pdf</w:t>
              </w:r>
            </w:hyperlink>
            <w:r w:rsidR="00674833" w:rsidRPr="00D0136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14:paraId="38836B92" w14:textId="77777777" w:rsidR="00F674F8" w:rsidRPr="00D01368" w:rsidRDefault="00F674F8" w:rsidP="003F05A4">
      <w:pPr>
        <w:spacing w:after="0"/>
        <w:rPr>
          <w:rFonts w:ascii="Times New Roman" w:hAnsi="Times New Roman"/>
          <w:lang w:val="ru-RU"/>
        </w:rPr>
      </w:pPr>
    </w:p>
    <w:sectPr w:rsidR="00F674F8" w:rsidRPr="00D01368" w:rsidSect="0025660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69728" w15:done="0"/>
  <w15:commentEx w15:paraId="1129A74C" w15:done="0"/>
  <w15:commentEx w15:paraId="7C641276" w15:done="0"/>
  <w15:commentEx w15:paraId="01FFD799" w15:done="0"/>
  <w15:commentEx w15:paraId="6A5CB8A8" w15:done="0"/>
  <w15:commentEx w15:paraId="39146287" w15:done="0"/>
  <w15:commentEx w15:paraId="05CF361D" w15:done="0"/>
  <w15:commentEx w15:paraId="67E90B66" w15:done="0"/>
  <w15:commentEx w15:paraId="3683CDCA" w15:done="0"/>
  <w15:commentEx w15:paraId="7907FAF6" w15:done="0"/>
  <w15:commentEx w15:paraId="50CDA6A3" w15:done="0"/>
  <w15:commentEx w15:paraId="1A81AC1C" w15:done="0"/>
  <w15:commentEx w15:paraId="3BBE677E" w15:done="0"/>
  <w15:commentEx w15:paraId="1DB1C171" w15:done="0"/>
  <w15:commentEx w15:paraId="60362706" w15:done="0"/>
  <w15:commentEx w15:paraId="102D85DE" w15:paraIdParent="60362706" w15:done="0"/>
  <w15:commentEx w15:paraId="2169B40E" w15:done="0"/>
  <w15:commentEx w15:paraId="66C698A2" w15:done="0"/>
  <w15:commentEx w15:paraId="33876599" w15:done="0"/>
  <w15:commentEx w15:paraId="5F02BBC5" w15:done="0"/>
  <w15:commentEx w15:paraId="783A8C3E" w15:done="0"/>
  <w15:commentEx w15:paraId="0C29179A" w15:done="0"/>
  <w15:commentEx w15:paraId="3BB5110B" w15:done="0"/>
  <w15:commentEx w15:paraId="79246BFC" w15:done="0"/>
  <w15:commentEx w15:paraId="000E4E6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07318" w14:textId="77777777" w:rsidR="00CE7DCE" w:rsidRDefault="00CE7DCE" w:rsidP="00752615">
      <w:pPr>
        <w:spacing w:after="0"/>
      </w:pPr>
      <w:r>
        <w:separator/>
      </w:r>
    </w:p>
  </w:endnote>
  <w:endnote w:type="continuationSeparator" w:id="0">
    <w:p w14:paraId="5106EE4D" w14:textId="77777777" w:rsidR="00CE7DCE" w:rsidRDefault="00CE7DCE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6638" w14:textId="77777777" w:rsidR="00CE7DCE" w:rsidRDefault="00CE7DCE" w:rsidP="0075261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27F4871" w14:textId="77777777" w:rsidR="00CE7DCE" w:rsidRDefault="00CE7DCE" w:rsidP="00752615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A82F" w14:textId="77777777" w:rsidR="00CE7DCE" w:rsidRPr="00B45C74" w:rsidRDefault="00CE7DCE" w:rsidP="003E48FB">
    <w:pPr>
      <w:framePr w:wrap="around" w:vAnchor="text" w:hAnchor="margin" w:xAlign="right" w:y="1"/>
      <w:tabs>
        <w:tab w:val="center" w:pos="4320"/>
        <w:tab w:val="right" w:pos="8640"/>
      </w:tabs>
      <w:spacing w:after="0"/>
      <w:jc w:val="left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E7136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713B2B3" w14:textId="0C36DF96" w:rsidR="00CE7DCE" w:rsidRPr="009E7136" w:rsidRDefault="009E7136" w:rsidP="00F460BD">
    <w:pPr>
      <w:pStyle w:val="ad"/>
      <w:rPr>
        <w:lang w:val="ru-RU"/>
      </w:rPr>
    </w:pPr>
    <w:r w:rsidRPr="009E7136">
      <w:rPr>
        <w:b/>
        <w:lang w:val="ru-RU"/>
      </w:rPr>
      <w:t>Модуль</w:t>
    </w:r>
    <w:r w:rsidR="00CE7DCE" w:rsidRPr="009E7136">
      <w:rPr>
        <w:b/>
        <w:lang w:val="ru-RU"/>
      </w:rPr>
      <w:t xml:space="preserve"> 1. </w:t>
    </w:r>
    <w:r w:rsidRPr="009E7136">
      <w:rPr>
        <w:lang w:val="ru-RU"/>
      </w:rPr>
      <w:t>Дорожная карта по вопросам обеспечения готовности</w:t>
    </w:r>
    <w:r w:rsidR="00CE7DCE" w:rsidRPr="009E7136">
      <w:rPr>
        <w:lang w:val="ru-RU"/>
      </w:rPr>
      <w:t xml:space="preserve"> </w:t>
    </w:r>
    <w:r w:rsidR="00CE7DCE" w:rsidRPr="009E7136">
      <w:rPr>
        <w:lang w:val="ru-RU"/>
      </w:rPr>
      <w:fldChar w:fldCharType="begin"/>
    </w:r>
    <w:r w:rsidR="00CE7DCE" w:rsidRPr="009E7136">
      <w:rPr>
        <w:lang w:val="ru-RU"/>
      </w:rPr>
      <w:instrText xml:space="preserve"> STYLEREF  H1 \t  \* MERGEFORMAT </w:instrText>
    </w:r>
    <w:r w:rsidR="00CE7DCE" w:rsidRPr="009E7136"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D295" w14:textId="77777777" w:rsidR="00CE7DCE" w:rsidRPr="00B45C74" w:rsidRDefault="00CE7DCE" w:rsidP="003E48FB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E713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B3E623E" w14:textId="4FF62B0E" w:rsidR="00CE7DCE" w:rsidRPr="003A3500" w:rsidRDefault="00CE7DCE" w:rsidP="003E48FB">
    <w:pPr>
      <w:pStyle w:val="ad"/>
    </w:pPr>
    <w:r w:rsidRPr="00107E15">
      <w:rPr>
        <w:b/>
      </w:rPr>
      <w:t xml:space="preserve">Module </w:t>
    </w:r>
    <w:r>
      <w:rPr>
        <w:b/>
      </w:rPr>
      <w:t>.1</w:t>
    </w:r>
    <w:r w:rsidRPr="00F460BD">
      <w:t xml:space="preserve"> </w:t>
    </w:r>
    <w:r w:rsidR="009E7136">
      <w:fldChar w:fldCharType="begin"/>
    </w:r>
    <w:r w:rsidR="009E7136">
      <w:instrText xml:space="preserve"> STYLEREF  H1 \t  \* MERGEFORMAT </w:instrText>
    </w:r>
    <w:r w:rsidR="009E7136">
      <w:fldChar w:fldCharType="separate"/>
    </w:r>
    <w:r w:rsidR="009E7136">
      <w:rPr>
        <w:rFonts w:hint="eastAsia"/>
        <w:noProof/>
      </w:rPr>
      <w:t>Дорожная</w:t>
    </w:r>
    <w:r w:rsidR="009E7136">
      <w:rPr>
        <w:rFonts w:hint="eastAsia"/>
        <w:noProof/>
      </w:rPr>
      <w:t xml:space="preserve"> </w:t>
    </w:r>
    <w:r w:rsidR="009E7136">
      <w:rPr>
        <w:rFonts w:hint="eastAsia"/>
        <w:noProof/>
      </w:rPr>
      <w:t>карта</w:t>
    </w:r>
    <w:r w:rsidR="009E7136">
      <w:rPr>
        <w:rFonts w:hint="eastAsia"/>
        <w:noProof/>
      </w:rPr>
      <w:t xml:space="preserve"> </w:t>
    </w:r>
    <w:r w:rsidR="009E7136">
      <w:rPr>
        <w:rFonts w:hint="eastAsia"/>
        <w:noProof/>
      </w:rPr>
      <w:t>по</w:t>
    </w:r>
    <w:r w:rsidR="009E7136">
      <w:rPr>
        <w:rFonts w:hint="eastAsia"/>
        <w:noProof/>
      </w:rPr>
      <w:t xml:space="preserve"> </w:t>
    </w:r>
    <w:r w:rsidR="009E7136">
      <w:rPr>
        <w:rFonts w:hint="eastAsia"/>
        <w:noProof/>
      </w:rPr>
      <w:t>вопросам</w:t>
    </w:r>
    <w:r w:rsidR="009E7136">
      <w:rPr>
        <w:rFonts w:hint="eastAsia"/>
        <w:noProof/>
      </w:rPr>
      <w:t xml:space="preserve"> </w:t>
    </w:r>
    <w:r w:rsidR="009E7136">
      <w:rPr>
        <w:rFonts w:hint="eastAsia"/>
        <w:noProof/>
      </w:rPr>
      <w:t>обеспечения</w:t>
    </w:r>
    <w:r w:rsidR="009E7136">
      <w:rPr>
        <w:rFonts w:hint="eastAsia"/>
        <w:noProof/>
      </w:rPr>
      <w:t xml:space="preserve"> </w:t>
    </w:r>
    <w:r w:rsidR="009E7136">
      <w:rPr>
        <w:rFonts w:hint="eastAsia"/>
        <w:noProof/>
      </w:rPr>
      <w:t>готовности</w:t>
    </w:r>
    <w:r w:rsidR="009E71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1BB71" w14:textId="77777777" w:rsidR="00CE7DCE" w:rsidRDefault="00CE7DCE" w:rsidP="00752615">
      <w:pPr>
        <w:spacing w:after="0"/>
      </w:pPr>
      <w:r>
        <w:separator/>
      </w:r>
    </w:p>
  </w:footnote>
  <w:footnote w:type="continuationSeparator" w:id="0">
    <w:p w14:paraId="2E41A311" w14:textId="77777777" w:rsidR="00CE7DCE" w:rsidRDefault="00CE7DCE" w:rsidP="0075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7BC0" w14:textId="77777777" w:rsidR="00CE7DCE" w:rsidRPr="00074036" w:rsidRDefault="00CE7DCE" w:rsidP="003E48FB">
    <w:pPr>
      <w:pStyle w:val="af0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"/>
        <w:bCs/>
        <w:szCs w:val="16"/>
      </w:rPr>
      <w:t>I</w:t>
    </w:r>
    <w:r w:rsidRPr="009F6986">
      <w:rPr>
        <w:rStyle w:val="af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E6AE0" w14:textId="77777777" w:rsidR="00CE7DCE" w:rsidRDefault="00CE7DCE" w:rsidP="003E48FB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012536C" wp14:editId="6A17249B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F6E653" w14:textId="77777777" w:rsidR="00CE7DCE" w:rsidRDefault="00CE7DCE" w:rsidP="003E48FB">
    <w:pPr>
      <w:pStyle w:val="Header1"/>
    </w:pPr>
  </w:p>
  <w:p w14:paraId="76EEB48C" w14:textId="77777777" w:rsidR="00CE7DCE" w:rsidRDefault="00CE7DCE" w:rsidP="00F27C45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E44E5D" wp14:editId="159F0986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15A1E" w14:textId="77777777" w:rsidR="00CE7DCE" w:rsidRDefault="00CE7DCE" w:rsidP="00F27C45">
    <w:pPr>
      <w:pStyle w:val="Header1"/>
    </w:pPr>
  </w:p>
  <w:p w14:paraId="693B0318" w14:textId="77777777" w:rsidR="00CE7DCE" w:rsidRDefault="00CE7DCE" w:rsidP="00F27C45">
    <w:pPr>
      <w:pStyle w:val="Header1"/>
    </w:pPr>
  </w:p>
  <w:p w14:paraId="17F29387" w14:textId="77777777" w:rsidR="00CE7DCE" w:rsidRPr="00F27C45" w:rsidRDefault="00CE7DCE" w:rsidP="003E48FB">
    <w:pPr>
      <w:pStyle w:val="Header1"/>
      <w:rPr>
        <w:rStyle w:val="Pantone485"/>
      </w:rPr>
    </w:pPr>
    <w:r w:rsidRPr="00F27C45">
      <w:rPr>
        <w:rStyle w:val="Pantone485"/>
      </w:rPr>
      <w:t>Cash in Emergencies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5"/>
  </w:num>
  <w:num w:numId="4">
    <w:abstractNumId w:val="26"/>
  </w:num>
  <w:num w:numId="5">
    <w:abstractNumId w:val="41"/>
  </w:num>
  <w:num w:numId="6">
    <w:abstractNumId w:val="25"/>
  </w:num>
  <w:num w:numId="7">
    <w:abstractNumId w:val="30"/>
  </w:num>
  <w:num w:numId="8">
    <w:abstractNumId w:val="20"/>
  </w:num>
  <w:num w:numId="9">
    <w:abstractNumId w:val="43"/>
  </w:num>
  <w:num w:numId="10">
    <w:abstractNumId w:val="33"/>
  </w:num>
  <w:num w:numId="11">
    <w:abstractNumId w:val="34"/>
  </w:num>
  <w:num w:numId="12">
    <w:abstractNumId w:val="38"/>
  </w:num>
  <w:num w:numId="13">
    <w:abstractNumId w:val="40"/>
  </w:num>
  <w:num w:numId="14">
    <w:abstractNumId w:val="18"/>
  </w:num>
  <w:num w:numId="15">
    <w:abstractNumId w:val="39"/>
  </w:num>
  <w:num w:numId="16">
    <w:abstractNumId w:val="14"/>
  </w:num>
  <w:num w:numId="17">
    <w:abstractNumId w:val="13"/>
  </w:num>
  <w:num w:numId="18">
    <w:abstractNumId w:val="42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4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31"/>
  </w:num>
  <w:num w:numId="43">
    <w:abstractNumId w:val="35"/>
  </w:num>
  <w:num w:numId="44">
    <w:abstractNumId w:val="37"/>
  </w:num>
  <w:num w:numId="45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0"/>
    <w:rsid w:val="00013F7A"/>
    <w:rsid w:val="00027A43"/>
    <w:rsid w:val="000438E0"/>
    <w:rsid w:val="00044327"/>
    <w:rsid w:val="00044FF0"/>
    <w:rsid w:val="00046C14"/>
    <w:rsid w:val="00052031"/>
    <w:rsid w:val="000635B8"/>
    <w:rsid w:val="00076A9D"/>
    <w:rsid w:val="00076D0A"/>
    <w:rsid w:val="00081581"/>
    <w:rsid w:val="00086BFE"/>
    <w:rsid w:val="00090E17"/>
    <w:rsid w:val="00095A26"/>
    <w:rsid w:val="000B082D"/>
    <w:rsid w:val="000B1137"/>
    <w:rsid w:val="000B5A12"/>
    <w:rsid w:val="000C4FC6"/>
    <w:rsid w:val="000D2128"/>
    <w:rsid w:val="000D411A"/>
    <w:rsid w:val="000D6F20"/>
    <w:rsid w:val="000D763F"/>
    <w:rsid w:val="000E761A"/>
    <w:rsid w:val="000E7D44"/>
    <w:rsid w:val="000F065E"/>
    <w:rsid w:val="000F0CF2"/>
    <w:rsid w:val="000F578B"/>
    <w:rsid w:val="00100684"/>
    <w:rsid w:val="0010360C"/>
    <w:rsid w:val="00105565"/>
    <w:rsid w:val="00114E06"/>
    <w:rsid w:val="00127341"/>
    <w:rsid w:val="00132856"/>
    <w:rsid w:val="00136DBD"/>
    <w:rsid w:val="0014319C"/>
    <w:rsid w:val="00147BF4"/>
    <w:rsid w:val="00151A19"/>
    <w:rsid w:val="00153DDA"/>
    <w:rsid w:val="001563EA"/>
    <w:rsid w:val="0016162D"/>
    <w:rsid w:val="00165AA4"/>
    <w:rsid w:val="00165AD1"/>
    <w:rsid w:val="00171E5B"/>
    <w:rsid w:val="001946D2"/>
    <w:rsid w:val="001A436E"/>
    <w:rsid w:val="001A7AD5"/>
    <w:rsid w:val="001B1F8F"/>
    <w:rsid w:val="001B6CEC"/>
    <w:rsid w:val="001B79C9"/>
    <w:rsid w:val="001C34F7"/>
    <w:rsid w:val="001C3864"/>
    <w:rsid w:val="001F46AD"/>
    <w:rsid w:val="001F6441"/>
    <w:rsid w:val="00223CDD"/>
    <w:rsid w:val="00231E3A"/>
    <w:rsid w:val="0025660E"/>
    <w:rsid w:val="00256A0A"/>
    <w:rsid w:val="0026577C"/>
    <w:rsid w:val="00266D12"/>
    <w:rsid w:val="0028405A"/>
    <w:rsid w:val="0029070B"/>
    <w:rsid w:val="0029452B"/>
    <w:rsid w:val="002C07A0"/>
    <w:rsid w:val="002C396C"/>
    <w:rsid w:val="002C7778"/>
    <w:rsid w:val="002D6090"/>
    <w:rsid w:val="002F25F9"/>
    <w:rsid w:val="002F689F"/>
    <w:rsid w:val="002F7770"/>
    <w:rsid w:val="003106CC"/>
    <w:rsid w:val="00317FAF"/>
    <w:rsid w:val="00325F32"/>
    <w:rsid w:val="00333B8D"/>
    <w:rsid w:val="00333EA9"/>
    <w:rsid w:val="00337C84"/>
    <w:rsid w:val="0034073E"/>
    <w:rsid w:val="00347951"/>
    <w:rsid w:val="00357105"/>
    <w:rsid w:val="00374426"/>
    <w:rsid w:val="003911BB"/>
    <w:rsid w:val="003D137F"/>
    <w:rsid w:val="003D3A8C"/>
    <w:rsid w:val="003E48FB"/>
    <w:rsid w:val="003E5563"/>
    <w:rsid w:val="003F05A4"/>
    <w:rsid w:val="003F26CB"/>
    <w:rsid w:val="003F3116"/>
    <w:rsid w:val="003F3BDE"/>
    <w:rsid w:val="004460E6"/>
    <w:rsid w:val="00456081"/>
    <w:rsid w:val="004621E6"/>
    <w:rsid w:val="004820CE"/>
    <w:rsid w:val="004948E4"/>
    <w:rsid w:val="004953BD"/>
    <w:rsid w:val="004A2AC6"/>
    <w:rsid w:val="004B6ABD"/>
    <w:rsid w:val="004C63D2"/>
    <w:rsid w:val="004D4B69"/>
    <w:rsid w:val="004E5BB5"/>
    <w:rsid w:val="004F3661"/>
    <w:rsid w:val="005158FF"/>
    <w:rsid w:val="005264BD"/>
    <w:rsid w:val="005272E2"/>
    <w:rsid w:val="00527882"/>
    <w:rsid w:val="005349AC"/>
    <w:rsid w:val="00543F28"/>
    <w:rsid w:val="00547927"/>
    <w:rsid w:val="00561A20"/>
    <w:rsid w:val="00562B4B"/>
    <w:rsid w:val="005653C9"/>
    <w:rsid w:val="00567E06"/>
    <w:rsid w:val="005822D3"/>
    <w:rsid w:val="005838FA"/>
    <w:rsid w:val="00593F9E"/>
    <w:rsid w:val="0059587F"/>
    <w:rsid w:val="005B5356"/>
    <w:rsid w:val="005B647E"/>
    <w:rsid w:val="005C2480"/>
    <w:rsid w:val="005D170E"/>
    <w:rsid w:val="005E64D2"/>
    <w:rsid w:val="005F155B"/>
    <w:rsid w:val="005F3235"/>
    <w:rsid w:val="00605DB7"/>
    <w:rsid w:val="00613D47"/>
    <w:rsid w:val="0062030E"/>
    <w:rsid w:val="00625E42"/>
    <w:rsid w:val="00627635"/>
    <w:rsid w:val="0063591A"/>
    <w:rsid w:val="006642BE"/>
    <w:rsid w:val="00674833"/>
    <w:rsid w:val="00675145"/>
    <w:rsid w:val="00684D20"/>
    <w:rsid w:val="00687489"/>
    <w:rsid w:val="006A6148"/>
    <w:rsid w:val="006B0B2C"/>
    <w:rsid w:val="006C2161"/>
    <w:rsid w:val="006C279A"/>
    <w:rsid w:val="006C6B8E"/>
    <w:rsid w:val="006D3A93"/>
    <w:rsid w:val="006E6784"/>
    <w:rsid w:val="006F4886"/>
    <w:rsid w:val="00734ED9"/>
    <w:rsid w:val="00752615"/>
    <w:rsid w:val="00761FE5"/>
    <w:rsid w:val="0078318E"/>
    <w:rsid w:val="007D1A58"/>
    <w:rsid w:val="007E0326"/>
    <w:rsid w:val="007F1ABD"/>
    <w:rsid w:val="0080262C"/>
    <w:rsid w:val="0080516F"/>
    <w:rsid w:val="008233E8"/>
    <w:rsid w:val="00853516"/>
    <w:rsid w:val="00867C25"/>
    <w:rsid w:val="00871FB1"/>
    <w:rsid w:val="0088306F"/>
    <w:rsid w:val="00887ACD"/>
    <w:rsid w:val="008B379C"/>
    <w:rsid w:val="008C2CBC"/>
    <w:rsid w:val="008E03B4"/>
    <w:rsid w:val="008E5481"/>
    <w:rsid w:val="008F402F"/>
    <w:rsid w:val="008F6786"/>
    <w:rsid w:val="00906ED2"/>
    <w:rsid w:val="00933BEE"/>
    <w:rsid w:val="00970049"/>
    <w:rsid w:val="0099182F"/>
    <w:rsid w:val="00996780"/>
    <w:rsid w:val="009A193F"/>
    <w:rsid w:val="009A36DA"/>
    <w:rsid w:val="009B5FBB"/>
    <w:rsid w:val="009B6AD5"/>
    <w:rsid w:val="009C1B2E"/>
    <w:rsid w:val="009E7136"/>
    <w:rsid w:val="00A15C9A"/>
    <w:rsid w:val="00A24494"/>
    <w:rsid w:val="00A24FD6"/>
    <w:rsid w:val="00A324E8"/>
    <w:rsid w:val="00A336CA"/>
    <w:rsid w:val="00A50796"/>
    <w:rsid w:val="00A66C3C"/>
    <w:rsid w:val="00A72793"/>
    <w:rsid w:val="00A74426"/>
    <w:rsid w:val="00A75317"/>
    <w:rsid w:val="00A87A26"/>
    <w:rsid w:val="00A92250"/>
    <w:rsid w:val="00A94FC1"/>
    <w:rsid w:val="00AB382D"/>
    <w:rsid w:val="00AB7CDC"/>
    <w:rsid w:val="00AF1CE1"/>
    <w:rsid w:val="00AF426C"/>
    <w:rsid w:val="00B00781"/>
    <w:rsid w:val="00B05CE7"/>
    <w:rsid w:val="00B0620E"/>
    <w:rsid w:val="00B21977"/>
    <w:rsid w:val="00B42891"/>
    <w:rsid w:val="00B43740"/>
    <w:rsid w:val="00B4685C"/>
    <w:rsid w:val="00B51A30"/>
    <w:rsid w:val="00B550F3"/>
    <w:rsid w:val="00B66D90"/>
    <w:rsid w:val="00B677EB"/>
    <w:rsid w:val="00B832CB"/>
    <w:rsid w:val="00B85356"/>
    <w:rsid w:val="00B85935"/>
    <w:rsid w:val="00B902E0"/>
    <w:rsid w:val="00BA5742"/>
    <w:rsid w:val="00BA6271"/>
    <w:rsid w:val="00BE6F9F"/>
    <w:rsid w:val="00BF3E68"/>
    <w:rsid w:val="00C31CC2"/>
    <w:rsid w:val="00C46DBB"/>
    <w:rsid w:val="00C74D7D"/>
    <w:rsid w:val="00C97F74"/>
    <w:rsid w:val="00CA1870"/>
    <w:rsid w:val="00CA692F"/>
    <w:rsid w:val="00CB564F"/>
    <w:rsid w:val="00CC068F"/>
    <w:rsid w:val="00CC7A23"/>
    <w:rsid w:val="00CD2036"/>
    <w:rsid w:val="00CD67A5"/>
    <w:rsid w:val="00CE7DCE"/>
    <w:rsid w:val="00CF7B24"/>
    <w:rsid w:val="00D00357"/>
    <w:rsid w:val="00D01368"/>
    <w:rsid w:val="00D02F9C"/>
    <w:rsid w:val="00D145C8"/>
    <w:rsid w:val="00D16AA1"/>
    <w:rsid w:val="00D22CA9"/>
    <w:rsid w:val="00D24D6B"/>
    <w:rsid w:val="00D25E2D"/>
    <w:rsid w:val="00D26BFC"/>
    <w:rsid w:val="00D4215A"/>
    <w:rsid w:val="00D436BF"/>
    <w:rsid w:val="00D528AB"/>
    <w:rsid w:val="00D53C90"/>
    <w:rsid w:val="00D62AC5"/>
    <w:rsid w:val="00D712BF"/>
    <w:rsid w:val="00D74972"/>
    <w:rsid w:val="00D86541"/>
    <w:rsid w:val="00D93CA6"/>
    <w:rsid w:val="00DB1AE6"/>
    <w:rsid w:val="00DC1372"/>
    <w:rsid w:val="00DD1804"/>
    <w:rsid w:val="00DD662A"/>
    <w:rsid w:val="00DE13F0"/>
    <w:rsid w:val="00DE4E52"/>
    <w:rsid w:val="00DF2816"/>
    <w:rsid w:val="00E01226"/>
    <w:rsid w:val="00E01F01"/>
    <w:rsid w:val="00E03CF1"/>
    <w:rsid w:val="00E0616C"/>
    <w:rsid w:val="00E075B1"/>
    <w:rsid w:val="00E10038"/>
    <w:rsid w:val="00E106A4"/>
    <w:rsid w:val="00E146ED"/>
    <w:rsid w:val="00E37DEA"/>
    <w:rsid w:val="00E473A3"/>
    <w:rsid w:val="00E6698A"/>
    <w:rsid w:val="00E7180F"/>
    <w:rsid w:val="00E7239C"/>
    <w:rsid w:val="00E77E9D"/>
    <w:rsid w:val="00E9144E"/>
    <w:rsid w:val="00E91929"/>
    <w:rsid w:val="00E97489"/>
    <w:rsid w:val="00EA05FA"/>
    <w:rsid w:val="00EA1FF6"/>
    <w:rsid w:val="00EE471E"/>
    <w:rsid w:val="00EF108C"/>
    <w:rsid w:val="00F0073E"/>
    <w:rsid w:val="00F13CF8"/>
    <w:rsid w:val="00F14449"/>
    <w:rsid w:val="00F164D6"/>
    <w:rsid w:val="00F2243B"/>
    <w:rsid w:val="00F27C45"/>
    <w:rsid w:val="00F42F11"/>
    <w:rsid w:val="00F460BD"/>
    <w:rsid w:val="00F50148"/>
    <w:rsid w:val="00F57C12"/>
    <w:rsid w:val="00F64944"/>
    <w:rsid w:val="00F674F8"/>
    <w:rsid w:val="00F80A2D"/>
    <w:rsid w:val="00F926A6"/>
    <w:rsid w:val="00F94C90"/>
    <w:rsid w:val="00FA16A0"/>
    <w:rsid w:val="00FB7EB7"/>
    <w:rsid w:val="00FC3568"/>
    <w:rsid w:val="00FC3895"/>
    <w:rsid w:val="00FC3A56"/>
    <w:rsid w:val="00FD30C8"/>
    <w:rsid w:val="00FD54FA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689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BD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460BD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460B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60B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60B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F460BD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F460BD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60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460B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9144E"/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rsid w:val="00E9144E"/>
    <w:rPr>
      <w:rFonts w:ascii="Arial" w:hAnsi="Arial" w:cs="Arial"/>
      <w:sz w:val="24"/>
      <w:szCs w:val="24"/>
      <w:lang w:val="en-GB"/>
    </w:rPr>
  </w:style>
  <w:style w:type="paragraph" w:styleId="a9">
    <w:name w:val="annotation subject"/>
    <w:basedOn w:val="a"/>
    <w:link w:val="aa"/>
    <w:uiPriority w:val="99"/>
    <w:semiHidden/>
    <w:unhideWhenUsed/>
    <w:rsid w:val="00F460BD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F460BD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460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60BD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460BD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F460BD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F460BD"/>
    <w:rPr>
      <w:b/>
    </w:rPr>
  </w:style>
  <w:style w:type="paragraph" w:styleId="af0">
    <w:name w:val="header"/>
    <w:basedOn w:val="a"/>
    <w:link w:val="af1"/>
    <w:uiPriority w:val="99"/>
    <w:unhideWhenUsed/>
    <w:rsid w:val="00F460BD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F460BD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F460B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460BD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460BD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460BD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460BD"/>
    <w:rPr>
      <w:vertAlign w:val="superscript"/>
    </w:rPr>
  </w:style>
  <w:style w:type="character" w:customStyle="1" w:styleId="aak">
    <w:name w:val="aak"/>
    <w:basedOn w:val="a0"/>
    <w:rsid w:val="00D16AA1"/>
  </w:style>
  <w:style w:type="character" w:customStyle="1" w:styleId="apple-converted-space">
    <w:name w:val="apple-converted-space"/>
    <w:basedOn w:val="a0"/>
    <w:rsid w:val="00D16AA1"/>
  </w:style>
  <w:style w:type="character" w:customStyle="1" w:styleId="abv">
    <w:name w:val="abv"/>
    <w:basedOn w:val="a0"/>
    <w:rsid w:val="00A74426"/>
  </w:style>
  <w:style w:type="paragraph" w:styleId="af7">
    <w:name w:val="caption"/>
    <w:basedOn w:val="a"/>
    <w:next w:val="a"/>
    <w:uiPriority w:val="35"/>
    <w:unhideWhenUsed/>
    <w:qFormat/>
    <w:rsid w:val="00543F28"/>
    <w:pPr>
      <w:spacing w:before="120"/>
      <w:jc w:val="left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21">
    <w:name w:val="Body Text 2"/>
    <w:basedOn w:val="a"/>
    <w:link w:val="22"/>
    <w:rsid w:val="00933BEE"/>
    <w:pPr>
      <w:spacing w:line="480" w:lineRule="auto"/>
      <w:jc w:val="left"/>
    </w:pPr>
    <w:rPr>
      <w:rFonts w:ascii="Times New Roman" w:eastAsia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933BEE"/>
    <w:rPr>
      <w:rFonts w:ascii="Times New Roman" w:eastAsia="Times New Roman" w:hAnsi="Times New Roman" w:cs="Times New Roman"/>
      <w:lang w:val="x-none"/>
    </w:rPr>
  </w:style>
  <w:style w:type="paragraph" w:styleId="af8">
    <w:name w:val="Revision"/>
    <w:hidden/>
    <w:uiPriority w:val="99"/>
    <w:semiHidden/>
    <w:rsid w:val="00F460BD"/>
    <w:rPr>
      <w:rFonts w:ascii="Arial" w:hAnsi="Arial" w:cs="Arial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F460BD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460BD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460BD"/>
    <w:rPr>
      <w:rFonts w:ascii="Arial" w:hAnsi="Arial" w:cs="Times New Roman"/>
      <w:b/>
      <w:sz w:val="22"/>
      <w:szCs w:val="24"/>
    </w:rPr>
  </w:style>
  <w:style w:type="paragraph" w:customStyle="1" w:styleId="BasicParagraph">
    <w:name w:val="[Basic Paragraph]"/>
    <w:basedOn w:val="a"/>
    <w:uiPriority w:val="99"/>
    <w:rsid w:val="00F460B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460B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F460BD"/>
    <w:pPr>
      <w:numPr>
        <w:numId w:val="14"/>
      </w:numPr>
      <w:spacing w:before="60"/>
      <w:ind w:left="72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460B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460B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F460B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460B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460B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460BD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460BD"/>
    <w:pPr>
      <w:numPr>
        <w:numId w:val="4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F460BD"/>
    <w:pPr>
      <w:numPr>
        <w:ilvl w:val="1"/>
        <w:numId w:val="4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460BD"/>
    <w:pPr>
      <w:numPr>
        <w:numId w:val="4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460BD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460BD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F27C45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F460B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460BD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BD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460BD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460B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60B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60B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F460BD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F460BD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60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460B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9144E"/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rsid w:val="00E9144E"/>
    <w:rPr>
      <w:rFonts w:ascii="Arial" w:hAnsi="Arial" w:cs="Arial"/>
      <w:sz w:val="24"/>
      <w:szCs w:val="24"/>
      <w:lang w:val="en-GB"/>
    </w:rPr>
  </w:style>
  <w:style w:type="paragraph" w:styleId="a9">
    <w:name w:val="annotation subject"/>
    <w:basedOn w:val="a"/>
    <w:link w:val="aa"/>
    <w:uiPriority w:val="99"/>
    <w:semiHidden/>
    <w:unhideWhenUsed/>
    <w:rsid w:val="00F460BD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F460BD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460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60BD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460BD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F460BD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F460BD"/>
    <w:rPr>
      <w:b/>
    </w:rPr>
  </w:style>
  <w:style w:type="paragraph" w:styleId="af0">
    <w:name w:val="header"/>
    <w:basedOn w:val="a"/>
    <w:link w:val="af1"/>
    <w:uiPriority w:val="99"/>
    <w:unhideWhenUsed/>
    <w:rsid w:val="00F460BD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F460BD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F460B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460BD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460BD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460BD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460BD"/>
    <w:rPr>
      <w:vertAlign w:val="superscript"/>
    </w:rPr>
  </w:style>
  <w:style w:type="character" w:customStyle="1" w:styleId="aak">
    <w:name w:val="aak"/>
    <w:basedOn w:val="a0"/>
    <w:rsid w:val="00D16AA1"/>
  </w:style>
  <w:style w:type="character" w:customStyle="1" w:styleId="apple-converted-space">
    <w:name w:val="apple-converted-space"/>
    <w:basedOn w:val="a0"/>
    <w:rsid w:val="00D16AA1"/>
  </w:style>
  <w:style w:type="character" w:customStyle="1" w:styleId="abv">
    <w:name w:val="abv"/>
    <w:basedOn w:val="a0"/>
    <w:rsid w:val="00A74426"/>
  </w:style>
  <w:style w:type="paragraph" w:styleId="af7">
    <w:name w:val="caption"/>
    <w:basedOn w:val="a"/>
    <w:next w:val="a"/>
    <w:uiPriority w:val="35"/>
    <w:unhideWhenUsed/>
    <w:qFormat/>
    <w:rsid w:val="00543F28"/>
    <w:pPr>
      <w:spacing w:before="120"/>
      <w:jc w:val="left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21">
    <w:name w:val="Body Text 2"/>
    <w:basedOn w:val="a"/>
    <w:link w:val="22"/>
    <w:rsid w:val="00933BEE"/>
    <w:pPr>
      <w:spacing w:line="480" w:lineRule="auto"/>
      <w:jc w:val="left"/>
    </w:pPr>
    <w:rPr>
      <w:rFonts w:ascii="Times New Roman" w:eastAsia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933BEE"/>
    <w:rPr>
      <w:rFonts w:ascii="Times New Roman" w:eastAsia="Times New Roman" w:hAnsi="Times New Roman" w:cs="Times New Roman"/>
      <w:lang w:val="x-none"/>
    </w:rPr>
  </w:style>
  <w:style w:type="paragraph" w:styleId="af8">
    <w:name w:val="Revision"/>
    <w:hidden/>
    <w:uiPriority w:val="99"/>
    <w:semiHidden/>
    <w:rsid w:val="00F460BD"/>
    <w:rPr>
      <w:rFonts w:ascii="Arial" w:hAnsi="Arial" w:cs="Arial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F460BD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460BD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460BD"/>
    <w:rPr>
      <w:rFonts w:ascii="Arial" w:hAnsi="Arial" w:cs="Times New Roman"/>
      <w:b/>
      <w:sz w:val="22"/>
      <w:szCs w:val="24"/>
    </w:rPr>
  </w:style>
  <w:style w:type="paragraph" w:customStyle="1" w:styleId="BasicParagraph">
    <w:name w:val="[Basic Paragraph]"/>
    <w:basedOn w:val="a"/>
    <w:uiPriority w:val="99"/>
    <w:rsid w:val="00F460B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460B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F460BD"/>
    <w:pPr>
      <w:numPr>
        <w:numId w:val="14"/>
      </w:numPr>
      <w:spacing w:before="60"/>
      <w:ind w:left="72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460B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460B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F460B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460B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460B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460BD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460BD"/>
    <w:pPr>
      <w:numPr>
        <w:numId w:val="4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F460BD"/>
    <w:pPr>
      <w:numPr>
        <w:ilvl w:val="1"/>
        <w:numId w:val="4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460BD"/>
    <w:pPr>
      <w:numPr>
        <w:numId w:val="4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460BD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460BD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F27C45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F460B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460BD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rc.org/eng/assets/files/publications/icrc-002-4200.pdf" TargetMode="External"/><Relationship Id="rId9" Type="http://schemas.openxmlformats.org/officeDocument/2006/relationships/hyperlink" Target="http://www.ifrc.org/PageFiles/94411/IFRC%20BCA%20Lesson%20Learned%20doc_final.pdf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221</TotalTime>
  <Pages>5</Pages>
  <Words>1693</Words>
  <Characters>9652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24</cp:revision>
  <cp:lastPrinted>2015-09-23T00:44:00Z</cp:lastPrinted>
  <dcterms:created xsi:type="dcterms:W3CDTF">2017-03-19T10:11:00Z</dcterms:created>
  <dcterms:modified xsi:type="dcterms:W3CDTF">2017-04-03T11:51:00Z</dcterms:modified>
</cp:coreProperties>
</file>