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ACAF4" w14:textId="6419C707" w:rsidR="00996780" w:rsidRPr="00194296" w:rsidRDefault="009878FE" w:rsidP="00935B48">
      <w:pPr>
        <w:pStyle w:val="H1"/>
        <w:rPr>
          <w:rFonts w:ascii="Times New Roman" w:hAnsi="Times New Roman"/>
          <w:sz w:val="36"/>
          <w:szCs w:val="36"/>
          <w:lang w:val="ru-RU"/>
        </w:rPr>
      </w:pPr>
      <w:r w:rsidRPr="00194296">
        <w:rPr>
          <w:rFonts w:ascii="Times New Roman" w:hAnsi="Times New Roman"/>
          <w:sz w:val="36"/>
          <w:szCs w:val="36"/>
          <w:lang w:val="ru-RU"/>
        </w:rPr>
        <w:t>Дорожная карта по вопросам оценки исходной ситуации</w:t>
      </w:r>
    </w:p>
    <w:p w14:paraId="53D22EAA" w14:textId="77777777" w:rsidR="00CC4944" w:rsidRPr="00194296" w:rsidRDefault="00CC4944" w:rsidP="00935B48">
      <w:pPr>
        <w:pStyle w:val="H1"/>
        <w:rPr>
          <w:rFonts w:ascii="Times New Roman" w:hAnsi="Times New Roman"/>
          <w:sz w:val="28"/>
          <w:szCs w:val="28"/>
          <w:lang w:val="ru-RU"/>
        </w:rPr>
      </w:pPr>
    </w:p>
    <w:p w14:paraId="32326DF2" w14:textId="259BC679" w:rsidR="007D1A58" w:rsidRPr="00194296" w:rsidRDefault="009878FE" w:rsidP="00935B48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194296">
        <w:rPr>
          <w:rFonts w:ascii="Times New Roman" w:hAnsi="Times New Roman"/>
          <w:sz w:val="28"/>
          <w:szCs w:val="28"/>
          <w:lang w:val="ru-RU"/>
        </w:rPr>
        <w:t>ВВЕДЕНИЕ</w:t>
      </w:r>
    </w:p>
    <w:p w14:paraId="3D89FC14" w14:textId="71FCF135" w:rsidR="009878FE" w:rsidRPr="00194296" w:rsidRDefault="009878FE" w:rsidP="00CC4944">
      <w:pPr>
        <w:rPr>
          <w:rFonts w:ascii="Times New Roman" w:hAnsi="Times New Roman"/>
          <w:sz w:val="28"/>
          <w:szCs w:val="28"/>
          <w:lang w:val="ru-RU"/>
        </w:rPr>
      </w:pPr>
      <w:r w:rsidRPr="00194296">
        <w:rPr>
          <w:rFonts w:ascii="Times New Roman" w:hAnsi="Times New Roman"/>
          <w:sz w:val="28"/>
          <w:szCs w:val="28"/>
          <w:lang w:val="ru-RU"/>
        </w:rPr>
        <w:t xml:space="preserve">Для того, чтобы раздача бенефициарам наличных денежных средств рассматривалась как один из потенциальных вариантов </w:t>
      </w:r>
      <w:r w:rsidR="00194296" w:rsidRPr="00194296">
        <w:rPr>
          <w:rFonts w:ascii="Times New Roman" w:hAnsi="Times New Roman"/>
          <w:sz w:val="28"/>
          <w:szCs w:val="28"/>
          <w:lang w:val="ru-RU"/>
        </w:rPr>
        <w:t>экстренного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реагирования, необходимо в ходе оценки исходной </w:t>
      </w:r>
      <w:r w:rsidR="00194296" w:rsidRPr="00194296">
        <w:rPr>
          <w:rFonts w:ascii="Times New Roman" w:hAnsi="Times New Roman"/>
          <w:sz w:val="28"/>
          <w:szCs w:val="28"/>
          <w:lang w:val="ru-RU"/>
        </w:rPr>
        <w:t xml:space="preserve">ситуации </w:t>
      </w:r>
      <w:r w:rsidR="00194296">
        <w:rPr>
          <w:rFonts w:ascii="Times New Roman" w:hAnsi="Times New Roman"/>
          <w:sz w:val="28"/>
          <w:szCs w:val="28"/>
          <w:lang w:val="ru-RU"/>
        </w:rPr>
        <w:t>проанализировать все связанные с этим аспекты</w:t>
      </w:r>
      <w:r w:rsidRPr="00194296">
        <w:rPr>
          <w:rFonts w:ascii="Times New Roman" w:hAnsi="Times New Roman"/>
          <w:sz w:val="28"/>
          <w:szCs w:val="28"/>
          <w:lang w:val="ru-RU"/>
        </w:rPr>
        <w:t>. Материалы модуля, посвященного вопросам оценки исходной ситуации</w:t>
      </w:r>
      <w:r w:rsidR="00194296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помогут специалистам-практикам </w:t>
      </w:r>
      <w:r w:rsidR="00194296" w:rsidRPr="00194296">
        <w:rPr>
          <w:rFonts w:ascii="Times New Roman" w:hAnsi="Times New Roman"/>
          <w:sz w:val="28"/>
          <w:szCs w:val="28"/>
          <w:lang w:val="ru-RU"/>
        </w:rPr>
        <w:t>интегрировать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различные аспекты работы с налич</w:t>
      </w:r>
      <w:r w:rsidR="00194296">
        <w:rPr>
          <w:rFonts w:ascii="Times New Roman" w:hAnsi="Times New Roman"/>
          <w:sz w:val="28"/>
          <w:szCs w:val="28"/>
          <w:lang w:val="ru-RU"/>
        </w:rPr>
        <w:t>ными денежными средствами в проц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ессы и </w:t>
      </w:r>
      <w:r w:rsidR="00194296" w:rsidRPr="00194296">
        <w:rPr>
          <w:rFonts w:ascii="Times New Roman" w:hAnsi="Times New Roman"/>
          <w:sz w:val="28"/>
          <w:szCs w:val="28"/>
          <w:lang w:val="ru-RU"/>
        </w:rPr>
        <w:t>инструменты</w:t>
      </w:r>
      <w:r w:rsidR="00194296">
        <w:rPr>
          <w:rFonts w:ascii="Times New Roman" w:hAnsi="Times New Roman"/>
          <w:sz w:val="28"/>
          <w:szCs w:val="28"/>
          <w:lang w:val="ru-RU"/>
        </w:rPr>
        <w:t xml:space="preserve"> оценки ситуации в у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словиях ЧС. Полученные данные </w:t>
      </w:r>
      <w:r w:rsidR="00B3363B">
        <w:rPr>
          <w:rFonts w:ascii="Times New Roman" w:hAnsi="Times New Roman"/>
          <w:sz w:val="28"/>
          <w:szCs w:val="28"/>
          <w:lang w:val="ru-RU"/>
        </w:rPr>
        <w:t xml:space="preserve">впоследствии 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лягут в основу анализа вариантов </w:t>
      </w:r>
      <w:r w:rsidR="00B3363B" w:rsidRPr="00194296">
        <w:rPr>
          <w:rFonts w:ascii="Times New Roman" w:hAnsi="Times New Roman"/>
          <w:sz w:val="28"/>
          <w:szCs w:val="28"/>
          <w:lang w:val="ru-RU"/>
        </w:rPr>
        <w:t>реагирования</w:t>
      </w:r>
      <w:r w:rsidRPr="00194296">
        <w:rPr>
          <w:rFonts w:ascii="Times New Roman" w:hAnsi="Times New Roman"/>
          <w:sz w:val="28"/>
          <w:szCs w:val="28"/>
          <w:lang w:val="ru-RU"/>
        </w:rPr>
        <w:t>.</w:t>
      </w:r>
    </w:p>
    <w:p w14:paraId="7D91184E" w14:textId="2EE5A339" w:rsidR="009878FE" w:rsidRPr="00194296" w:rsidRDefault="009878FE" w:rsidP="00CC4944">
      <w:pPr>
        <w:rPr>
          <w:rFonts w:ascii="Times New Roman" w:hAnsi="Times New Roman"/>
          <w:sz w:val="28"/>
          <w:szCs w:val="28"/>
          <w:lang w:val="ru-RU"/>
        </w:rPr>
      </w:pPr>
      <w:r w:rsidRPr="00194296">
        <w:rPr>
          <w:rFonts w:ascii="Times New Roman" w:hAnsi="Times New Roman"/>
          <w:sz w:val="28"/>
          <w:szCs w:val="28"/>
          <w:lang w:val="ru-RU"/>
        </w:rPr>
        <w:t>Различные шаги, предлагаемые в данном модуле, не имеют логическ</w:t>
      </w:r>
      <w:r w:rsidR="00B3363B">
        <w:rPr>
          <w:rFonts w:ascii="Times New Roman" w:hAnsi="Times New Roman"/>
          <w:sz w:val="28"/>
          <w:szCs w:val="28"/>
          <w:lang w:val="ru-RU"/>
        </w:rPr>
        <w:t xml:space="preserve">ой последовательности, и </w:t>
      </w:r>
      <w:r w:rsidRPr="00194296">
        <w:rPr>
          <w:rFonts w:ascii="Times New Roman" w:hAnsi="Times New Roman"/>
          <w:sz w:val="28"/>
          <w:szCs w:val="28"/>
          <w:lang w:val="ru-RU"/>
        </w:rPr>
        <w:t>могут осуществляться одновременно. На каждом этап</w:t>
      </w:r>
      <w:r w:rsidR="00B3363B">
        <w:rPr>
          <w:rFonts w:ascii="Times New Roman" w:hAnsi="Times New Roman"/>
          <w:sz w:val="28"/>
          <w:szCs w:val="28"/>
          <w:lang w:val="ru-RU"/>
        </w:rPr>
        <w:t>е предлагаются соответствующие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инструменты и </w:t>
      </w:r>
      <w:r w:rsidR="00B3363B">
        <w:rPr>
          <w:rFonts w:ascii="Times New Roman" w:hAnsi="Times New Roman"/>
          <w:sz w:val="28"/>
          <w:szCs w:val="28"/>
          <w:lang w:val="ru-RU"/>
        </w:rPr>
        <w:t>промежуточные результаты, многие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из которых взаимосвязаны друг с другом. В частности, </w:t>
      </w:r>
      <w:r w:rsidR="000504BC">
        <w:rPr>
          <w:rFonts w:ascii="Times New Roman" w:hAnsi="Times New Roman"/>
          <w:sz w:val="28"/>
          <w:szCs w:val="28"/>
          <w:lang w:val="ru-RU"/>
        </w:rPr>
        <w:t xml:space="preserve">результаты </w:t>
      </w:r>
      <w:r w:rsidRPr="00194296">
        <w:rPr>
          <w:rFonts w:ascii="Times New Roman" w:hAnsi="Times New Roman"/>
          <w:sz w:val="28"/>
          <w:szCs w:val="28"/>
          <w:lang w:val="ru-RU"/>
        </w:rPr>
        <w:t>оцен</w:t>
      </w:r>
      <w:r w:rsidR="000504BC">
        <w:rPr>
          <w:rFonts w:ascii="Times New Roman" w:hAnsi="Times New Roman"/>
          <w:sz w:val="28"/>
          <w:szCs w:val="28"/>
          <w:lang w:val="ru-RU"/>
        </w:rPr>
        <w:t>ки рынков и финансовой оценки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будут во многом зависеть от информации, собранной на уровне сообществ.</w:t>
      </w:r>
    </w:p>
    <w:p w14:paraId="53B0A751" w14:textId="451D83EC" w:rsidR="00A74426" w:rsidRPr="00194296" w:rsidRDefault="00970049" w:rsidP="00CC4944">
      <w:pPr>
        <w:rPr>
          <w:rFonts w:ascii="Times New Roman" w:hAnsi="Times New Roman"/>
          <w:sz w:val="28"/>
          <w:szCs w:val="28"/>
          <w:lang w:val="ru-RU"/>
        </w:rPr>
      </w:pPr>
      <w:r w:rsidRPr="001942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04BC" w:rsidRPr="00194296">
        <w:rPr>
          <w:rFonts w:ascii="Times New Roman" w:hAnsi="Times New Roman"/>
          <w:sz w:val="28"/>
          <w:szCs w:val="28"/>
          <w:lang w:val="ru-RU"/>
        </w:rPr>
        <w:t>Различные</w:t>
      </w:r>
      <w:r w:rsidR="009878FE" w:rsidRPr="00194296">
        <w:rPr>
          <w:rFonts w:ascii="Times New Roman" w:hAnsi="Times New Roman"/>
          <w:sz w:val="28"/>
          <w:szCs w:val="28"/>
          <w:lang w:val="ru-RU"/>
        </w:rPr>
        <w:t xml:space="preserve"> этапы и </w:t>
      </w:r>
      <w:r w:rsidR="000504BC" w:rsidRPr="00194296">
        <w:rPr>
          <w:rFonts w:ascii="Times New Roman" w:hAnsi="Times New Roman"/>
          <w:sz w:val="28"/>
          <w:szCs w:val="28"/>
          <w:lang w:val="ru-RU"/>
        </w:rPr>
        <w:t>инструменты</w:t>
      </w:r>
      <w:r w:rsidR="009878FE" w:rsidRPr="00194296">
        <w:rPr>
          <w:rFonts w:ascii="Times New Roman" w:hAnsi="Times New Roman"/>
          <w:sz w:val="28"/>
          <w:szCs w:val="28"/>
          <w:lang w:val="ru-RU"/>
        </w:rPr>
        <w:t xml:space="preserve"> могут быть адаптированы к использованию разными организа</w:t>
      </w:r>
      <w:r w:rsidR="000504BC">
        <w:rPr>
          <w:rFonts w:ascii="Times New Roman" w:hAnsi="Times New Roman"/>
          <w:sz w:val="28"/>
          <w:szCs w:val="28"/>
          <w:lang w:val="ru-RU"/>
        </w:rPr>
        <w:t xml:space="preserve">циями в самых разных условиях </w:t>
      </w:r>
      <w:r w:rsidR="009878FE" w:rsidRPr="00194296">
        <w:rPr>
          <w:rFonts w:ascii="Times New Roman" w:hAnsi="Times New Roman"/>
          <w:sz w:val="28"/>
          <w:szCs w:val="28"/>
          <w:lang w:val="ru-RU"/>
        </w:rPr>
        <w:t xml:space="preserve">при проведении разных типов оценки. Первый этап направлен на </w:t>
      </w:r>
      <w:r w:rsidR="000504BC" w:rsidRPr="00194296">
        <w:rPr>
          <w:rFonts w:ascii="Times New Roman" w:hAnsi="Times New Roman"/>
          <w:sz w:val="28"/>
          <w:szCs w:val="28"/>
          <w:lang w:val="ru-RU"/>
        </w:rPr>
        <w:t>поддержку</w:t>
      </w:r>
      <w:r w:rsidR="009878FE" w:rsidRPr="00194296">
        <w:rPr>
          <w:rFonts w:ascii="Times New Roman" w:hAnsi="Times New Roman"/>
          <w:sz w:val="28"/>
          <w:szCs w:val="28"/>
          <w:lang w:val="ru-RU"/>
        </w:rPr>
        <w:t xml:space="preserve"> усилий по планированию и подготовке к проведению оценки возможности использования раздач наличных денежных средств. Второй этап направлен на поддер</w:t>
      </w:r>
      <w:r w:rsidR="00672155" w:rsidRPr="00194296">
        <w:rPr>
          <w:rFonts w:ascii="Times New Roman" w:hAnsi="Times New Roman"/>
          <w:sz w:val="28"/>
          <w:szCs w:val="28"/>
          <w:lang w:val="ru-RU"/>
        </w:rPr>
        <w:t xml:space="preserve">жку усилий по сбору информации на уровне пострадавших </w:t>
      </w:r>
      <w:r w:rsidR="000504BC" w:rsidRPr="00194296">
        <w:rPr>
          <w:rFonts w:ascii="Times New Roman" w:hAnsi="Times New Roman"/>
          <w:sz w:val="28"/>
          <w:szCs w:val="28"/>
          <w:lang w:val="ru-RU"/>
        </w:rPr>
        <w:t>сообществ</w:t>
      </w:r>
      <w:r w:rsidR="00672155" w:rsidRPr="00194296">
        <w:rPr>
          <w:rFonts w:ascii="Times New Roman" w:hAnsi="Times New Roman"/>
          <w:sz w:val="28"/>
          <w:szCs w:val="28"/>
          <w:lang w:val="ru-RU"/>
        </w:rPr>
        <w:t xml:space="preserve"> и домохозя</w:t>
      </w:r>
      <w:r w:rsidR="000504BC">
        <w:rPr>
          <w:rFonts w:ascii="Times New Roman" w:hAnsi="Times New Roman"/>
          <w:sz w:val="28"/>
          <w:szCs w:val="28"/>
          <w:lang w:val="ru-RU"/>
        </w:rPr>
        <w:t>йств. Третий этап</w:t>
      </w:r>
      <w:r w:rsidR="00672155" w:rsidRPr="00194296">
        <w:rPr>
          <w:rFonts w:ascii="Times New Roman" w:hAnsi="Times New Roman"/>
          <w:sz w:val="28"/>
          <w:szCs w:val="28"/>
          <w:lang w:val="ru-RU"/>
        </w:rPr>
        <w:t xml:space="preserve"> напр</w:t>
      </w:r>
      <w:r w:rsidR="000504BC">
        <w:rPr>
          <w:rFonts w:ascii="Times New Roman" w:hAnsi="Times New Roman"/>
          <w:sz w:val="28"/>
          <w:szCs w:val="28"/>
          <w:lang w:val="ru-RU"/>
        </w:rPr>
        <w:t>авлен</w:t>
      </w:r>
      <w:r w:rsidR="00672155" w:rsidRPr="00194296">
        <w:rPr>
          <w:rFonts w:ascii="Times New Roman" w:hAnsi="Times New Roman"/>
          <w:sz w:val="28"/>
          <w:szCs w:val="28"/>
          <w:lang w:val="ru-RU"/>
        </w:rPr>
        <w:t xml:space="preserve"> на поддержку усилий по проведению опе</w:t>
      </w:r>
      <w:r w:rsidR="00705BD5">
        <w:rPr>
          <w:rFonts w:ascii="Times New Roman" w:hAnsi="Times New Roman"/>
          <w:sz w:val="28"/>
          <w:szCs w:val="28"/>
          <w:lang w:val="ru-RU"/>
        </w:rPr>
        <w:t>ративной оценки рынков. Четвертый</w:t>
      </w:r>
      <w:r w:rsidR="00250D8F">
        <w:rPr>
          <w:rFonts w:ascii="Times New Roman" w:hAnsi="Times New Roman"/>
          <w:sz w:val="28"/>
          <w:szCs w:val="28"/>
          <w:lang w:val="ru-RU"/>
        </w:rPr>
        <w:t>, и последний</w:t>
      </w:r>
      <w:r w:rsidR="00672155" w:rsidRPr="00194296">
        <w:rPr>
          <w:rFonts w:ascii="Times New Roman" w:hAnsi="Times New Roman"/>
          <w:sz w:val="28"/>
          <w:szCs w:val="28"/>
          <w:lang w:val="ru-RU"/>
        </w:rPr>
        <w:t xml:space="preserve"> этап посвящен анализу имеющихся возможностей для осуществления вмешательств, подразумевающих раздачу наличных денежных средств, а также рисков, сопряженных с такого рода операциями реагирования.</w:t>
      </w:r>
    </w:p>
    <w:p w14:paraId="28826F5C" w14:textId="42CC01E9" w:rsidR="00672155" w:rsidRPr="00194296" w:rsidRDefault="00672155" w:rsidP="00CC4944">
      <w:pPr>
        <w:spacing w:before="240" w:after="240"/>
        <w:rPr>
          <w:rFonts w:ascii="Times New Roman" w:hAnsi="Times New Roman"/>
          <w:sz w:val="28"/>
          <w:szCs w:val="28"/>
          <w:lang w:val="ru-RU"/>
        </w:rPr>
      </w:pPr>
      <w:r w:rsidRPr="00194296">
        <w:rPr>
          <w:rFonts w:ascii="Times New Roman" w:hAnsi="Times New Roman"/>
          <w:sz w:val="28"/>
          <w:szCs w:val="28"/>
          <w:lang w:val="ru-RU"/>
        </w:rPr>
        <w:t xml:space="preserve">При адаптации инструментов к </w:t>
      </w:r>
      <w:r w:rsidR="00250D8F">
        <w:rPr>
          <w:rFonts w:ascii="Times New Roman" w:hAnsi="Times New Roman"/>
          <w:sz w:val="28"/>
          <w:szCs w:val="28"/>
          <w:lang w:val="ru-RU"/>
        </w:rPr>
        <w:t>местным условиям и потребностям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следует обращаться к спр</w:t>
      </w:r>
      <w:r w:rsidR="00250D8F">
        <w:rPr>
          <w:rFonts w:ascii="Times New Roman" w:hAnsi="Times New Roman"/>
          <w:sz w:val="28"/>
          <w:szCs w:val="28"/>
          <w:lang w:val="ru-RU"/>
        </w:rPr>
        <w:t>авочным документам, предложенным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в рамках данного модуля и его подразделов.</w:t>
      </w:r>
    </w:p>
    <w:p w14:paraId="526C445B" w14:textId="77777777" w:rsidR="00672155" w:rsidRPr="00194296" w:rsidRDefault="00672155" w:rsidP="00CC4944">
      <w:pPr>
        <w:spacing w:before="240" w:after="240"/>
        <w:rPr>
          <w:rFonts w:ascii="Times New Roman" w:hAnsi="Times New Roman"/>
          <w:sz w:val="28"/>
          <w:szCs w:val="28"/>
          <w:lang w:val="ru-RU"/>
        </w:rPr>
      </w:pPr>
    </w:p>
    <w:p w14:paraId="0D120B9A" w14:textId="50F71063" w:rsidR="001B79C9" w:rsidRPr="00194296" w:rsidRDefault="00672155" w:rsidP="00CC4944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194296">
        <w:rPr>
          <w:rFonts w:ascii="Times New Roman" w:hAnsi="Times New Roman"/>
          <w:sz w:val="28"/>
          <w:szCs w:val="28"/>
          <w:lang w:val="ru-RU"/>
        </w:rPr>
        <w:lastRenderedPageBreak/>
        <w:t>МИНИМАЛЬНЫЕ СТАНДАРТЫ</w:t>
      </w:r>
    </w:p>
    <w:p w14:paraId="0853DB41" w14:textId="10D6CD82" w:rsidR="001A7AD5" w:rsidRPr="00194296" w:rsidRDefault="00672155" w:rsidP="00CC4944">
      <w:pPr>
        <w:pStyle w:val="Bullet1"/>
        <w:rPr>
          <w:rFonts w:ascii="Times New Roman" w:hAnsi="Times New Roman"/>
          <w:sz w:val="28"/>
          <w:szCs w:val="28"/>
          <w:lang w:val="ru-RU"/>
        </w:rPr>
      </w:pPr>
      <w:r w:rsidRPr="00194296">
        <w:rPr>
          <w:rFonts w:ascii="Times New Roman" w:hAnsi="Times New Roman"/>
          <w:sz w:val="28"/>
          <w:szCs w:val="28"/>
          <w:lang w:val="ru-RU"/>
        </w:rPr>
        <w:t xml:space="preserve">Информация, касающаяся работы с наличными денежными </w:t>
      </w:r>
      <w:r w:rsidR="007431FD" w:rsidRPr="00194296">
        <w:rPr>
          <w:rFonts w:ascii="Times New Roman" w:hAnsi="Times New Roman"/>
          <w:sz w:val="28"/>
          <w:szCs w:val="28"/>
          <w:lang w:val="ru-RU"/>
        </w:rPr>
        <w:t>средствами</w:t>
      </w:r>
      <w:r w:rsidRPr="00194296">
        <w:rPr>
          <w:rFonts w:ascii="Times New Roman" w:hAnsi="Times New Roman"/>
          <w:sz w:val="28"/>
          <w:szCs w:val="28"/>
          <w:lang w:val="ru-RU"/>
        </w:rPr>
        <w:t>, должна учитываться при проведении любой оценки ситуации в условиях ЧС</w:t>
      </w:r>
      <w:r w:rsidR="001A7AD5" w:rsidRPr="0019429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51510C7B" w14:textId="00305919" w:rsidR="00BC241B" w:rsidRPr="00194296" w:rsidRDefault="00672155" w:rsidP="00CC4944">
      <w:pPr>
        <w:pStyle w:val="Bullet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94296">
        <w:rPr>
          <w:rFonts w:ascii="Times New Roman" w:hAnsi="Times New Roman"/>
          <w:sz w:val="28"/>
          <w:szCs w:val="28"/>
          <w:lang w:val="ru-RU"/>
        </w:rPr>
        <w:t>Разные департаменты</w:t>
      </w:r>
      <w:r w:rsidR="005C34AD" w:rsidRPr="00194296">
        <w:rPr>
          <w:rFonts w:ascii="Times New Roman" w:hAnsi="Times New Roman"/>
          <w:sz w:val="28"/>
          <w:szCs w:val="28"/>
          <w:lang w:val="ru-RU"/>
        </w:rPr>
        <w:t>,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и особенно департаменты логистики и финансов должны участвовать в проведении оценки </w:t>
      </w:r>
      <w:r w:rsidR="007431FD" w:rsidRPr="00194296">
        <w:rPr>
          <w:rFonts w:ascii="Times New Roman" w:hAnsi="Times New Roman"/>
          <w:sz w:val="28"/>
          <w:szCs w:val="28"/>
          <w:lang w:val="ru-RU"/>
        </w:rPr>
        <w:t>ситуации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в условиях ЧС, в соответствии со стандартными оперативными процедурами (СОП).</w:t>
      </w:r>
      <w:r w:rsidR="005C34AD" w:rsidRPr="0019429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79560D1" w14:textId="09FECE92" w:rsidR="00BC241B" w:rsidRPr="00194296" w:rsidRDefault="00672155" w:rsidP="00CC4944">
      <w:pPr>
        <w:pStyle w:val="Bullet1"/>
        <w:rPr>
          <w:rFonts w:ascii="Times New Roman" w:hAnsi="Times New Roman"/>
          <w:sz w:val="28"/>
          <w:szCs w:val="28"/>
          <w:lang w:val="ru-RU"/>
        </w:rPr>
      </w:pPr>
      <w:r w:rsidRPr="00194296">
        <w:rPr>
          <w:rFonts w:ascii="Times New Roman" w:hAnsi="Times New Roman"/>
          <w:color w:val="000000" w:themeColor="text1"/>
          <w:sz w:val="28"/>
          <w:szCs w:val="28"/>
          <w:lang w:val="ru-RU"/>
        </w:rPr>
        <w:t>Решения о</w:t>
      </w:r>
      <w:r w:rsidR="00FB3A9A" w:rsidRPr="0019429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целесообразности</w:t>
      </w:r>
      <w:r w:rsidR="007431F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безотлагательной</w:t>
      </w:r>
      <w:r w:rsidR="00FB3A9A" w:rsidRPr="0019429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раздачи наличных денежных средств после ЧС должно </w:t>
      </w:r>
      <w:r w:rsidR="007431FD" w:rsidRPr="00194296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приниматься</w:t>
      </w:r>
      <w:r w:rsidR="00FB3A9A" w:rsidRPr="0019429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персоналом, обладающим техническим опытом и </w:t>
      </w:r>
      <w:r w:rsidR="007431FD" w:rsidRPr="00194296">
        <w:rPr>
          <w:rFonts w:ascii="Times New Roman" w:hAnsi="Times New Roman"/>
          <w:color w:val="000000" w:themeColor="text1"/>
          <w:sz w:val="28"/>
          <w:szCs w:val="28"/>
          <w:lang w:val="ru-RU"/>
        </w:rPr>
        <w:t>знаниями</w:t>
      </w:r>
      <w:r w:rsidR="00FB3A9A" w:rsidRPr="00194296">
        <w:rPr>
          <w:rFonts w:ascii="Times New Roman" w:hAnsi="Times New Roman"/>
          <w:color w:val="000000" w:themeColor="text1"/>
          <w:sz w:val="28"/>
          <w:szCs w:val="28"/>
          <w:lang w:val="ru-RU"/>
        </w:rPr>
        <w:t>, и быть подтверждено последующими этапами оценки в рамках анализа вариантов реагирования</w:t>
      </w:r>
      <w:r w:rsidR="00105565" w:rsidRPr="0019429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</w:p>
    <w:p w14:paraId="20241147" w14:textId="0ABC2D6F" w:rsidR="00105565" w:rsidRPr="00194296" w:rsidRDefault="00FB3A9A" w:rsidP="00CC4944">
      <w:pPr>
        <w:pStyle w:val="Bullet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94296">
        <w:rPr>
          <w:rFonts w:ascii="Times New Roman" w:hAnsi="Times New Roman"/>
          <w:sz w:val="28"/>
          <w:szCs w:val="28"/>
          <w:lang w:val="ru-RU"/>
        </w:rPr>
        <w:t>Информация, касающаяся работы с наличными денежными средствами, собранная на уровне сообщества и домохозяйств, должна включать в себя:</w:t>
      </w:r>
      <w:r w:rsidR="00FD30C8" w:rsidRPr="001942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31FD">
        <w:rPr>
          <w:rFonts w:ascii="Times New Roman" w:hAnsi="Times New Roman"/>
          <w:sz w:val="28"/>
          <w:szCs w:val="28"/>
          <w:lang w:val="ru-RU"/>
        </w:rPr>
        <w:t xml:space="preserve">оценку </w:t>
      </w:r>
      <w:r w:rsidRPr="00194296">
        <w:rPr>
          <w:rFonts w:ascii="Times New Roman" w:hAnsi="Times New Roman"/>
          <w:sz w:val="28"/>
          <w:szCs w:val="28"/>
          <w:lang w:val="ru-RU"/>
        </w:rPr>
        <w:t>доступ</w:t>
      </w:r>
      <w:r w:rsidR="007431FD">
        <w:rPr>
          <w:rFonts w:ascii="Times New Roman" w:hAnsi="Times New Roman"/>
          <w:sz w:val="28"/>
          <w:szCs w:val="28"/>
          <w:lang w:val="ru-RU"/>
        </w:rPr>
        <w:t>а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к наличным денежным средствам, рынкам и финансовым услугам и возм</w:t>
      </w:r>
      <w:r w:rsidR="007431FD">
        <w:rPr>
          <w:rFonts w:ascii="Times New Roman" w:hAnsi="Times New Roman"/>
          <w:sz w:val="28"/>
          <w:szCs w:val="28"/>
          <w:lang w:val="ru-RU"/>
        </w:rPr>
        <w:t>ожностей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их использ</w:t>
      </w:r>
      <w:r w:rsidR="007431FD">
        <w:rPr>
          <w:rFonts w:ascii="Times New Roman" w:hAnsi="Times New Roman"/>
          <w:sz w:val="28"/>
          <w:szCs w:val="28"/>
          <w:lang w:val="ru-RU"/>
        </w:rPr>
        <w:t>ов</w:t>
      </w:r>
      <w:r w:rsidRPr="00194296">
        <w:rPr>
          <w:rFonts w:ascii="Times New Roman" w:hAnsi="Times New Roman"/>
          <w:sz w:val="28"/>
          <w:szCs w:val="28"/>
          <w:lang w:val="ru-RU"/>
        </w:rPr>
        <w:t>ания;</w:t>
      </w:r>
      <w:r w:rsidR="00906AD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предпочтений бенефициаров; и возможных рисков, связанных</w:t>
      </w:r>
      <w:r w:rsidRPr="0019429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 раздачей наличных денежных средств.</w:t>
      </w:r>
      <w:r w:rsidR="00AF3FAA" w:rsidRPr="0019429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14:paraId="22B79415" w14:textId="7540C591" w:rsidR="00105565" w:rsidRPr="00194296" w:rsidRDefault="00FB3A9A" w:rsidP="00CC4944">
      <w:pPr>
        <w:pStyle w:val="Bullet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94296">
        <w:rPr>
          <w:rFonts w:ascii="Times New Roman" w:hAnsi="Times New Roman"/>
          <w:sz w:val="28"/>
          <w:szCs w:val="28"/>
          <w:lang w:val="ru-RU"/>
        </w:rPr>
        <w:t xml:space="preserve">Потребности пострадавшего от ЧС населения </w:t>
      </w:r>
      <w:r w:rsidR="004B6DC5">
        <w:rPr>
          <w:rFonts w:ascii="Times New Roman" w:hAnsi="Times New Roman"/>
          <w:sz w:val="28"/>
          <w:szCs w:val="28"/>
          <w:lang w:val="ru-RU"/>
        </w:rPr>
        <w:t>должны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быть определены и оценены в денежном выражении на основании местных цен. </w:t>
      </w:r>
    </w:p>
    <w:p w14:paraId="77B8A173" w14:textId="4324269A" w:rsidR="00FD30C8" w:rsidRPr="00194296" w:rsidRDefault="00C714A7" w:rsidP="00CC4944">
      <w:pPr>
        <w:pStyle w:val="Bullet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94296">
        <w:rPr>
          <w:rFonts w:ascii="Times New Roman" w:hAnsi="Times New Roman"/>
          <w:sz w:val="28"/>
          <w:szCs w:val="28"/>
          <w:lang w:val="ru-RU"/>
        </w:rPr>
        <w:t>При оценке р</w:t>
      </w:r>
      <w:r w:rsidR="004B6DC5">
        <w:rPr>
          <w:rFonts w:ascii="Times New Roman" w:hAnsi="Times New Roman"/>
          <w:sz w:val="28"/>
          <w:szCs w:val="28"/>
          <w:lang w:val="ru-RU"/>
        </w:rPr>
        <w:t>ынков следует отдавать предпочтение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оценке товаров, услуг и рыночных площадок, имеющих первоочередное значение для </w:t>
      </w:r>
      <w:r w:rsidR="004B6DC5" w:rsidRPr="00194296">
        <w:rPr>
          <w:rFonts w:ascii="Times New Roman" w:hAnsi="Times New Roman"/>
          <w:sz w:val="28"/>
          <w:szCs w:val="28"/>
          <w:lang w:val="ru-RU"/>
        </w:rPr>
        <w:t>обеспечения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приоритетных потребностей домохозяйств и защиты средств к существованию</w:t>
      </w:r>
      <w:r w:rsidR="001A7AD5" w:rsidRPr="00194296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14:paraId="01169EFC" w14:textId="541BF75E" w:rsidR="00456081" w:rsidRPr="00194296" w:rsidRDefault="00C714A7" w:rsidP="00CC4944">
      <w:pPr>
        <w:pStyle w:val="Bullet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9429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При оценке потенциала поставщиков финансовых услуг необходимо обращать </w:t>
      </w:r>
      <w:r w:rsidR="004B6DC5" w:rsidRPr="00194296">
        <w:rPr>
          <w:rFonts w:ascii="Times New Roman" w:hAnsi="Times New Roman"/>
          <w:color w:val="000000" w:themeColor="text1"/>
          <w:sz w:val="28"/>
          <w:szCs w:val="28"/>
          <w:lang w:val="ru-RU"/>
        </w:rPr>
        <w:t>внимание</w:t>
      </w:r>
      <w:r w:rsidRPr="0019429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 предлагаемые услуги, </w:t>
      </w:r>
      <w:r w:rsidR="004B6DC5" w:rsidRPr="00194296">
        <w:rPr>
          <w:rFonts w:ascii="Times New Roman" w:hAnsi="Times New Roman"/>
          <w:color w:val="000000" w:themeColor="text1"/>
          <w:sz w:val="28"/>
          <w:szCs w:val="28"/>
          <w:lang w:val="ru-RU"/>
        </w:rPr>
        <w:t>возможности</w:t>
      </w:r>
      <w:r w:rsidRPr="0019429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охвата</w:t>
      </w:r>
      <w:r w:rsidR="004B6DC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населения, доступность, стоимость услуг</w:t>
      </w:r>
      <w:r w:rsidRPr="0019429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 различные аспекты регулирования.</w:t>
      </w:r>
    </w:p>
    <w:p w14:paraId="5BDDD3BB" w14:textId="6A7901EB" w:rsidR="00687489" w:rsidRPr="00194296" w:rsidRDefault="001726DF" w:rsidP="00CC4944">
      <w:pPr>
        <w:pStyle w:val="Bullet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94296">
        <w:rPr>
          <w:rFonts w:ascii="Times New Roman" w:hAnsi="Times New Roman"/>
          <w:color w:val="000000" w:themeColor="text1"/>
          <w:sz w:val="28"/>
          <w:szCs w:val="28"/>
          <w:lang w:val="ru-RU"/>
        </w:rPr>
        <w:t>Необходимо также оценить потенциал национальных обществ и партнеров по своевременному и масштабному осуществлению ПДП.</w:t>
      </w:r>
    </w:p>
    <w:p w14:paraId="52E22FC9" w14:textId="57E7C578" w:rsidR="00F57C12" w:rsidRPr="00194296" w:rsidRDefault="00DE44B4" w:rsidP="00CC4944">
      <w:pPr>
        <w:pStyle w:val="Bullet1"/>
        <w:rPr>
          <w:rFonts w:ascii="Times New Roman" w:hAnsi="Times New Roman"/>
          <w:sz w:val="28"/>
          <w:szCs w:val="28"/>
          <w:lang w:val="ru-RU"/>
        </w:rPr>
      </w:pPr>
      <w:r w:rsidRPr="00194296">
        <w:rPr>
          <w:rFonts w:ascii="Times New Roman" w:hAnsi="Times New Roman"/>
          <w:sz w:val="28"/>
          <w:szCs w:val="28"/>
          <w:lang w:val="ru-RU"/>
        </w:rPr>
        <w:t xml:space="preserve">Оценка рисков должна включать в себя, по меньшей мере, определение оперативных условий, а также институциональных и программных рисков, связанных </w:t>
      </w:r>
      <w:r w:rsidR="001A7AD5" w:rsidRPr="001942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4296">
        <w:rPr>
          <w:rFonts w:ascii="Times New Roman" w:hAnsi="Times New Roman"/>
          <w:sz w:val="28"/>
          <w:szCs w:val="28"/>
          <w:lang w:val="ru-RU"/>
        </w:rPr>
        <w:t>с потенциальным осуществлением ПДП.</w:t>
      </w:r>
    </w:p>
    <w:p w14:paraId="4A50221D" w14:textId="0923F391" w:rsidR="00D528AB" w:rsidRPr="00194296" w:rsidRDefault="00C3322B" w:rsidP="00CC4944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194296">
        <w:rPr>
          <w:rFonts w:ascii="Times New Roman" w:hAnsi="Times New Roman"/>
          <w:sz w:val="28"/>
          <w:szCs w:val="28"/>
          <w:lang w:val="ru-RU"/>
        </w:rPr>
        <w:t>разделы и подразделы</w:t>
      </w:r>
    </w:p>
    <w:p w14:paraId="7F39822E" w14:textId="71AD923A" w:rsidR="00105565" w:rsidRPr="00194296" w:rsidRDefault="00C3322B" w:rsidP="00CC068F">
      <w:pPr>
        <w:rPr>
          <w:rFonts w:ascii="Times New Roman" w:hAnsi="Times New Roman"/>
          <w:sz w:val="28"/>
          <w:szCs w:val="28"/>
          <w:lang w:val="ru-RU"/>
        </w:rPr>
      </w:pPr>
      <w:r w:rsidRPr="00194296">
        <w:rPr>
          <w:rFonts w:ascii="Times New Roman" w:hAnsi="Times New Roman"/>
          <w:sz w:val="28"/>
          <w:szCs w:val="28"/>
          <w:lang w:val="ru-RU"/>
        </w:rPr>
        <w:t xml:space="preserve">Методические материалы по вопросам предоставления наличных денежных средств в условиях ЧС предлагают четыре этапа внедрения различных аспектов, связанных с работой с наличными </w:t>
      </w:r>
      <w:r w:rsidR="00597020" w:rsidRPr="00194296">
        <w:rPr>
          <w:rFonts w:ascii="Times New Roman" w:hAnsi="Times New Roman"/>
          <w:sz w:val="28"/>
          <w:szCs w:val="28"/>
          <w:lang w:val="ru-RU"/>
        </w:rPr>
        <w:t>денежными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средствами, в процесс </w:t>
      </w:r>
      <w:r w:rsidR="00597020">
        <w:rPr>
          <w:rFonts w:ascii="Times New Roman" w:hAnsi="Times New Roman"/>
          <w:sz w:val="28"/>
          <w:szCs w:val="28"/>
          <w:lang w:val="ru-RU"/>
        </w:rPr>
        <w:lastRenderedPageBreak/>
        <w:t xml:space="preserve">осуществления 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оценки, обеспечивая </w:t>
      </w:r>
      <w:r w:rsidR="00597020">
        <w:rPr>
          <w:rFonts w:ascii="Times New Roman" w:hAnsi="Times New Roman"/>
          <w:sz w:val="28"/>
          <w:szCs w:val="28"/>
          <w:lang w:val="ru-RU"/>
        </w:rPr>
        <w:t xml:space="preserve">при этом </w:t>
      </w:r>
      <w:r w:rsidRPr="00194296">
        <w:rPr>
          <w:rFonts w:ascii="Times New Roman" w:hAnsi="Times New Roman"/>
          <w:sz w:val="28"/>
          <w:szCs w:val="28"/>
          <w:lang w:val="ru-RU"/>
        </w:rPr>
        <w:t>доступность необходимых ресурсов.</w:t>
      </w:r>
      <w:r w:rsidR="004E5BB5" w:rsidRPr="0019429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5C442222" w14:textId="6CE07539" w:rsidR="008C2CBC" w:rsidRPr="00194296" w:rsidRDefault="00C3322B" w:rsidP="00CC4944">
      <w:pPr>
        <w:pStyle w:val="3"/>
        <w:rPr>
          <w:rFonts w:ascii="Times New Roman" w:hAnsi="Times New Roman"/>
          <w:sz w:val="28"/>
          <w:szCs w:val="28"/>
          <w:shd w:val="clear" w:color="auto" w:fill="FFFFFF"/>
          <w:lang w:val="ru-RU" w:eastAsia="it-IT"/>
        </w:rPr>
      </w:pPr>
      <w:r w:rsidRPr="00194296">
        <w:rPr>
          <w:rFonts w:ascii="Times New Roman" w:hAnsi="Times New Roman"/>
          <w:sz w:val="28"/>
          <w:szCs w:val="28"/>
          <w:shd w:val="clear" w:color="auto" w:fill="FFFFFF"/>
          <w:lang w:val="ru-RU" w:eastAsia="it-IT"/>
        </w:rPr>
        <w:t>Планирование и подготовка</w:t>
      </w:r>
    </w:p>
    <w:p w14:paraId="2D9C4DE9" w14:textId="5816739C" w:rsidR="005C34AD" w:rsidRPr="00194296" w:rsidRDefault="002E0DA2" w:rsidP="005C34AD">
      <w:pPr>
        <w:rPr>
          <w:rFonts w:ascii="Times New Roman" w:hAnsi="Times New Roman"/>
          <w:sz w:val="28"/>
          <w:szCs w:val="28"/>
          <w:lang w:val="ru-RU"/>
        </w:rPr>
      </w:pPr>
      <w:r w:rsidRPr="00194296">
        <w:rPr>
          <w:rFonts w:ascii="Times New Roman" w:hAnsi="Times New Roman"/>
          <w:sz w:val="28"/>
          <w:szCs w:val="28"/>
          <w:lang w:val="ru-RU"/>
        </w:rPr>
        <w:t xml:space="preserve">Первоначальные решения об использовании наличных денежных средств могут </w:t>
      </w:r>
      <w:r w:rsidR="00597020">
        <w:rPr>
          <w:rFonts w:ascii="Times New Roman" w:hAnsi="Times New Roman"/>
          <w:sz w:val="28"/>
          <w:szCs w:val="28"/>
          <w:lang w:val="ru-RU"/>
        </w:rPr>
        <w:t xml:space="preserve">быть 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приняты непосредственно после ЧС теми сотрудниками, </w:t>
      </w:r>
      <w:r w:rsidR="002E1A1A" w:rsidRPr="00194296">
        <w:rPr>
          <w:rFonts w:ascii="Times New Roman" w:hAnsi="Times New Roman"/>
          <w:sz w:val="28"/>
          <w:szCs w:val="28"/>
          <w:lang w:val="ru-RU"/>
        </w:rPr>
        <w:t>которые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обладают </w:t>
      </w:r>
      <w:r w:rsidR="002E1A1A" w:rsidRPr="00194296">
        <w:rPr>
          <w:rFonts w:ascii="Times New Roman" w:hAnsi="Times New Roman"/>
          <w:sz w:val="28"/>
          <w:szCs w:val="28"/>
          <w:lang w:val="ru-RU"/>
        </w:rPr>
        <w:t>техническим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опытом и знаниями, на </w:t>
      </w:r>
      <w:r w:rsidR="002E1A1A" w:rsidRPr="00194296">
        <w:rPr>
          <w:rFonts w:ascii="Times New Roman" w:hAnsi="Times New Roman"/>
          <w:sz w:val="28"/>
          <w:szCs w:val="28"/>
          <w:lang w:val="ru-RU"/>
        </w:rPr>
        <w:t>основании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информации</w:t>
      </w:r>
      <w:r w:rsidR="002E1A1A">
        <w:rPr>
          <w:rFonts w:ascii="Times New Roman" w:hAnsi="Times New Roman"/>
          <w:sz w:val="28"/>
          <w:szCs w:val="28"/>
          <w:lang w:val="ru-RU"/>
        </w:rPr>
        <w:t>,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собранной в ходе первичных выездов на места или </w:t>
      </w:r>
      <w:r w:rsidR="002E1A1A" w:rsidRPr="00194296">
        <w:rPr>
          <w:rFonts w:ascii="Times New Roman" w:hAnsi="Times New Roman"/>
          <w:sz w:val="28"/>
          <w:szCs w:val="28"/>
          <w:lang w:val="ru-RU"/>
        </w:rPr>
        <w:t>заимствованной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из планов чрезвычайного </w:t>
      </w:r>
      <w:r w:rsidR="002E1A1A" w:rsidRPr="00194296">
        <w:rPr>
          <w:rFonts w:ascii="Times New Roman" w:hAnsi="Times New Roman"/>
          <w:sz w:val="28"/>
          <w:szCs w:val="28"/>
          <w:lang w:val="ru-RU"/>
        </w:rPr>
        <w:t>реагирования</w:t>
      </w:r>
      <w:r w:rsidR="002E1A1A">
        <w:rPr>
          <w:rFonts w:ascii="Times New Roman" w:hAnsi="Times New Roman"/>
          <w:sz w:val="28"/>
          <w:szCs w:val="28"/>
          <w:lang w:val="ru-RU"/>
        </w:rPr>
        <w:t>, а также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результатов координационных встреч. Важно учитывать следующий факт: какое бы сиюминутно решение ни было пр</w:t>
      </w:r>
      <w:r w:rsidR="00634EBB">
        <w:rPr>
          <w:rFonts w:ascii="Times New Roman" w:hAnsi="Times New Roman"/>
          <w:sz w:val="28"/>
          <w:szCs w:val="28"/>
          <w:lang w:val="ru-RU"/>
        </w:rPr>
        <w:t>инято, только последующая оценка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с проведением дальнейшего анализа вариантов реагирования может подтвердить, станет ли ПДП наибо</w:t>
      </w:r>
      <w:r w:rsidR="007B3F81">
        <w:rPr>
          <w:rFonts w:ascii="Times New Roman" w:hAnsi="Times New Roman"/>
          <w:sz w:val="28"/>
          <w:szCs w:val="28"/>
          <w:lang w:val="ru-RU"/>
        </w:rPr>
        <w:t>лее эффективным вариантом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удовлетворения потребностей населения на следующих этапах. При выборе подходов и инструментов для проведения оценки, необходимо принять во внимание, что большая часть из них не учитывает особенностей работы с наличными денежными средствами. Если вы не успели внедрить в них соответствующие аспекты работы с наличными денежными средствами на этапе обеспечения готовности, то</w:t>
      </w:r>
      <w:r w:rsidR="00A00201">
        <w:rPr>
          <w:rFonts w:ascii="Times New Roman" w:hAnsi="Times New Roman"/>
          <w:sz w:val="28"/>
          <w:szCs w:val="28"/>
          <w:lang w:val="ru-RU"/>
        </w:rPr>
        <w:t>,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скорее всего</w:t>
      </w:r>
      <w:r w:rsidR="00A00201">
        <w:rPr>
          <w:rFonts w:ascii="Times New Roman" w:hAnsi="Times New Roman"/>
          <w:sz w:val="28"/>
          <w:szCs w:val="28"/>
          <w:lang w:val="ru-RU"/>
        </w:rPr>
        <w:t>,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это придется сдать на этапе планирования и </w:t>
      </w:r>
      <w:r w:rsidR="00A00201" w:rsidRPr="00194296">
        <w:rPr>
          <w:rFonts w:ascii="Times New Roman" w:hAnsi="Times New Roman"/>
          <w:sz w:val="28"/>
          <w:szCs w:val="28"/>
          <w:lang w:val="ru-RU"/>
        </w:rPr>
        <w:t>подготовки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к</w:t>
      </w:r>
      <w:r w:rsidR="00A00201">
        <w:rPr>
          <w:rFonts w:ascii="Times New Roman" w:hAnsi="Times New Roman"/>
          <w:sz w:val="28"/>
          <w:szCs w:val="28"/>
          <w:lang w:val="ru-RU"/>
        </w:rPr>
        <w:t xml:space="preserve"> проведению оценки.  В процессе сбора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вторичных данных, поинтересуйтесь, какие</w:t>
      </w:r>
      <w:r w:rsidR="00A00201">
        <w:rPr>
          <w:rFonts w:ascii="Times New Roman" w:hAnsi="Times New Roman"/>
          <w:sz w:val="28"/>
          <w:szCs w:val="28"/>
          <w:lang w:val="ru-RU"/>
        </w:rPr>
        <w:t xml:space="preserve"> из доступных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источни</w:t>
      </w:r>
      <w:r w:rsidR="00A00201">
        <w:rPr>
          <w:rFonts w:ascii="Times New Roman" w:hAnsi="Times New Roman"/>
          <w:sz w:val="28"/>
          <w:szCs w:val="28"/>
          <w:lang w:val="ru-RU"/>
        </w:rPr>
        <w:t>ков позволяют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получить информацию по работе с наличными денежными средства</w:t>
      </w:r>
      <w:r w:rsidR="00A00201">
        <w:rPr>
          <w:rFonts w:ascii="Times New Roman" w:hAnsi="Times New Roman"/>
          <w:sz w:val="28"/>
          <w:szCs w:val="28"/>
          <w:lang w:val="ru-RU"/>
        </w:rPr>
        <w:t>ми.  И, наконец, при выявлении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заинтерес</w:t>
      </w:r>
      <w:r w:rsidR="00A00201">
        <w:rPr>
          <w:rFonts w:ascii="Times New Roman" w:hAnsi="Times New Roman"/>
          <w:sz w:val="28"/>
          <w:szCs w:val="28"/>
          <w:lang w:val="ru-RU"/>
        </w:rPr>
        <w:t>ованных сторон, обращайте особое внимание на те из них, что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могут </w:t>
      </w:r>
      <w:r w:rsidR="00A00201">
        <w:rPr>
          <w:rFonts w:ascii="Times New Roman" w:hAnsi="Times New Roman"/>
          <w:sz w:val="28"/>
          <w:szCs w:val="28"/>
          <w:lang w:val="ru-RU"/>
        </w:rPr>
        <w:t>в значительной мере определить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успех </w:t>
      </w:r>
      <w:r w:rsidR="00A00201" w:rsidRPr="00194296">
        <w:rPr>
          <w:rFonts w:ascii="Times New Roman" w:hAnsi="Times New Roman"/>
          <w:sz w:val="28"/>
          <w:szCs w:val="28"/>
          <w:lang w:val="ru-RU"/>
        </w:rPr>
        <w:t>потенциальных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ПДП или иметь для них важное значение.</w:t>
      </w:r>
    </w:p>
    <w:p w14:paraId="3A931DA4" w14:textId="36EC7FB2" w:rsidR="00E10038" w:rsidRPr="00194296" w:rsidRDefault="002E0DA2" w:rsidP="00CC4944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194296">
        <w:rPr>
          <w:rFonts w:ascii="Times New Roman" w:hAnsi="Times New Roman"/>
          <w:sz w:val="28"/>
          <w:szCs w:val="28"/>
          <w:lang w:val="ru-RU"/>
        </w:rPr>
        <w:t xml:space="preserve">Оценка ситуации, подразумевающая учет особенностей работы с наличными денежными </w:t>
      </w:r>
      <w:r w:rsidR="005D6537" w:rsidRPr="00194296">
        <w:rPr>
          <w:rFonts w:ascii="Times New Roman" w:hAnsi="Times New Roman"/>
          <w:sz w:val="28"/>
          <w:szCs w:val="28"/>
          <w:lang w:val="ru-RU"/>
        </w:rPr>
        <w:t>средствами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, на уровне сообществ </w:t>
      </w:r>
    </w:p>
    <w:p w14:paraId="5E514067" w14:textId="150E5402" w:rsidR="002E0DA2" w:rsidRPr="00194296" w:rsidRDefault="002E0DA2" w:rsidP="005C34AD">
      <w:pPr>
        <w:spacing w:before="240"/>
        <w:rPr>
          <w:rFonts w:ascii="Times New Roman" w:hAnsi="Times New Roman"/>
          <w:sz w:val="28"/>
          <w:szCs w:val="28"/>
          <w:lang w:val="ru-RU"/>
        </w:rPr>
      </w:pPr>
      <w:r w:rsidRPr="00194296">
        <w:rPr>
          <w:rFonts w:ascii="Times New Roman" w:hAnsi="Times New Roman"/>
          <w:sz w:val="28"/>
          <w:szCs w:val="28"/>
          <w:lang w:val="ru-RU"/>
        </w:rPr>
        <w:t xml:space="preserve">Чтобы провести оценку ситуации, подразумевающую учет особенностей работы с наличными денежными средствами, необходимо собрать </w:t>
      </w:r>
      <w:r w:rsidR="005D6537" w:rsidRPr="00194296">
        <w:rPr>
          <w:rFonts w:ascii="Times New Roman" w:hAnsi="Times New Roman"/>
          <w:sz w:val="28"/>
          <w:szCs w:val="28"/>
          <w:lang w:val="ru-RU"/>
        </w:rPr>
        <w:t>соответствующую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6537" w:rsidRPr="00194296">
        <w:rPr>
          <w:rFonts w:ascii="Times New Roman" w:hAnsi="Times New Roman"/>
          <w:sz w:val="28"/>
          <w:szCs w:val="28"/>
          <w:lang w:val="ru-RU"/>
        </w:rPr>
        <w:t>информацию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на уровне сообществ и домохозяйств. Особенно важно понять, имеют ли сообщества и домохозяйс</w:t>
      </w:r>
      <w:r w:rsidR="005D6537">
        <w:rPr>
          <w:rFonts w:ascii="Times New Roman" w:hAnsi="Times New Roman"/>
          <w:sz w:val="28"/>
          <w:szCs w:val="28"/>
          <w:lang w:val="ru-RU"/>
        </w:rPr>
        <w:t xml:space="preserve">тва доступ к наличным денежным 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средствам, рынкам и финансовым услугам, </w:t>
      </w:r>
      <w:r w:rsidR="00F046D4" w:rsidRPr="00194296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5D6537" w:rsidRPr="00194296">
        <w:rPr>
          <w:rFonts w:ascii="Times New Roman" w:hAnsi="Times New Roman"/>
          <w:sz w:val="28"/>
          <w:szCs w:val="28"/>
          <w:lang w:val="ru-RU"/>
        </w:rPr>
        <w:t>возможность</w:t>
      </w:r>
      <w:r w:rsidR="00F046D4" w:rsidRPr="00194296">
        <w:rPr>
          <w:rFonts w:ascii="Times New Roman" w:hAnsi="Times New Roman"/>
          <w:sz w:val="28"/>
          <w:szCs w:val="28"/>
          <w:lang w:val="ru-RU"/>
        </w:rPr>
        <w:t xml:space="preserve"> их использования, а также узнать предпочтения людей и </w:t>
      </w:r>
      <w:r w:rsidR="005D6537" w:rsidRPr="00194296">
        <w:rPr>
          <w:rFonts w:ascii="Times New Roman" w:hAnsi="Times New Roman"/>
          <w:sz w:val="28"/>
          <w:szCs w:val="28"/>
          <w:lang w:val="ru-RU"/>
        </w:rPr>
        <w:t>выявить</w:t>
      </w:r>
      <w:r w:rsidR="00F046D4" w:rsidRPr="00194296">
        <w:rPr>
          <w:rFonts w:ascii="Times New Roman" w:hAnsi="Times New Roman"/>
          <w:sz w:val="28"/>
          <w:szCs w:val="28"/>
          <w:lang w:val="ru-RU"/>
        </w:rPr>
        <w:t xml:space="preserve"> риски, соп</w:t>
      </w:r>
      <w:r w:rsidR="005D6537">
        <w:rPr>
          <w:rFonts w:ascii="Times New Roman" w:hAnsi="Times New Roman"/>
          <w:sz w:val="28"/>
          <w:szCs w:val="28"/>
          <w:lang w:val="ru-RU"/>
        </w:rPr>
        <w:t>ряженные с оказанием такого рода</w:t>
      </w:r>
      <w:r w:rsidR="00F046D4" w:rsidRPr="00194296">
        <w:rPr>
          <w:rFonts w:ascii="Times New Roman" w:hAnsi="Times New Roman"/>
          <w:sz w:val="28"/>
          <w:szCs w:val="28"/>
          <w:lang w:val="ru-RU"/>
        </w:rPr>
        <w:t xml:space="preserve"> помощи. </w:t>
      </w:r>
      <w:r w:rsidR="00BD70D4" w:rsidRPr="00194296">
        <w:rPr>
          <w:rFonts w:ascii="Times New Roman" w:hAnsi="Times New Roman"/>
          <w:sz w:val="28"/>
          <w:szCs w:val="28"/>
          <w:lang w:val="ru-RU"/>
        </w:rPr>
        <w:t xml:space="preserve">Еще одним важным компонентом оценки </w:t>
      </w:r>
      <w:r w:rsidR="00761754" w:rsidRPr="00194296">
        <w:rPr>
          <w:rFonts w:ascii="Times New Roman" w:hAnsi="Times New Roman"/>
          <w:sz w:val="28"/>
          <w:szCs w:val="28"/>
          <w:lang w:val="ru-RU"/>
        </w:rPr>
        <w:t>ситуации</w:t>
      </w:r>
      <w:r w:rsidR="00BD70D4" w:rsidRPr="00194296">
        <w:rPr>
          <w:rFonts w:ascii="Times New Roman" w:hAnsi="Times New Roman"/>
          <w:sz w:val="28"/>
          <w:szCs w:val="28"/>
          <w:lang w:val="ru-RU"/>
        </w:rPr>
        <w:t xml:space="preserve"> на уровне сообществ, подразумевающей учет особенности работы с наличными денежными </w:t>
      </w:r>
      <w:r w:rsidR="00761754" w:rsidRPr="00194296">
        <w:rPr>
          <w:rFonts w:ascii="Times New Roman" w:hAnsi="Times New Roman"/>
          <w:sz w:val="28"/>
          <w:szCs w:val="28"/>
          <w:lang w:val="ru-RU"/>
        </w:rPr>
        <w:t>средствами</w:t>
      </w:r>
      <w:r w:rsidR="00BD70D4" w:rsidRPr="00194296">
        <w:rPr>
          <w:rFonts w:ascii="Times New Roman" w:hAnsi="Times New Roman"/>
          <w:sz w:val="28"/>
          <w:szCs w:val="28"/>
          <w:lang w:val="ru-RU"/>
        </w:rPr>
        <w:t xml:space="preserve">, является </w:t>
      </w:r>
      <w:r w:rsidR="00761754" w:rsidRPr="00194296">
        <w:rPr>
          <w:rFonts w:ascii="Times New Roman" w:hAnsi="Times New Roman"/>
          <w:sz w:val="28"/>
          <w:szCs w:val="28"/>
          <w:lang w:val="ru-RU"/>
        </w:rPr>
        <w:t>количественная</w:t>
      </w:r>
      <w:r w:rsidR="00BD70D4" w:rsidRPr="00194296">
        <w:rPr>
          <w:rFonts w:ascii="Times New Roman" w:hAnsi="Times New Roman"/>
          <w:sz w:val="28"/>
          <w:szCs w:val="28"/>
          <w:lang w:val="ru-RU"/>
        </w:rPr>
        <w:t xml:space="preserve"> оценка приоритетных потребностей пострадавших групп </w:t>
      </w:r>
      <w:r w:rsidR="00761754" w:rsidRPr="00194296">
        <w:rPr>
          <w:rFonts w:ascii="Times New Roman" w:hAnsi="Times New Roman"/>
          <w:sz w:val="28"/>
          <w:szCs w:val="28"/>
          <w:lang w:val="ru-RU"/>
        </w:rPr>
        <w:t>населения</w:t>
      </w:r>
      <w:r w:rsidR="00BD70D4" w:rsidRPr="00194296">
        <w:rPr>
          <w:rFonts w:ascii="Times New Roman" w:hAnsi="Times New Roman"/>
          <w:sz w:val="28"/>
          <w:szCs w:val="28"/>
          <w:lang w:val="ru-RU"/>
        </w:rPr>
        <w:t xml:space="preserve"> в денежном эквивале</w:t>
      </w:r>
      <w:r w:rsidR="00761754">
        <w:rPr>
          <w:rFonts w:ascii="Times New Roman" w:hAnsi="Times New Roman"/>
          <w:sz w:val="28"/>
          <w:szCs w:val="28"/>
          <w:lang w:val="ru-RU"/>
        </w:rPr>
        <w:t>нте на основании местных цен. Дл</w:t>
      </w:r>
      <w:r w:rsidR="00BD70D4" w:rsidRPr="00194296">
        <w:rPr>
          <w:rFonts w:ascii="Times New Roman" w:hAnsi="Times New Roman"/>
          <w:sz w:val="28"/>
          <w:szCs w:val="28"/>
          <w:lang w:val="ru-RU"/>
        </w:rPr>
        <w:t>я</w:t>
      </w:r>
      <w:r w:rsidR="00761754">
        <w:rPr>
          <w:rFonts w:ascii="Times New Roman" w:hAnsi="Times New Roman"/>
          <w:sz w:val="28"/>
          <w:szCs w:val="28"/>
          <w:lang w:val="ru-RU"/>
        </w:rPr>
        <w:t xml:space="preserve"> осуществления количес</w:t>
      </w:r>
      <w:r w:rsidR="00BD70D4" w:rsidRPr="00194296">
        <w:rPr>
          <w:rFonts w:ascii="Times New Roman" w:hAnsi="Times New Roman"/>
          <w:sz w:val="28"/>
          <w:szCs w:val="28"/>
          <w:lang w:val="ru-RU"/>
        </w:rPr>
        <w:t>т</w:t>
      </w:r>
      <w:r w:rsidR="00761754">
        <w:rPr>
          <w:rFonts w:ascii="Times New Roman" w:hAnsi="Times New Roman"/>
          <w:sz w:val="28"/>
          <w:szCs w:val="28"/>
          <w:lang w:val="ru-RU"/>
        </w:rPr>
        <w:t>венной оценки</w:t>
      </w:r>
      <w:r w:rsidR="00BD70D4" w:rsidRPr="00194296">
        <w:rPr>
          <w:rFonts w:ascii="Times New Roman" w:hAnsi="Times New Roman"/>
          <w:sz w:val="28"/>
          <w:szCs w:val="28"/>
          <w:lang w:val="ru-RU"/>
        </w:rPr>
        <w:t xml:space="preserve"> первоочередных </w:t>
      </w:r>
      <w:r w:rsidR="00761754" w:rsidRPr="00194296">
        <w:rPr>
          <w:rFonts w:ascii="Times New Roman" w:hAnsi="Times New Roman"/>
          <w:sz w:val="28"/>
          <w:szCs w:val="28"/>
          <w:lang w:val="ru-RU"/>
        </w:rPr>
        <w:t>потребностей</w:t>
      </w:r>
      <w:r w:rsidR="00BD70D4" w:rsidRPr="00194296">
        <w:rPr>
          <w:rFonts w:ascii="Times New Roman" w:hAnsi="Times New Roman"/>
          <w:sz w:val="28"/>
          <w:szCs w:val="28"/>
          <w:lang w:val="ru-RU"/>
        </w:rPr>
        <w:t xml:space="preserve">, необходимо провести мониторинг рыночных цен (следующий шаг) и/или консультации с сообществом. </w:t>
      </w:r>
      <w:r w:rsidR="00DF4323" w:rsidRPr="00194296">
        <w:rPr>
          <w:rFonts w:ascii="Times New Roman" w:hAnsi="Times New Roman"/>
          <w:sz w:val="28"/>
          <w:szCs w:val="28"/>
          <w:lang w:val="ru-RU"/>
        </w:rPr>
        <w:t xml:space="preserve">В конечном итоге, полученная информация должна быть </w:t>
      </w:r>
      <w:r w:rsidR="00761754" w:rsidRPr="00194296">
        <w:rPr>
          <w:rFonts w:ascii="Times New Roman" w:hAnsi="Times New Roman"/>
          <w:sz w:val="28"/>
          <w:szCs w:val="28"/>
          <w:lang w:val="ru-RU"/>
        </w:rPr>
        <w:t>проанализирована</w:t>
      </w:r>
      <w:r w:rsidR="00DF4323" w:rsidRPr="00194296">
        <w:rPr>
          <w:rFonts w:ascii="Times New Roman" w:hAnsi="Times New Roman"/>
          <w:sz w:val="28"/>
          <w:szCs w:val="28"/>
          <w:lang w:val="ru-RU"/>
        </w:rPr>
        <w:t xml:space="preserve"> и включена в </w:t>
      </w:r>
      <w:r w:rsidR="00761754" w:rsidRPr="00194296">
        <w:rPr>
          <w:rFonts w:ascii="Times New Roman" w:hAnsi="Times New Roman"/>
          <w:sz w:val="28"/>
          <w:szCs w:val="28"/>
          <w:lang w:val="ru-RU"/>
        </w:rPr>
        <w:t>стандартный</w:t>
      </w:r>
      <w:r w:rsidR="00DF4323" w:rsidRPr="00194296">
        <w:rPr>
          <w:rFonts w:ascii="Times New Roman" w:hAnsi="Times New Roman"/>
          <w:sz w:val="28"/>
          <w:szCs w:val="28"/>
          <w:lang w:val="ru-RU"/>
        </w:rPr>
        <w:t xml:space="preserve"> отчет по итогам оценки </w:t>
      </w:r>
      <w:r w:rsidR="00761754" w:rsidRPr="00194296">
        <w:rPr>
          <w:rFonts w:ascii="Times New Roman" w:hAnsi="Times New Roman"/>
          <w:sz w:val="28"/>
          <w:szCs w:val="28"/>
          <w:lang w:val="ru-RU"/>
        </w:rPr>
        <w:t>ситуации</w:t>
      </w:r>
      <w:r w:rsidR="00DF4323" w:rsidRPr="0019429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423E7F02" w14:textId="64D35FDF" w:rsidR="00D25E2D" w:rsidRPr="008C3C59" w:rsidRDefault="00DF4323" w:rsidP="008C3C59">
      <w:pPr>
        <w:spacing w:before="240"/>
        <w:rPr>
          <w:rFonts w:ascii="Times New Roman" w:hAnsi="Times New Roman"/>
          <w:b/>
          <w:sz w:val="28"/>
          <w:szCs w:val="28"/>
          <w:lang w:val="ru-RU"/>
        </w:rPr>
      </w:pPr>
      <w:r w:rsidRPr="008C3C59">
        <w:rPr>
          <w:rFonts w:ascii="Times New Roman" w:hAnsi="Times New Roman"/>
          <w:b/>
          <w:sz w:val="28"/>
          <w:szCs w:val="28"/>
          <w:lang w:val="ru-RU"/>
        </w:rPr>
        <w:lastRenderedPageBreak/>
        <w:t>Оперативная оценка рынков</w:t>
      </w:r>
    </w:p>
    <w:p w14:paraId="7DFB0291" w14:textId="77777777" w:rsidR="00DF4323" w:rsidRPr="00194296" w:rsidRDefault="00DF4323" w:rsidP="00DF4323">
      <w:pPr>
        <w:rPr>
          <w:lang w:val="ru-RU"/>
        </w:rPr>
      </w:pPr>
    </w:p>
    <w:p w14:paraId="57A325B9" w14:textId="72EC08CE" w:rsidR="00DF4323" w:rsidRPr="00194296" w:rsidRDefault="00DF4323" w:rsidP="005C34AD">
      <w:pPr>
        <w:rPr>
          <w:rFonts w:ascii="Times New Roman" w:hAnsi="Times New Roman"/>
          <w:sz w:val="28"/>
          <w:szCs w:val="28"/>
          <w:lang w:val="ru-RU"/>
        </w:rPr>
      </w:pPr>
      <w:r w:rsidRPr="00194296">
        <w:rPr>
          <w:rFonts w:ascii="Times New Roman" w:hAnsi="Times New Roman"/>
          <w:sz w:val="28"/>
          <w:szCs w:val="28"/>
          <w:lang w:val="ru-RU"/>
        </w:rPr>
        <w:t xml:space="preserve">Первым этапом оперативной оценки рыночной ситуации является определение </w:t>
      </w:r>
      <w:r w:rsidR="008C3C59" w:rsidRPr="00194296">
        <w:rPr>
          <w:rFonts w:ascii="Times New Roman" w:hAnsi="Times New Roman"/>
          <w:sz w:val="28"/>
          <w:szCs w:val="28"/>
          <w:lang w:val="ru-RU"/>
        </w:rPr>
        <w:t>основных</w:t>
      </w:r>
      <w:r w:rsidR="008C3C59">
        <w:rPr>
          <w:rFonts w:ascii="Times New Roman" w:hAnsi="Times New Roman"/>
          <w:sz w:val="28"/>
          <w:szCs w:val="28"/>
          <w:lang w:val="ru-RU"/>
        </w:rPr>
        <w:t xml:space="preserve"> товаров и рыночных площадок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, которые имеют решающее </w:t>
      </w:r>
      <w:r w:rsidR="008C3C59" w:rsidRPr="00194296">
        <w:rPr>
          <w:rFonts w:ascii="Times New Roman" w:hAnsi="Times New Roman"/>
          <w:sz w:val="28"/>
          <w:szCs w:val="28"/>
          <w:lang w:val="ru-RU"/>
        </w:rPr>
        <w:t>знание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для пострадавших групп населения. Собранная </w:t>
      </w:r>
      <w:r w:rsidR="008C3C59" w:rsidRPr="00194296">
        <w:rPr>
          <w:rFonts w:ascii="Times New Roman" w:hAnsi="Times New Roman"/>
          <w:sz w:val="28"/>
          <w:szCs w:val="28"/>
          <w:lang w:val="ru-RU"/>
        </w:rPr>
        <w:t>информация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о состоянии рынков должна быть перепроверена на основании вторичных данных, собранных на </w:t>
      </w:r>
      <w:r w:rsidR="008C3C59" w:rsidRPr="00194296">
        <w:rPr>
          <w:rFonts w:ascii="Times New Roman" w:hAnsi="Times New Roman"/>
          <w:sz w:val="28"/>
          <w:szCs w:val="28"/>
          <w:lang w:val="ru-RU"/>
        </w:rPr>
        <w:t>этапе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планирования и обеспечения готовности, а также данных, собранных на уровне сообщества и </w:t>
      </w:r>
      <w:r w:rsidR="008C3C59" w:rsidRPr="00194296">
        <w:rPr>
          <w:rFonts w:ascii="Times New Roman" w:hAnsi="Times New Roman"/>
          <w:sz w:val="28"/>
          <w:szCs w:val="28"/>
          <w:lang w:val="ru-RU"/>
        </w:rPr>
        <w:t>домохозяйств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. Составление карты рынков </w:t>
      </w:r>
      <w:r w:rsidR="008C3C59" w:rsidRPr="00194296">
        <w:rPr>
          <w:rFonts w:ascii="Times New Roman" w:hAnsi="Times New Roman"/>
          <w:sz w:val="28"/>
          <w:szCs w:val="28"/>
          <w:lang w:val="ru-RU"/>
        </w:rPr>
        <w:t>является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прекрасным способом поня</w:t>
      </w:r>
      <w:r w:rsidR="008C3C59">
        <w:rPr>
          <w:rFonts w:ascii="Times New Roman" w:hAnsi="Times New Roman"/>
          <w:sz w:val="28"/>
          <w:szCs w:val="28"/>
          <w:lang w:val="ru-RU"/>
        </w:rPr>
        <w:t>ть структуру рыночной системы, в то время как подготовка предварительных карт рынков может быть очень полезной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для опреде</w:t>
      </w:r>
      <w:r w:rsidR="008C3C59">
        <w:rPr>
          <w:rFonts w:ascii="Times New Roman" w:hAnsi="Times New Roman"/>
          <w:sz w:val="28"/>
          <w:szCs w:val="28"/>
          <w:lang w:val="ru-RU"/>
        </w:rPr>
        <w:t>ле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ния основных информаторов, с которыми необходимо провести </w:t>
      </w:r>
      <w:r w:rsidR="008C3C59">
        <w:rPr>
          <w:rFonts w:ascii="Times New Roman" w:hAnsi="Times New Roman"/>
          <w:sz w:val="28"/>
          <w:szCs w:val="28"/>
          <w:lang w:val="ru-RU"/>
        </w:rPr>
        <w:t xml:space="preserve">интервью, а также проблемных участков, которые необходимо 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детально исследовать в ходе работы на местах. </w:t>
      </w:r>
      <w:r w:rsidR="008C3C59">
        <w:rPr>
          <w:rFonts w:ascii="Times New Roman" w:hAnsi="Times New Roman"/>
          <w:sz w:val="28"/>
          <w:szCs w:val="28"/>
          <w:lang w:val="ru-RU"/>
        </w:rPr>
        <w:t>Анализ рыночных площадок</w:t>
      </w:r>
      <w:r w:rsidR="0098546B" w:rsidRPr="00194296">
        <w:rPr>
          <w:rFonts w:ascii="Times New Roman" w:hAnsi="Times New Roman"/>
          <w:sz w:val="28"/>
          <w:szCs w:val="28"/>
          <w:lang w:val="ru-RU"/>
        </w:rPr>
        <w:t xml:space="preserve"> позволит выявить возможности рынка по своевременному снабжению пострадавших групп нас</w:t>
      </w:r>
      <w:r w:rsidR="008C3C59">
        <w:rPr>
          <w:rFonts w:ascii="Times New Roman" w:hAnsi="Times New Roman"/>
          <w:sz w:val="28"/>
          <w:szCs w:val="28"/>
          <w:lang w:val="ru-RU"/>
        </w:rPr>
        <w:t>е</w:t>
      </w:r>
      <w:r w:rsidR="0098546B" w:rsidRPr="00194296">
        <w:rPr>
          <w:rFonts w:ascii="Times New Roman" w:hAnsi="Times New Roman"/>
          <w:sz w:val="28"/>
          <w:szCs w:val="28"/>
          <w:lang w:val="ru-RU"/>
        </w:rPr>
        <w:t xml:space="preserve">ления достаточным </w:t>
      </w:r>
      <w:r w:rsidR="008C3C59" w:rsidRPr="00194296">
        <w:rPr>
          <w:rFonts w:ascii="Times New Roman" w:hAnsi="Times New Roman"/>
          <w:sz w:val="28"/>
          <w:szCs w:val="28"/>
          <w:lang w:val="ru-RU"/>
        </w:rPr>
        <w:t>количеством</w:t>
      </w:r>
      <w:r w:rsidR="008C3C59">
        <w:rPr>
          <w:rFonts w:ascii="Times New Roman" w:hAnsi="Times New Roman"/>
          <w:sz w:val="28"/>
          <w:szCs w:val="28"/>
          <w:lang w:val="ru-RU"/>
        </w:rPr>
        <w:t xml:space="preserve"> товаров первой необходимости</w:t>
      </w:r>
      <w:r w:rsidR="0098546B" w:rsidRPr="0019429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059F84CD" w14:textId="31A08C34" w:rsidR="007310FA" w:rsidRPr="00194296" w:rsidRDefault="0098546B" w:rsidP="00CC4944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194296">
        <w:rPr>
          <w:rFonts w:ascii="Times New Roman" w:hAnsi="Times New Roman"/>
          <w:sz w:val="28"/>
          <w:szCs w:val="28"/>
          <w:lang w:val="ru-RU"/>
        </w:rPr>
        <w:t xml:space="preserve">Поставщики услуг, организационные </w:t>
      </w:r>
      <w:r w:rsidR="008C3C59" w:rsidRPr="00194296">
        <w:rPr>
          <w:rFonts w:ascii="Times New Roman" w:hAnsi="Times New Roman"/>
          <w:sz w:val="28"/>
          <w:szCs w:val="28"/>
          <w:lang w:val="ru-RU"/>
        </w:rPr>
        <w:t>возможности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и анализ рисков </w:t>
      </w:r>
    </w:p>
    <w:p w14:paraId="38DB1915" w14:textId="48FFB266" w:rsidR="00481AE0" w:rsidRPr="00194296" w:rsidRDefault="00481AE0" w:rsidP="006642BE">
      <w:pPr>
        <w:rPr>
          <w:rFonts w:ascii="Times New Roman" w:hAnsi="Times New Roman"/>
          <w:sz w:val="28"/>
          <w:szCs w:val="28"/>
          <w:lang w:val="ru-RU"/>
        </w:rPr>
      </w:pPr>
      <w:r w:rsidRPr="00194296">
        <w:rPr>
          <w:rFonts w:ascii="Times New Roman" w:hAnsi="Times New Roman"/>
          <w:sz w:val="28"/>
          <w:szCs w:val="28"/>
          <w:lang w:val="ru-RU"/>
        </w:rPr>
        <w:t xml:space="preserve">На данном этапе </w:t>
      </w:r>
      <w:r w:rsidR="0081656A" w:rsidRPr="00194296">
        <w:rPr>
          <w:rFonts w:ascii="Times New Roman" w:hAnsi="Times New Roman"/>
          <w:sz w:val="28"/>
          <w:szCs w:val="28"/>
          <w:lang w:val="ru-RU"/>
        </w:rPr>
        <w:t>существует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две цели: определение </w:t>
      </w:r>
      <w:r w:rsidR="0081656A" w:rsidRPr="00194296">
        <w:rPr>
          <w:rFonts w:ascii="Times New Roman" w:hAnsi="Times New Roman"/>
          <w:sz w:val="28"/>
          <w:szCs w:val="28"/>
          <w:lang w:val="ru-RU"/>
        </w:rPr>
        <w:t>существующих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возможностей по осуществлению операций </w:t>
      </w:r>
      <w:r w:rsidR="0081656A" w:rsidRPr="00194296">
        <w:rPr>
          <w:rFonts w:ascii="Times New Roman" w:hAnsi="Times New Roman"/>
          <w:sz w:val="28"/>
          <w:szCs w:val="28"/>
          <w:lang w:val="ru-RU"/>
        </w:rPr>
        <w:t>реагирования</w:t>
      </w:r>
      <w:r w:rsidRPr="00194296">
        <w:rPr>
          <w:rFonts w:ascii="Times New Roman" w:hAnsi="Times New Roman"/>
          <w:sz w:val="28"/>
          <w:szCs w:val="28"/>
          <w:lang w:val="ru-RU"/>
        </w:rPr>
        <w:t>, подразумевающих своевременную и масштабную раздачу бенефициарам наличных денежных средств, и выявление рисков, связанных с такого рода операциями.</w:t>
      </w:r>
    </w:p>
    <w:p w14:paraId="37D444F0" w14:textId="40142B14" w:rsidR="00481AE0" w:rsidRPr="00194296" w:rsidRDefault="00481AE0" w:rsidP="006642BE">
      <w:pPr>
        <w:rPr>
          <w:rFonts w:ascii="Times New Roman" w:hAnsi="Times New Roman"/>
          <w:sz w:val="28"/>
          <w:szCs w:val="28"/>
          <w:lang w:val="ru-RU"/>
        </w:rPr>
      </w:pPr>
      <w:r w:rsidRPr="00194296">
        <w:rPr>
          <w:rFonts w:ascii="Times New Roman" w:hAnsi="Times New Roman"/>
          <w:sz w:val="28"/>
          <w:szCs w:val="28"/>
          <w:lang w:val="ru-RU"/>
        </w:rPr>
        <w:t xml:space="preserve">При проведении оценки возможностей необходимо </w:t>
      </w:r>
      <w:r w:rsidR="0081656A">
        <w:rPr>
          <w:rFonts w:ascii="Times New Roman" w:hAnsi="Times New Roman"/>
          <w:sz w:val="28"/>
          <w:szCs w:val="28"/>
          <w:lang w:val="ru-RU"/>
        </w:rPr>
        <w:t>о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братить </w:t>
      </w:r>
      <w:r w:rsidR="0081656A" w:rsidRPr="00194296">
        <w:rPr>
          <w:rFonts w:ascii="Times New Roman" w:hAnsi="Times New Roman"/>
          <w:sz w:val="28"/>
          <w:szCs w:val="28"/>
          <w:lang w:val="ru-RU"/>
        </w:rPr>
        <w:t>внимание</w:t>
      </w:r>
      <w:r w:rsidR="0081656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4296">
        <w:rPr>
          <w:rFonts w:ascii="Times New Roman" w:hAnsi="Times New Roman"/>
          <w:sz w:val="28"/>
          <w:szCs w:val="28"/>
          <w:lang w:val="ru-RU"/>
        </w:rPr>
        <w:t>на потенциал поставщиков услуг (</w:t>
      </w:r>
      <w:r w:rsidR="0081656A" w:rsidRPr="00194296">
        <w:rPr>
          <w:rFonts w:ascii="Times New Roman" w:hAnsi="Times New Roman"/>
          <w:sz w:val="28"/>
          <w:szCs w:val="28"/>
          <w:lang w:val="ru-RU"/>
        </w:rPr>
        <w:t>включая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операторов мобильной связи, финансовые институты и торговые </w:t>
      </w:r>
      <w:r w:rsidR="0081656A" w:rsidRPr="00194296">
        <w:rPr>
          <w:rFonts w:ascii="Times New Roman" w:hAnsi="Times New Roman"/>
          <w:sz w:val="28"/>
          <w:szCs w:val="28"/>
          <w:lang w:val="ru-RU"/>
        </w:rPr>
        <w:t>организации</w:t>
      </w:r>
      <w:r w:rsidR="0081656A">
        <w:rPr>
          <w:rFonts w:ascii="Times New Roman" w:hAnsi="Times New Roman"/>
          <w:sz w:val="28"/>
          <w:szCs w:val="28"/>
          <w:lang w:val="ru-RU"/>
        </w:rPr>
        <w:t>), а также на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организационные возможности (включая национальные общества и партнеров-операторов).</w:t>
      </w:r>
    </w:p>
    <w:p w14:paraId="0BFE7B12" w14:textId="62A74CD1" w:rsidR="001A7D31" w:rsidRPr="00194296" w:rsidRDefault="00481AE0" w:rsidP="00481AE0">
      <w:pPr>
        <w:rPr>
          <w:rFonts w:ascii="Times New Roman" w:hAnsi="Times New Roman"/>
          <w:sz w:val="28"/>
          <w:szCs w:val="28"/>
          <w:lang w:val="ru-RU"/>
        </w:rPr>
      </w:pPr>
      <w:r w:rsidRPr="00194296">
        <w:rPr>
          <w:rFonts w:ascii="Times New Roman" w:hAnsi="Times New Roman"/>
          <w:sz w:val="28"/>
          <w:szCs w:val="28"/>
          <w:lang w:val="ru-RU"/>
        </w:rPr>
        <w:t xml:space="preserve">Анализ рисков – </w:t>
      </w:r>
      <w:r w:rsidR="00457CAF" w:rsidRPr="00194296">
        <w:rPr>
          <w:rFonts w:ascii="Times New Roman" w:hAnsi="Times New Roman"/>
          <w:sz w:val="28"/>
          <w:szCs w:val="28"/>
          <w:lang w:val="ru-RU"/>
        </w:rPr>
        <w:t>непрерывный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процесс, который начинается на этапе подготовки к реализации программы, осуществляется на </w:t>
      </w:r>
      <w:r w:rsidR="00457CAF" w:rsidRPr="00194296">
        <w:rPr>
          <w:rFonts w:ascii="Times New Roman" w:hAnsi="Times New Roman"/>
          <w:sz w:val="28"/>
          <w:szCs w:val="28"/>
          <w:lang w:val="ru-RU"/>
        </w:rPr>
        <w:t>протяжении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всего этапа </w:t>
      </w:r>
      <w:r w:rsidR="00457CAF">
        <w:rPr>
          <w:rFonts w:ascii="Times New Roman" w:hAnsi="Times New Roman"/>
          <w:sz w:val="28"/>
          <w:szCs w:val="28"/>
          <w:lang w:val="ru-RU"/>
        </w:rPr>
        <w:t xml:space="preserve">осуществления </w:t>
      </w:r>
      <w:r w:rsidRPr="00194296">
        <w:rPr>
          <w:rFonts w:ascii="Times New Roman" w:hAnsi="Times New Roman"/>
          <w:sz w:val="28"/>
          <w:szCs w:val="28"/>
          <w:lang w:val="ru-RU"/>
        </w:rPr>
        <w:t>оценки на всех уровнях (</w:t>
      </w:r>
      <w:r w:rsidR="00457CAF" w:rsidRPr="00194296">
        <w:rPr>
          <w:rFonts w:ascii="Times New Roman" w:hAnsi="Times New Roman"/>
          <w:sz w:val="28"/>
          <w:szCs w:val="28"/>
          <w:lang w:val="ru-RU"/>
        </w:rPr>
        <w:t>сообщества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, рынка и т.д.) и продолжается на </w:t>
      </w:r>
      <w:r w:rsidR="00457CAF" w:rsidRPr="00194296">
        <w:rPr>
          <w:rFonts w:ascii="Times New Roman" w:hAnsi="Times New Roman"/>
          <w:sz w:val="28"/>
          <w:szCs w:val="28"/>
          <w:lang w:val="ru-RU"/>
        </w:rPr>
        <w:t>протяжении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всего цикла реал</w:t>
      </w:r>
      <w:r w:rsidR="0023508D">
        <w:rPr>
          <w:rFonts w:ascii="Times New Roman" w:hAnsi="Times New Roman"/>
          <w:sz w:val="28"/>
          <w:szCs w:val="28"/>
          <w:lang w:val="ru-RU"/>
        </w:rPr>
        <w:t>изации проекта. По этой причине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Методические материалы предлагают одни и те же </w:t>
      </w:r>
      <w:r w:rsidR="0023508D" w:rsidRPr="00194296">
        <w:rPr>
          <w:rFonts w:ascii="Times New Roman" w:hAnsi="Times New Roman"/>
          <w:sz w:val="28"/>
          <w:szCs w:val="28"/>
          <w:lang w:val="ru-RU"/>
        </w:rPr>
        <w:t>инструменты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по анализу рисков для всех м</w:t>
      </w:r>
      <w:r w:rsidR="0023508D">
        <w:rPr>
          <w:rFonts w:ascii="Times New Roman" w:hAnsi="Times New Roman"/>
          <w:sz w:val="28"/>
          <w:szCs w:val="28"/>
          <w:lang w:val="ru-RU"/>
        </w:rPr>
        <w:t>одулей. Эти инструменты могут пере</w:t>
      </w:r>
      <w:bookmarkStart w:id="0" w:name="_GoBack"/>
      <w:bookmarkEnd w:id="0"/>
      <w:r w:rsidRPr="00194296">
        <w:rPr>
          <w:rFonts w:ascii="Times New Roman" w:hAnsi="Times New Roman"/>
          <w:sz w:val="28"/>
          <w:szCs w:val="28"/>
          <w:lang w:val="ru-RU"/>
        </w:rPr>
        <w:t xml:space="preserve">рабатываться и </w:t>
      </w:r>
      <w:r w:rsidR="0023508D" w:rsidRPr="00194296">
        <w:rPr>
          <w:rFonts w:ascii="Times New Roman" w:hAnsi="Times New Roman"/>
          <w:sz w:val="28"/>
          <w:szCs w:val="28"/>
          <w:lang w:val="ru-RU"/>
        </w:rPr>
        <w:t>повторно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использоваться  на всех этапах </w:t>
      </w:r>
      <w:r w:rsidR="0023508D" w:rsidRPr="00194296">
        <w:rPr>
          <w:rFonts w:ascii="Times New Roman" w:hAnsi="Times New Roman"/>
          <w:sz w:val="28"/>
          <w:szCs w:val="28"/>
          <w:lang w:val="ru-RU"/>
        </w:rPr>
        <w:t>осуществления</w:t>
      </w:r>
      <w:r w:rsidRPr="00194296">
        <w:rPr>
          <w:rFonts w:ascii="Times New Roman" w:hAnsi="Times New Roman"/>
          <w:sz w:val="28"/>
          <w:szCs w:val="28"/>
          <w:lang w:val="ru-RU"/>
        </w:rPr>
        <w:t xml:space="preserve"> проекта.</w:t>
      </w:r>
      <w:r w:rsidR="001A7D31" w:rsidRPr="00194296">
        <w:rPr>
          <w:rFonts w:ascii="Times New Roman" w:eastAsia="Times New Roman" w:hAnsi="Times New Roman"/>
          <w:sz w:val="28"/>
          <w:szCs w:val="28"/>
          <w:lang w:val="ru-RU"/>
        </w:rPr>
        <w:br w:type="page"/>
      </w:r>
    </w:p>
    <w:tbl>
      <w:tblPr>
        <w:tblStyle w:val="TableGray"/>
        <w:tblW w:w="0" w:type="auto"/>
        <w:tblLook w:val="04A0" w:firstRow="1" w:lastRow="0" w:firstColumn="1" w:lastColumn="0" w:noHBand="0" w:noVBand="1"/>
      </w:tblPr>
      <w:tblGrid>
        <w:gridCol w:w="9848"/>
      </w:tblGrid>
      <w:tr w:rsidR="001A7D31" w:rsidRPr="00194296" w14:paraId="48149D4F" w14:textId="77777777" w:rsidTr="001A7D31">
        <w:tc>
          <w:tcPr>
            <w:tcW w:w="9848" w:type="dxa"/>
          </w:tcPr>
          <w:p w14:paraId="72EF33D4" w14:textId="69191518" w:rsidR="001A7D31" w:rsidRPr="00194296" w:rsidRDefault="00481AE0" w:rsidP="001A7D31">
            <w:pPr>
              <w:pStyle w:val="RefTitr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429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СПРАВОЧНЫЕ ДОКУМЕНТЫ</w:t>
            </w:r>
          </w:p>
          <w:p w14:paraId="5DA4300B" w14:textId="1549A986" w:rsidR="001A7D31" w:rsidRPr="00194296" w:rsidRDefault="00481AE0" w:rsidP="001A7D31">
            <w:pPr>
              <w:pStyle w:val="RefItem1"/>
              <w:rPr>
                <w:rFonts w:ascii="Times New Roman" w:hAnsi="Times New Roman"/>
                <w:sz w:val="28"/>
                <w:szCs w:val="28"/>
                <w:shd w:val="clear" w:color="auto" w:fill="D9D9D9"/>
                <w:lang w:val="ru-RU"/>
              </w:rPr>
            </w:pPr>
            <w:r w:rsidRPr="00194296">
              <w:rPr>
                <w:rFonts w:ascii="Times New Roman" w:hAnsi="Times New Roman"/>
                <w:sz w:val="28"/>
                <w:szCs w:val="28"/>
                <w:shd w:val="clear" w:color="auto" w:fill="D9D9D9"/>
                <w:lang w:val="ru-RU"/>
              </w:rPr>
              <w:t>МККК/МФОККиКП (2008) Руководящие указания по проведению оценки в условиях ЧС</w:t>
            </w:r>
            <w:r w:rsidR="001A7D31" w:rsidRPr="00194296">
              <w:rPr>
                <w:rFonts w:ascii="Times New Roman" w:hAnsi="Times New Roman"/>
                <w:sz w:val="28"/>
                <w:szCs w:val="28"/>
                <w:shd w:val="clear" w:color="auto" w:fill="D9D9D9"/>
                <w:lang w:val="ru-RU"/>
              </w:rPr>
              <w:t xml:space="preserve"> </w:t>
            </w:r>
            <w:hyperlink r:id="rId8" w:history="1">
              <w:r w:rsidR="001A7D31" w:rsidRPr="00194296">
                <w:rPr>
                  <w:rStyle w:val="af2"/>
                  <w:rFonts w:ascii="Times New Roman" w:hAnsi="Times New Roman"/>
                  <w:sz w:val="28"/>
                  <w:szCs w:val="28"/>
                  <w:shd w:val="clear" w:color="auto" w:fill="D9D9D9"/>
                  <w:lang w:val="ru-RU"/>
                </w:rPr>
                <w:t>http://www.ifrc.org/Global/Publications/disasters/guidelines/guidelines-emergency.pdf</w:t>
              </w:r>
            </w:hyperlink>
          </w:p>
          <w:p w14:paraId="7ED402B7" w14:textId="5421FA93" w:rsidR="001A7D31" w:rsidRPr="00194296" w:rsidRDefault="00481AE0" w:rsidP="001A7D31">
            <w:pPr>
              <w:pStyle w:val="RefItem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4296">
              <w:rPr>
                <w:rFonts w:ascii="Times New Roman" w:hAnsi="Times New Roman"/>
                <w:sz w:val="28"/>
                <w:szCs w:val="28"/>
                <w:shd w:val="clear" w:color="auto" w:fill="D9D9D9"/>
                <w:lang w:val="ru-RU"/>
              </w:rPr>
              <w:t xml:space="preserve">МФОККиКП (2007) Как проводить оценку уязвимостей и потенциала. Практическое пошаговое руководство для сотрудников и добровольцев Красного Креста и Красного Полумесяца  </w:t>
            </w:r>
            <w:hyperlink r:id="rId9" w:history="1">
              <w:r w:rsidR="001A7D31" w:rsidRPr="00194296">
                <w:rPr>
                  <w:rStyle w:val="af2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http://www.ifrc.org/Global/Publications/disasters/vca/how-to-do-vca-en.pdf </w:t>
              </w:r>
            </w:hyperlink>
          </w:p>
          <w:p w14:paraId="31D15E1F" w14:textId="671095D2" w:rsidR="001A7D31" w:rsidRPr="00194296" w:rsidRDefault="00481AE0" w:rsidP="001A7D31">
            <w:pPr>
              <w:pStyle w:val="RefItem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4296">
              <w:rPr>
                <w:rFonts w:ascii="Times New Roman" w:hAnsi="Times New Roman"/>
                <w:sz w:val="28"/>
                <w:szCs w:val="28"/>
                <w:shd w:val="clear" w:color="auto" w:fill="D9D9D9"/>
                <w:lang w:val="ru-RU"/>
              </w:rPr>
              <w:t>Обзор примеров передового опыта: Программы денежных переводов в условиях ЧС</w:t>
            </w:r>
            <w:r w:rsidR="001A7D31" w:rsidRPr="00194296">
              <w:rPr>
                <w:rFonts w:ascii="Times New Roman" w:hAnsi="Times New Roman"/>
                <w:sz w:val="28"/>
                <w:szCs w:val="28"/>
                <w:shd w:val="clear" w:color="auto" w:fill="D9D9D9"/>
                <w:lang w:val="ru-RU"/>
              </w:rPr>
              <w:t xml:space="preserve">. </w:t>
            </w:r>
            <w:proofErr w:type="spellStart"/>
            <w:r w:rsidR="001A7D31" w:rsidRPr="00194296">
              <w:rPr>
                <w:rFonts w:ascii="Times New Roman" w:hAnsi="Times New Roman"/>
                <w:i/>
                <w:sz w:val="28"/>
                <w:szCs w:val="28"/>
                <w:shd w:val="clear" w:color="auto" w:fill="D9D9D9"/>
                <w:lang w:val="ru-RU"/>
              </w:rPr>
              <w:t>Humanitarian</w:t>
            </w:r>
            <w:proofErr w:type="spellEnd"/>
            <w:r w:rsidR="001A7D31" w:rsidRPr="00194296">
              <w:rPr>
                <w:rFonts w:ascii="Times New Roman" w:hAnsi="Times New Roman"/>
                <w:i/>
                <w:sz w:val="28"/>
                <w:szCs w:val="28"/>
                <w:shd w:val="clear" w:color="auto" w:fill="D9D9D9"/>
                <w:lang w:val="ru-RU"/>
              </w:rPr>
              <w:t xml:space="preserve"> </w:t>
            </w:r>
            <w:proofErr w:type="spellStart"/>
            <w:r w:rsidR="001A7D31" w:rsidRPr="00194296">
              <w:rPr>
                <w:rFonts w:ascii="Times New Roman" w:hAnsi="Times New Roman"/>
                <w:i/>
                <w:sz w:val="28"/>
                <w:szCs w:val="28"/>
                <w:shd w:val="clear" w:color="auto" w:fill="D9D9D9"/>
                <w:lang w:val="ru-RU"/>
              </w:rPr>
              <w:t>Practice</w:t>
            </w:r>
            <w:proofErr w:type="spellEnd"/>
            <w:r w:rsidR="001A7D31" w:rsidRPr="00194296">
              <w:rPr>
                <w:rFonts w:ascii="Times New Roman" w:hAnsi="Times New Roman"/>
                <w:i/>
                <w:sz w:val="28"/>
                <w:szCs w:val="28"/>
                <w:shd w:val="clear" w:color="auto" w:fill="D9D9D9"/>
                <w:lang w:val="ru-RU"/>
              </w:rPr>
              <w:t xml:space="preserve"> </w:t>
            </w:r>
            <w:proofErr w:type="spellStart"/>
            <w:r w:rsidR="001A7D31" w:rsidRPr="00194296">
              <w:rPr>
                <w:rFonts w:ascii="Times New Roman" w:hAnsi="Times New Roman"/>
                <w:i/>
                <w:sz w:val="28"/>
                <w:szCs w:val="28"/>
                <w:shd w:val="clear" w:color="auto" w:fill="D9D9D9"/>
                <w:lang w:val="ru-RU"/>
              </w:rPr>
              <w:t>Network</w:t>
            </w:r>
            <w:proofErr w:type="spellEnd"/>
            <w:r w:rsidR="001A7D31" w:rsidRPr="00194296">
              <w:rPr>
                <w:rFonts w:ascii="Times New Roman" w:hAnsi="Times New Roman"/>
                <w:sz w:val="28"/>
                <w:szCs w:val="28"/>
                <w:shd w:val="clear" w:color="auto" w:fill="D9D9D9"/>
                <w:lang w:val="ru-RU"/>
              </w:rPr>
              <w:t xml:space="preserve"> (2011)</w:t>
            </w:r>
            <w:r w:rsidR="001A7D31" w:rsidRPr="0019429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hyperlink r:id="rId10" w:history="1">
              <w:r w:rsidR="001A7D31" w:rsidRPr="00194296">
                <w:rPr>
                  <w:rStyle w:val="af2"/>
                  <w:rFonts w:ascii="Times New Roman" w:hAnsi="Times New Roman"/>
                  <w:sz w:val="28"/>
                  <w:szCs w:val="28"/>
                  <w:lang w:val="ru-RU"/>
                </w:rPr>
                <w:t>http://www.odihpn.org/documents%2Fgpr11.pdf</w:t>
              </w:r>
            </w:hyperlink>
          </w:p>
        </w:tc>
      </w:tr>
    </w:tbl>
    <w:p w14:paraId="6BB28D7B" w14:textId="77777777" w:rsidR="00A74426" w:rsidRPr="00194296" w:rsidRDefault="00A74426" w:rsidP="00CC4944">
      <w:pPr>
        <w:rPr>
          <w:rFonts w:ascii="Times New Roman" w:hAnsi="Times New Roman"/>
          <w:sz w:val="28"/>
          <w:szCs w:val="28"/>
          <w:lang w:val="ru-RU"/>
        </w:rPr>
      </w:pPr>
    </w:p>
    <w:sectPr w:rsidR="00A74426" w:rsidRPr="00194296" w:rsidSect="00CC494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1134" w:bottom="1134" w:left="1134" w:header="708" w:footer="708" w:gutter="0"/>
      <w:cols w:space="708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51185A" w15:done="0"/>
  <w15:commentEx w15:paraId="4EFA6557" w15:done="0"/>
  <w15:commentEx w15:paraId="1DF31AD0" w15:done="0"/>
  <w15:commentEx w15:paraId="5D2B4189" w15:done="0"/>
  <w15:commentEx w15:paraId="2C4DDF14" w15:done="0"/>
  <w15:commentEx w15:paraId="1A4A0D71" w15:done="0"/>
  <w15:commentEx w15:paraId="71FC2149" w15:done="0"/>
  <w15:commentEx w15:paraId="627E32C6" w15:done="0"/>
  <w15:commentEx w15:paraId="42FE9EA7" w15:done="0"/>
  <w15:commentEx w15:paraId="7DE23E1F" w15:done="0"/>
  <w15:commentEx w15:paraId="0803B5C9" w15:done="0"/>
  <w15:commentEx w15:paraId="14A3196C" w15:done="0"/>
  <w15:commentEx w15:paraId="456D97B8" w15:done="0"/>
  <w15:commentEx w15:paraId="6DE68D28" w15:done="0"/>
  <w15:commentEx w15:paraId="1097515F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205BF" w14:textId="77777777" w:rsidR="00457CAF" w:rsidRDefault="00457CAF" w:rsidP="00752615">
      <w:pPr>
        <w:spacing w:after="0"/>
      </w:pPr>
      <w:r>
        <w:separator/>
      </w:r>
    </w:p>
  </w:endnote>
  <w:endnote w:type="continuationSeparator" w:id="0">
    <w:p w14:paraId="5A89E754" w14:textId="77777777" w:rsidR="00457CAF" w:rsidRDefault="00457CAF" w:rsidP="007526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49CDD" w14:textId="77777777" w:rsidR="00457CAF" w:rsidRDefault="00457CAF" w:rsidP="00752615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45275E5" w14:textId="77777777" w:rsidR="00457CAF" w:rsidRDefault="00457CAF" w:rsidP="00752615">
    <w:pPr>
      <w:pStyle w:val="ad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9EF2B" w14:textId="77777777" w:rsidR="00457CAF" w:rsidRPr="00B45C74" w:rsidRDefault="00457CAF" w:rsidP="009878FE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23508D">
      <w:rPr>
        <w:b/>
        <w:noProof/>
        <w:color w:val="808080" w:themeColor="background1" w:themeShade="80"/>
        <w:sz w:val="18"/>
        <w:szCs w:val="18"/>
      </w:rPr>
      <w:t>4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3678FD58" w14:textId="275E1F20" w:rsidR="00457CAF" w:rsidRPr="003A3500" w:rsidRDefault="00457CAF" w:rsidP="009878FE">
    <w:pPr>
      <w:pStyle w:val="ad"/>
    </w:pPr>
    <w:r w:rsidRPr="00107E15">
      <w:rPr>
        <w:b/>
      </w:rPr>
      <w:t xml:space="preserve">Module </w:t>
    </w:r>
    <w:r>
      <w:rPr>
        <w:b/>
      </w:rPr>
      <w:t>2</w:t>
    </w:r>
    <w:r w:rsidRPr="00107E15">
      <w:rPr>
        <w:b/>
      </w:rPr>
      <w:t>.</w:t>
    </w:r>
    <w:r w:rsidRPr="00107E15">
      <w:t xml:space="preserve"> </w:t>
    </w:r>
    <w:r>
      <w:t>Roadmap for assessment</w:t>
    </w:r>
    <w:r w:rsidRPr="00107E15">
      <w:rPr>
        <w:i/>
      </w:rPr>
      <w:fldChar w:fldCharType="begin"/>
    </w:r>
    <w:r w:rsidRPr="00107E15">
      <w:rPr>
        <w:i/>
      </w:rPr>
      <w:instrText xml:space="preserve"> STYLEREF  H1 \t  \* MERGEFORMAT </w:instrText>
    </w:r>
    <w:r w:rsidRPr="00107E15">
      <w:rPr>
        <w:i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01D8F" w14:textId="77777777" w:rsidR="00457CAF" w:rsidRPr="00B45C74" w:rsidRDefault="00457CAF" w:rsidP="009878FE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342ACA32" w14:textId="3A638DB4" w:rsidR="00457CAF" w:rsidRPr="003A3500" w:rsidRDefault="00457CAF" w:rsidP="009878FE">
    <w:pPr>
      <w:pStyle w:val="ad"/>
    </w:pPr>
    <w:r w:rsidRPr="00107E15">
      <w:rPr>
        <w:b/>
      </w:rPr>
      <w:t xml:space="preserve">Module </w:t>
    </w:r>
    <w:r>
      <w:rPr>
        <w:b/>
      </w:rPr>
      <w:t>2</w:t>
    </w:r>
    <w:r w:rsidRPr="00107E15">
      <w:rPr>
        <w:b/>
      </w:rPr>
      <w:t>.</w:t>
    </w:r>
    <w:r w:rsidRPr="00107E15">
      <w:t xml:space="preserve"> </w:t>
    </w:r>
    <w:r w:rsidRPr="00107E15">
      <w:rPr>
        <w:i/>
      </w:rPr>
      <w:fldChar w:fldCharType="begin"/>
    </w:r>
    <w:r w:rsidRPr="00107E15">
      <w:rPr>
        <w:i/>
      </w:rPr>
      <w:instrText xml:space="preserve"> STYLEREF  H1 \t  \* MERGEFORMAT </w:instrText>
    </w:r>
    <w:r w:rsidRPr="00107E15">
      <w:rPr>
        <w:i/>
      </w:rPr>
      <w:fldChar w:fldCharType="separate"/>
    </w:r>
    <w:r>
      <w:rPr>
        <w:i/>
        <w:noProof/>
      </w:rPr>
      <w:t>Дорожная карта по вопросам оценки исходной ситуации</w:t>
    </w:r>
    <w:r w:rsidRPr="00107E15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ED980" w14:textId="77777777" w:rsidR="00457CAF" w:rsidRDefault="00457CAF" w:rsidP="00752615">
      <w:pPr>
        <w:spacing w:after="0"/>
      </w:pPr>
      <w:r>
        <w:separator/>
      </w:r>
    </w:p>
  </w:footnote>
  <w:footnote w:type="continuationSeparator" w:id="0">
    <w:p w14:paraId="18714EC1" w14:textId="77777777" w:rsidR="00457CAF" w:rsidRDefault="00457CAF" w:rsidP="007526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EF852" w14:textId="77777777" w:rsidR="00457CAF" w:rsidRPr="00074036" w:rsidRDefault="00457CAF" w:rsidP="009878FE">
    <w:pPr>
      <w:pStyle w:val="af0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f"/>
        <w:bCs/>
        <w:szCs w:val="16"/>
      </w:rPr>
      <w:t>I</w:t>
    </w:r>
    <w:r w:rsidRPr="009F6986">
      <w:rPr>
        <w:rStyle w:val="af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41CE2" w14:textId="77777777" w:rsidR="00457CAF" w:rsidRDefault="00457CAF" w:rsidP="009878FE">
    <w:pPr>
      <w:pStyle w:val="Header1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164B6662" wp14:editId="65A37113">
          <wp:simplePos x="0" y="0"/>
          <wp:positionH relativeFrom="page">
            <wp:posOffset>1080135</wp:posOffset>
          </wp:positionH>
          <wp:positionV relativeFrom="page">
            <wp:posOffset>377825</wp:posOffset>
          </wp:positionV>
          <wp:extent cx="633730" cy="719512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C_logo_EN-1met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30" cy="719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54CFB7" w14:textId="77777777" w:rsidR="00457CAF" w:rsidRDefault="00457CAF" w:rsidP="009878FE">
    <w:pPr>
      <w:pStyle w:val="Header1"/>
    </w:pPr>
  </w:p>
  <w:p w14:paraId="20B14925" w14:textId="77777777" w:rsidR="00457CAF" w:rsidRDefault="00457CAF" w:rsidP="009878FE">
    <w:pPr>
      <w:pStyle w:val="af0"/>
      <w:rPr>
        <w:color w:val="DC281E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4A35DDF0" wp14:editId="0F901995">
          <wp:simplePos x="0" y="0"/>
          <wp:positionH relativeFrom="page">
            <wp:posOffset>3366135</wp:posOffset>
          </wp:positionH>
          <wp:positionV relativeFrom="page">
            <wp:posOffset>784225</wp:posOffset>
          </wp:positionV>
          <wp:extent cx="3200400" cy="299867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C_logo_EN-1metr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299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4FC39E" w14:textId="77777777" w:rsidR="00457CAF" w:rsidRDefault="00457CAF" w:rsidP="009878FE">
    <w:pPr>
      <w:pStyle w:val="af0"/>
      <w:spacing w:line="240" w:lineRule="auto"/>
      <w:rPr>
        <w:b/>
        <w:color w:val="DC281E"/>
        <w:sz w:val="24"/>
        <w:szCs w:val="24"/>
      </w:rPr>
    </w:pPr>
  </w:p>
  <w:p w14:paraId="2B106090" w14:textId="77777777" w:rsidR="00457CAF" w:rsidRDefault="00457CAF" w:rsidP="009878FE">
    <w:pPr>
      <w:pStyle w:val="af0"/>
      <w:spacing w:line="240" w:lineRule="auto"/>
      <w:rPr>
        <w:b/>
        <w:color w:val="DC281E"/>
        <w:sz w:val="24"/>
        <w:szCs w:val="24"/>
      </w:rPr>
    </w:pPr>
  </w:p>
  <w:p w14:paraId="2E5537D3" w14:textId="4456BCD5" w:rsidR="00457CAF" w:rsidRPr="00194296" w:rsidRDefault="00457CAF" w:rsidP="009878FE">
    <w:pPr>
      <w:pStyle w:val="Header1"/>
      <w:rPr>
        <w:rFonts w:ascii="Arial Bold" w:hAnsi="Arial Bold"/>
        <w:color w:val="DC281E"/>
        <w:lang w:val="ru-RU"/>
      </w:rPr>
    </w:pPr>
    <w:r w:rsidRPr="00194296">
      <w:rPr>
        <w:rFonts w:ascii="Arial Bold" w:hAnsi="Arial Bold"/>
        <w:color w:val="DC281E"/>
        <w:lang w:val="ru-RU"/>
      </w:rPr>
      <w:t>Методические материалы по вопросам предоставления наличных денежных средств в условиях ЧС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837E4"/>
    <w:multiLevelType w:val="hybridMultilevel"/>
    <w:tmpl w:val="B5B091F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02652"/>
    <w:multiLevelType w:val="hybridMultilevel"/>
    <w:tmpl w:val="9CF4AF48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33090"/>
    <w:multiLevelType w:val="hybridMultilevel"/>
    <w:tmpl w:val="62DA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143CF"/>
    <w:multiLevelType w:val="hybridMultilevel"/>
    <w:tmpl w:val="2A8A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26F5B"/>
    <w:multiLevelType w:val="hybridMultilevel"/>
    <w:tmpl w:val="69BCD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77B14"/>
    <w:multiLevelType w:val="hybridMultilevel"/>
    <w:tmpl w:val="F06CEA2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A6745"/>
    <w:multiLevelType w:val="hybridMultilevel"/>
    <w:tmpl w:val="1AE29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A1BEB"/>
    <w:multiLevelType w:val="hybridMultilevel"/>
    <w:tmpl w:val="5BE6E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530CB"/>
    <w:multiLevelType w:val="hybridMultilevel"/>
    <w:tmpl w:val="4EEC0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C6641"/>
    <w:multiLevelType w:val="hybridMultilevel"/>
    <w:tmpl w:val="1BB68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FC7C1F"/>
    <w:multiLevelType w:val="hybridMultilevel"/>
    <w:tmpl w:val="0414D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C0427F"/>
    <w:multiLevelType w:val="hybridMultilevel"/>
    <w:tmpl w:val="9878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B4B7B"/>
    <w:multiLevelType w:val="hybridMultilevel"/>
    <w:tmpl w:val="07CEC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B6D97"/>
    <w:multiLevelType w:val="hybridMultilevel"/>
    <w:tmpl w:val="28B29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A017A4"/>
    <w:multiLevelType w:val="hybridMultilevel"/>
    <w:tmpl w:val="5D34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F0082"/>
    <w:multiLevelType w:val="hybridMultilevel"/>
    <w:tmpl w:val="36F0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613D32"/>
    <w:multiLevelType w:val="hybridMultilevel"/>
    <w:tmpl w:val="BF78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715D68"/>
    <w:multiLevelType w:val="hybridMultilevel"/>
    <w:tmpl w:val="3B021BC8"/>
    <w:lvl w:ilvl="0" w:tplc="1AE64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4B62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78CB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85CE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DCCD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80A7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1C6B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5F48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2E84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1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AF0C6D"/>
    <w:multiLevelType w:val="hybridMultilevel"/>
    <w:tmpl w:val="A74A58C6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683092"/>
    <w:multiLevelType w:val="hybridMultilevel"/>
    <w:tmpl w:val="2964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BB65D5"/>
    <w:multiLevelType w:val="hybridMultilevel"/>
    <w:tmpl w:val="F1D89208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DB7CBF"/>
    <w:multiLevelType w:val="hybridMultilevel"/>
    <w:tmpl w:val="1714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114D40"/>
    <w:multiLevelType w:val="hybridMultilevel"/>
    <w:tmpl w:val="9DCAC83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630977"/>
    <w:multiLevelType w:val="hybridMultilevel"/>
    <w:tmpl w:val="7B12D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13"/>
  </w:num>
  <w:num w:numId="5">
    <w:abstractNumId w:val="27"/>
  </w:num>
  <w:num w:numId="6">
    <w:abstractNumId w:val="12"/>
  </w:num>
  <w:num w:numId="7">
    <w:abstractNumId w:val="16"/>
  </w:num>
  <w:num w:numId="8">
    <w:abstractNumId w:val="8"/>
  </w:num>
  <w:num w:numId="9">
    <w:abstractNumId w:val="29"/>
  </w:num>
  <w:num w:numId="10">
    <w:abstractNumId w:val="19"/>
  </w:num>
  <w:num w:numId="11">
    <w:abstractNumId w:val="20"/>
  </w:num>
  <w:num w:numId="12">
    <w:abstractNumId w:val="24"/>
  </w:num>
  <w:num w:numId="13">
    <w:abstractNumId w:val="26"/>
  </w:num>
  <w:num w:numId="14">
    <w:abstractNumId w:val="6"/>
  </w:num>
  <w:num w:numId="15">
    <w:abstractNumId w:val="25"/>
  </w:num>
  <w:num w:numId="16">
    <w:abstractNumId w:val="2"/>
  </w:num>
  <w:num w:numId="17">
    <w:abstractNumId w:val="1"/>
  </w:num>
  <w:num w:numId="18">
    <w:abstractNumId w:val="28"/>
  </w:num>
  <w:num w:numId="19">
    <w:abstractNumId w:val="15"/>
  </w:num>
  <w:num w:numId="20">
    <w:abstractNumId w:val="9"/>
  </w:num>
  <w:num w:numId="21">
    <w:abstractNumId w:val="4"/>
  </w:num>
  <w:num w:numId="22">
    <w:abstractNumId w:val="10"/>
  </w:num>
  <w:num w:numId="23">
    <w:abstractNumId w:val="14"/>
  </w:num>
  <w:num w:numId="24">
    <w:abstractNumId w:val="7"/>
  </w:num>
  <w:num w:numId="25">
    <w:abstractNumId w:val="5"/>
  </w:num>
  <w:num w:numId="26">
    <w:abstractNumId w:val="0"/>
  </w:num>
  <w:num w:numId="27">
    <w:abstractNumId w:val="17"/>
  </w:num>
  <w:num w:numId="28">
    <w:abstractNumId w:val="21"/>
  </w:num>
  <w:num w:numId="29">
    <w:abstractNumId w:val="23"/>
  </w:num>
  <w:num w:numId="30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aud Devred">
    <w15:presenceInfo w15:providerId="AD" w15:userId="S-1-5-21-2160216369-3329932071-3968528880-48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activeWritingStyle w:appName="MSWord" w:lang="en-US" w:vendorID="64" w:dllVersion="131078" w:nlCheck="1" w:checkStyle="1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40"/>
    <w:rsid w:val="00013F7A"/>
    <w:rsid w:val="00020A52"/>
    <w:rsid w:val="00027318"/>
    <w:rsid w:val="00046C14"/>
    <w:rsid w:val="000504BC"/>
    <w:rsid w:val="00086BFE"/>
    <w:rsid w:val="000B1137"/>
    <w:rsid w:val="000C5544"/>
    <w:rsid w:val="000D6F20"/>
    <w:rsid w:val="000D763F"/>
    <w:rsid w:val="000E7D44"/>
    <w:rsid w:val="000F0CF2"/>
    <w:rsid w:val="00105565"/>
    <w:rsid w:val="00115CAA"/>
    <w:rsid w:val="00132856"/>
    <w:rsid w:val="0014319C"/>
    <w:rsid w:val="00151A19"/>
    <w:rsid w:val="00164825"/>
    <w:rsid w:val="00166F57"/>
    <w:rsid w:val="001726DF"/>
    <w:rsid w:val="00194296"/>
    <w:rsid w:val="001974A9"/>
    <w:rsid w:val="001A7AD5"/>
    <w:rsid w:val="001A7D31"/>
    <w:rsid w:val="001B79C9"/>
    <w:rsid w:val="001C34F7"/>
    <w:rsid w:val="001D07E6"/>
    <w:rsid w:val="001F6441"/>
    <w:rsid w:val="00223CDD"/>
    <w:rsid w:val="0023508D"/>
    <w:rsid w:val="00240B83"/>
    <w:rsid w:val="00250D8F"/>
    <w:rsid w:val="00256A0A"/>
    <w:rsid w:val="002E02BA"/>
    <w:rsid w:val="002E0DA2"/>
    <w:rsid w:val="002E1A1A"/>
    <w:rsid w:val="002F25F9"/>
    <w:rsid w:val="002F689F"/>
    <w:rsid w:val="003006DE"/>
    <w:rsid w:val="00325F32"/>
    <w:rsid w:val="00333EA9"/>
    <w:rsid w:val="00347951"/>
    <w:rsid w:val="00357105"/>
    <w:rsid w:val="00365158"/>
    <w:rsid w:val="00393E25"/>
    <w:rsid w:val="003B6324"/>
    <w:rsid w:val="003C06FD"/>
    <w:rsid w:val="003E030A"/>
    <w:rsid w:val="003F3116"/>
    <w:rsid w:val="00403B20"/>
    <w:rsid w:val="00406965"/>
    <w:rsid w:val="004261DC"/>
    <w:rsid w:val="00434A3D"/>
    <w:rsid w:val="00456081"/>
    <w:rsid w:val="00457CAF"/>
    <w:rsid w:val="00461C1A"/>
    <w:rsid w:val="00481AE0"/>
    <w:rsid w:val="004B6DC5"/>
    <w:rsid w:val="004D4B69"/>
    <w:rsid w:val="004E5BB5"/>
    <w:rsid w:val="004F3661"/>
    <w:rsid w:val="00500382"/>
    <w:rsid w:val="0052353D"/>
    <w:rsid w:val="00527882"/>
    <w:rsid w:val="00537B35"/>
    <w:rsid w:val="00572A6E"/>
    <w:rsid w:val="005838FA"/>
    <w:rsid w:val="00597020"/>
    <w:rsid w:val="005C34AD"/>
    <w:rsid w:val="005D6537"/>
    <w:rsid w:val="005F3235"/>
    <w:rsid w:val="00613D47"/>
    <w:rsid w:val="0062030E"/>
    <w:rsid w:val="00634EBB"/>
    <w:rsid w:val="0064141A"/>
    <w:rsid w:val="006642BE"/>
    <w:rsid w:val="00672155"/>
    <w:rsid w:val="00675145"/>
    <w:rsid w:val="00687489"/>
    <w:rsid w:val="00692218"/>
    <w:rsid w:val="006B3EBE"/>
    <w:rsid w:val="006C2161"/>
    <w:rsid w:val="006D3A93"/>
    <w:rsid w:val="006F4886"/>
    <w:rsid w:val="006F4903"/>
    <w:rsid w:val="00703798"/>
    <w:rsid w:val="00705BD5"/>
    <w:rsid w:val="007141C7"/>
    <w:rsid w:val="007310FA"/>
    <w:rsid w:val="007431FD"/>
    <w:rsid w:val="00752615"/>
    <w:rsid w:val="00761754"/>
    <w:rsid w:val="00764418"/>
    <w:rsid w:val="007B3F81"/>
    <w:rsid w:val="007D1A58"/>
    <w:rsid w:val="007D4C6C"/>
    <w:rsid w:val="0081656A"/>
    <w:rsid w:val="008233E8"/>
    <w:rsid w:val="00853516"/>
    <w:rsid w:val="0088306F"/>
    <w:rsid w:val="008879A4"/>
    <w:rsid w:val="008C2CBC"/>
    <w:rsid w:val="008C3C59"/>
    <w:rsid w:val="008F402F"/>
    <w:rsid w:val="008F5891"/>
    <w:rsid w:val="00906ADA"/>
    <w:rsid w:val="00906ED2"/>
    <w:rsid w:val="00935B48"/>
    <w:rsid w:val="00970049"/>
    <w:rsid w:val="0098546B"/>
    <w:rsid w:val="009878FE"/>
    <w:rsid w:val="00996780"/>
    <w:rsid w:val="009A193F"/>
    <w:rsid w:val="009B5D90"/>
    <w:rsid w:val="009C0717"/>
    <w:rsid w:val="009F21CA"/>
    <w:rsid w:val="00A00201"/>
    <w:rsid w:val="00A24494"/>
    <w:rsid w:val="00A24FD6"/>
    <w:rsid w:val="00A324E8"/>
    <w:rsid w:val="00A336CA"/>
    <w:rsid w:val="00A375FE"/>
    <w:rsid w:val="00A65667"/>
    <w:rsid w:val="00A74426"/>
    <w:rsid w:val="00A87A26"/>
    <w:rsid w:val="00A92250"/>
    <w:rsid w:val="00A94FC1"/>
    <w:rsid w:val="00AF1138"/>
    <w:rsid w:val="00AF3FAA"/>
    <w:rsid w:val="00AF410F"/>
    <w:rsid w:val="00AF426C"/>
    <w:rsid w:val="00B0620E"/>
    <w:rsid w:val="00B3363B"/>
    <w:rsid w:val="00B43740"/>
    <w:rsid w:val="00B51A30"/>
    <w:rsid w:val="00B64371"/>
    <w:rsid w:val="00BA6271"/>
    <w:rsid w:val="00BC241B"/>
    <w:rsid w:val="00BD70D4"/>
    <w:rsid w:val="00BF0FB3"/>
    <w:rsid w:val="00C3322B"/>
    <w:rsid w:val="00C40EDA"/>
    <w:rsid w:val="00C4707A"/>
    <w:rsid w:val="00C714A7"/>
    <w:rsid w:val="00C8540D"/>
    <w:rsid w:val="00CA692F"/>
    <w:rsid w:val="00CB3320"/>
    <w:rsid w:val="00CB4529"/>
    <w:rsid w:val="00CB5FAB"/>
    <w:rsid w:val="00CC068F"/>
    <w:rsid w:val="00CC4944"/>
    <w:rsid w:val="00CF7B24"/>
    <w:rsid w:val="00D00357"/>
    <w:rsid w:val="00D145C8"/>
    <w:rsid w:val="00D16AA1"/>
    <w:rsid w:val="00D171F9"/>
    <w:rsid w:val="00D20B36"/>
    <w:rsid w:val="00D24E98"/>
    <w:rsid w:val="00D25E2D"/>
    <w:rsid w:val="00D4215A"/>
    <w:rsid w:val="00D436BF"/>
    <w:rsid w:val="00D448E8"/>
    <w:rsid w:val="00D528AB"/>
    <w:rsid w:val="00D62AC5"/>
    <w:rsid w:val="00D66145"/>
    <w:rsid w:val="00D712BF"/>
    <w:rsid w:val="00D74972"/>
    <w:rsid w:val="00D97ABF"/>
    <w:rsid w:val="00DC1372"/>
    <w:rsid w:val="00DD1804"/>
    <w:rsid w:val="00DD662A"/>
    <w:rsid w:val="00DE13F0"/>
    <w:rsid w:val="00DE44B4"/>
    <w:rsid w:val="00DF4323"/>
    <w:rsid w:val="00E01226"/>
    <w:rsid w:val="00E0616C"/>
    <w:rsid w:val="00E10038"/>
    <w:rsid w:val="00E46507"/>
    <w:rsid w:val="00E73EE5"/>
    <w:rsid w:val="00E77E9D"/>
    <w:rsid w:val="00F046D4"/>
    <w:rsid w:val="00F2556D"/>
    <w:rsid w:val="00F57C12"/>
    <w:rsid w:val="00F62E0C"/>
    <w:rsid w:val="00F762B7"/>
    <w:rsid w:val="00F80A2D"/>
    <w:rsid w:val="00F96A7B"/>
    <w:rsid w:val="00FA16A0"/>
    <w:rsid w:val="00FB3A9A"/>
    <w:rsid w:val="00FC3568"/>
    <w:rsid w:val="00FD30C8"/>
    <w:rsid w:val="00FF2E2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9229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48"/>
    <w:pPr>
      <w:spacing w:after="120"/>
      <w:jc w:val="both"/>
    </w:pPr>
    <w:rPr>
      <w:rFonts w:ascii="Arial" w:hAnsi="Arial" w:cs="Times New Roman"/>
    </w:rPr>
  </w:style>
  <w:style w:type="paragraph" w:styleId="1">
    <w:name w:val="heading 1"/>
    <w:basedOn w:val="H1"/>
    <w:next w:val="a"/>
    <w:link w:val="10"/>
    <w:uiPriority w:val="9"/>
    <w:rsid w:val="00935B48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35B48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5B48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35B48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a4">
    <w:name w:val="Абзац списка Знак"/>
    <w:basedOn w:val="a0"/>
    <w:link w:val="a3"/>
    <w:uiPriority w:val="34"/>
    <w:rsid w:val="00935B48"/>
    <w:rPr>
      <w:rFonts w:ascii="Arial" w:eastAsiaTheme="minorHAnsi" w:hAnsi="Arial" w:cstheme="minorBidi"/>
      <w:szCs w:val="22"/>
    </w:rPr>
  </w:style>
  <w:style w:type="table" w:styleId="a5">
    <w:name w:val="Table Grid"/>
    <w:basedOn w:val="a1"/>
    <w:uiPriority w:val="59"/>
    <w:rsid w:val="00935B48"/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5B4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935B48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E75DB8"/>
    <w:rPr>
      <w:sz w:val="24"/>
      <w:szCs w:val="24"/>
    </w:rPr>
  </w:style>
  <w:style w:type="character" w:customStyle="1" w:styleId="a8">
    <w:name w:val="Текст комментария Знак"/>
    <w:basedOn w:val="a0"/>
    <w:link w:val="a7"/>
    <w:uiPriority w:val="99"/>
    <w:rsid w:val="00E75DB8"/>
    <w:rPr>
      <w:sz w:val="24"/>
      <w:szCs w:val="24"/>
      <w:lang w:val="en-GB"/>
    </w:rPr>
  </w:style>
  <w:style w:type="paragraph" w:styleId="a9">
    <w:name w:val="annotation subject"/>
    <w:basedOn w:val="a"/>
    <w:link w:val="aa"/>
    <w:uiPriority w:val="99"/>
    <w:semiHidden/>
    <w:unhideWhenUsed/>
    <w:rsid w:val="00935B48"/>
    <w:rPr>
      <w:b/>
      <w:bCs/>
    </w:rPr>
  </w:style>
  <w:style w:type="character" w:customStyle="1" w:styleId="aa">
    <w:name w:val="Тема примечания Знак"/>
    <w:basedOn w:val="a0"/>
    <w:link w:val="a9"/>
    <w:uiPriority w:val="99"/>
    <w:semiHidden/>
    <w:rsid w:val="00935B48"/>
    <w:rPr>
      <w:rFonts w:ascii="Arial" w:hAnsi="Arial"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35B4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35B48"/>
    <w:rPr>
      <w:rFonts w:ascii="Lucida Grande" w:hAnsi="Lucida Grande" w:cs="Lucida Grande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935B48"/>
    <w:pPr>
      <w:spacing w:after="0"/>
      <w:jc w:val="left"/>
    </w:pPr>
    <w:rPr>
      <w:sz w:val="16"/>
      <w:szCs w:val="18"/>
    </w:rPr>
  </w:style>
  <w:style w:type="character" w:customStyle="1" w:styleId="ae">
    <w:name w:val="Нижний колонтитул Знак"/>
    <w:basedOn w:val="a0"/>
    <w:link w:val="ad"/>
    <w:uiPriority w:val="99"/>
    <w:rsid w:val="00935B48"/>
    <w:rPr>
      <w:rFonts w:ascii="Arial" w:hAnsi="Arial" w:cs="Times New Roman"/>
      <w:sz w:val="16"/>
      <w:szCs w:val="18"/>
    </w:rPr>
  </w:style>
  <w:style w:type="character" w:styleId="af">
    <w:name w:val="page number"/>
    <w:basedOn w:val="a0"/>
    <w:uiPriority w:val="99"/>
    <w:unhideWhenUsed/>
    <w:rsid w:val="00935B48"/>
    <w:rPr>
      <w:b/>
    </w:rPr>
  </w:style>
  <w:style w:type="paragraph" w:styleId="af0">
    <w:name w:val="header"/>
    <w:basedOn w:val="a"/>
    <w:link w:val="af1"/>
    <w:uiPriority w:val="99"/>
    <w:unhideWhenUsed/>
    <w:rsid w:val="00935B48"/>
    <w:pPr>
      <w:spacing w:after="0" w:line="288" w:lineRule="auto"/>
      <w:jc w:val="left"/>
    </w:pPr>
    <w:rPr>
      <w:sz w:val="16"/>
    </w:rPr>
  </w:style>
  <w:style w:type="character" w:customStyle="1" w:styleId="af1">
    <w:name w:val="Верхний колонтитул Знак"/>
    <w:basedOn w:val="a0"/>
    <w:link w:val="af0"/>
    <w:uiPriority w:val="99"/>
    <w:rsid w:val="00935B48"/>
    <w:rPr>
      <w:rFonts w:ascii="Arial" w:hAnsi="Arial" w:cs="Times New Roman"/>
      <w:sz w:val="16"/>
    </w:rPr>
  </w:style>
  <w:style w:type="character" w:styleId="af2">
    <w:name w:val="Hyperlink"/>
    <w:basedOn w:val="a0"/>
    <w:uiPriority w:val="99"/>
    <w:unhideWhenUsed/>
    <w:rsid w:val="00935B48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935B48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unhideWhenUsed/>
    <w:rsid w:val="00935B48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935B48"/>
    <w:rPr>
      <w:rFonts w:ascii="Arial" w:hAnsi="Arial" w:cs="Times New Roman"/>
      <w:sz w:val="16"/>
      <w:szCs w:val="22"/>
    </w:rPr>
  </w:style>
  <w:style w:type="character" w:styleId="af6">
    <w:name w:val="footnote reference"/>
    <w:basedOn w:val="a0"/>
    <w:uiPriority w:val="99"/>
    <w:unhideWhenUsed/>
    <w:rsid w:val="00935B48"/>
    <w:rPr>
      <w:vertAlign w:val="superscript"/>
    </w:rPr>
  </w:style>
  <w:style w:type="character" w:customStyle="1" w:styleId="aak">
    <w:name w:val="aak"/>
    <w:basedOn w:val="a0"/>
    <w:rsid w:val="00D16AA1"/>
  </w:style>
  <w:style w:type="character" w:customStyle="1" w:styleId="apple-converted-space">
    <w:name w:val="apple-converted-space"/>
    <w:basedOn w:val="a0"/>
    <w:rsid w:val="00D16AA1"/>
  </w:style>
  <w:style w:type="character" w:customStyle="1" w:styleId="abv">
    <w:name w:val="abv"/>
    <w:basedOn w:val="a0"/>
    <w:rsid w:val="00A74426"/>
  </w:style>
  <w:style w:type="character" w:customStyle="1" w:styleId="10">
    <w:name w:val="Заголовок 1 Знак"/>
    <w:basedOn w:val="a0"/>
    <w:link w:val="1"/>
    <w:uiPriority w:val="9"/>
    <w:rsid w:val="00935B48"/>
    <w:rPr>
      <w:rFonts w:ascii="Arial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935B48"/>
    <w:rPr>
      <w:rFonts w:ascii="Arial" w:hAnsi="Arial" w:cs="Times New Roman"/>
      <w:b/>
      <w:cap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935B48"/>
    <w:rPr>
      <w:rFonts w:ascii="Arial" w:hAnsi="Arial" w:cs="Times New Roman"/>
      <w:b/>
      <w:sz w:val="22"/>
      <w:szCs w:val="24"/>
    </w:rPr>
  </w:style>
  <w:style w:type="paragraph" w:styleId="af7">
    <w:name w:val="Revision"/>
    <w:hidden/>
    <w:uiPriority w:val="99"/>
    <w:semiHidden/>
    <w:rsid w:val="00935B48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935B48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935B48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0C5544"/>
    <w:pPr>
      <w:numPr>
        <w:numId w:val="14"/>
      </w:numPr>
      <w:spacing w:before="60"/>
      <w:ind w:left="714" w:hanging="357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935B48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935B48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f0"/>
    <w:rsid w:val="00935B48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935B48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935B48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935B48"/>
    <w:rPr>
      <w:rFonts w:asciiTheme="minorHAnsi" w:hAnsiTheme="minorHAnsi" w:cs="Times New Roman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rsid w:val="00935B48"/>
    <w:pPr>
      <w:numPr>
        <w:numId w:val="28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a"/>
    <w:rsid w:val="00935B48"/>
    <w:pPr>
      <w:numPr>
        <w:ilvl w:val="1"/>
        <w:numId w:val="26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935B48"/>
    <w:pPr>
      <w:numPr>
        <w:numId w:val="27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935B48"/>
    <w:pPr>
      <w:numPr>
        <w:numId w:val="29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935B48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935B48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935B48"/>
    <w:pPr>
      <w:keepNext/>
      <w:keepLines/>
      <w:framePr w:hSpace="141" w:wrap="around" w:vAnchor="text" w:hAnchor="margin" w:y="402"/>
      <w:numPr>
        <w:numId w:val="30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48"/>
    <w:pPr>
      <w:spacing w:after="120"/>
      <w:jc w:val="both"/>
    </w:pPr>
    <w:rPr>
      <w:rFonts w:ascii="Arial" w:hAnsi="Arial" w:cs="Times New Roman"/>
    </w:rPr>
  </w:style>
  <w:style w:type="paragraph" w:styleId="1">
    <w:name w:val="heading 1"/>
    <w:basedOn w:val="H1"/>
    <w:next w:val="a"/>
    <w:link w:val="10"/>
    <w:uiPriority w:val="9"/>
    <w:rsid w:val="00935B48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35B48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5B48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35B48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a4">
    <w:name w:val="Абзац списка Знак"/>
    <w:basedOn w:val="a0"/>
    <w:link w:val="a3"/>
    <w:uiPriority w:val="34"/>
    <w:rsid w:val="00935B48"/>
    <w:rPr>
      <w:rFonts w:ascii="Arial" w:eastAsiaTheme="minorHAnsi" w:hAnsi="Arial" w:cstheme="minorBidi"/>
      <w:szCs w:val="22"/>
    </w:rPr>
  </w:style>
  <w:style w:type="table" w:styleId="a5">
    <w:name w:val="Table Grid"/>
    <w:basedOn w:val="a1"/>
    <w:uiPriority w:val="59"/>
    <w:rsid w:val="00935B48"/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5B4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935B48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E75DB8"/>
    <w:rPr>
      <w:sz w:val="24"/>
      <w:szCs w:val="24"/>
    </w:rPr>
  </w:style>
  <w:style w:type="character" w:customStyle="1" w:styleId="a8">
    <w:name w:val="Текст комментария Знак"/>
    <w:basedOn w:val="a0"/>
    <w:link w:val="a7"/>
    <w:uiPriority w:val="99"/>
    <w:rsid w:val="00E75DB8"/>
    <w:rPr>
      <w:sz w:val="24"/>
      <w:szCs w:val="24"/>
      <w:lang w:val="en-GB"/>
    </w:rPr>
  </w:style>
  <w:style w:type="paragraph" w:styleId="a9">
    <w:name w:val="annotation subject"/>
    <w:basedOn w:val="a"/>
    <w:link w:val="aa"/>
    <w:uiPriority w:val="99"/>
    <w:semiHidden/>
    <w:unhideWhenUsed/>
    <w:rsid w:val="00935B48"/>
    <w:rPr>
      <w:b/>
      <w:bCs/>
    </w:rPr>
  </w:style>
  <w:style w:type="character" w:customStyle="1" w:styleId="aa">
    <w:name w:val="Тема примечания Знак"/>
    <w:basedOn w:val="a0"/>
    <w:link w:val="a9"/>
    <w:uiPriority w:val="99"/>
    <w:semiHidden/>
    <w:rsid w:val="00935B48"/>
    <w:rPr>
      <w:rFonts w:ascii="Arial" w:hAnsi="Arial"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35B4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35B48"/>
    <w:rPr>
      <w:rFonts w:ascii="Lucida Grande" w:hAnsi="Lucida Grande" w:cs="Lucida Grande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935B48"/>
    <w:pPr>
      <w:spacing w:after="0"/>
      <w:jc w:val="left"/>
    </w:pPr>
    <w:rPr>
      <w:sz w:val="16"/>
      <w:szCs w:val="18"/>
    </w:rPr>
  </w:style>
  <w:style w:type="character" w:customStyle="1" w:styleId="ae">
    <w:name w:val="Нижний колонтитул Знак"/>
    <w:basedOn w:val="a0"/>
    <w:link w:val="ad"/>
    <w:uiPriority w:val="99"/>
    <w:rsid w:val="00935B48"/>
    <w:rPr>
      <w:rFonts w:ascii="Arial" w:hAnsi="Arial" w:cs="Times New Roman"/>
      <w:sz w:val="16"/>
      <w:szCs w:val="18"/>
    </w:rPr>
  </w:style>
  <w:style w:type="character" w:styleId="af">
    <w:name w:val="page number"/>
    <w:basedOn w:val="a0"/>
    <w:uiPriority w:val="99"/>
    <w:unhideWhenUsed/>
    <w:rsid w:val="00935B48"/>
    <w:rPr>
      <w:b/>
    </w:rPr>
  </w:style>
  <w:style w:type="paragraph" w:styleId="af0">
    <w:name w:val="header"/>
    <w:basedOn w:val="a"/>
    <w:link w:val="af1"/>
    <w:uiPriority w:val="99"/>
    <w:unhideWhenUsed/>
    <w:rsid w:val="00935B48"/>
    <w:pPr>
      <w:spacing w:after="0" w:line="288" w:lineRule="auto"/>
      <w:jc w:val="left"/>
    </w:pPr>
    <w:rPr>
      <w:sz w:val="16"/>
    </w:rPr>
  </w:style>
  <w:style w:type="character" w:customStyle="1" w:styleId="af1">
    <w:name w:val="Верхний колонтитул Знак"/>
    <w:basedOn w:val="a0"/>
    <w:link w:val="af0"/>
    <w:uiPriority w:val="99"/>
    <w:rsid w:val="00935B48"/>
    <w:rPr>
      <w:rFonts w:ascii="Arial" w:hAnsi="Arial" w:cs="Times New Roman"/>
      <w:sz w:val="16"/>
    </w:rPr>
  </w:style>
  <w:style w:type="character" w:styleId="af2">
    <w:name w:val="Hyperlink"/>
    <w:basedOn w:val="a0"/>
    <w:uiPriority w:val="99"/>
    <w:unhideWhenUsed/>
    <w:rsid w:val="00935B48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935B48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unhideWhenUsed/>
    <w:rsid w:val="00935B48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935B48"/>
    <w:rPr>
      <w:rFonts w:ascii="Arial" w:hAnsi="Arial" w:cs="Times New Roman"/>
      <w:sz w:val="16"/>
      <w:szCs w:val="22"/>
    </w:rPr>
  </w:style>
  <w:style w:type="character" w:styleId="af6">
    <w:name w:val="footnote reference"/>
    <w:basedOn w:val="a0"/>
    <w:uiPriority w:val="99"/>
    <w:unhideWhenUsed/>
    <w:rsid w:val="00935B48"/>
    <w:rPr>
      <w:vertAlign w:val="superscript"/>
    </w:rPr>
  </w:style>
  <w:style w:type="character" w:customStyle="1" w:styleId="aak">
    <w:name w:val="aak"/>
    <w:basedOn w:val="a0"/>
    <w:rsid w:val="00D16AA1"/>
  </w:style>
  <w:style w:type="character" w:customStyle="1" w:styleId="apple-converted-space">
    <w:name w:val="apple-converted-space"/>
    <w:basedOn w:val="a0"/>
    <w:rsid w:val="00D16AA1"/>
  </w:style>
  <w:style w:type="character" w:customStyle="1" w:styleId="abv">
    <w:name w:val="abv"/>
    <w:basedOn w:val="a0"/>
    <w:rsid w:val="00A74426"/>
  </w:style>
  <w:style w:type="character" w:customStyle="1" w:styleId="10">
    <w:name w:val="Заголовок 1 Знак"/>
    <w:basedOn w:val="a0"/>
    <w:link w:val="1"/>
    <w:uiPriority w:val="9"/>
    <w:rsid w:val="00935B48"/>
    <w:rPr>
      <w:rFonts w:ascii="Arial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935B48"/>
    <w:rPr>
      <w:rFonts w:ascii="Arial" w:hAnsi="Arial" w:cs="Times New Roman"/>
      <w:b/>
      <w:cap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935B48"/>
    <w:rPr>
      <w:rFonts w:ascii="Arial" w:hAnsi="Arial" w:cs="Times New Roman"/>
      <w:b/>
      <w:sz w:val="22"/>
      <w:szCs w:val="24"/>
    </w:rPr>
  </w:style>
  <w:style w:type="paragraph" w:styleId="af7">
    <w:name w:val="Revision"/>
    <w:hidden/>
    <w:uiPriority w:val="99"/>
    <w:semiHidden/>
    <w:rsid w:val="00935B48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935B48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935B48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0C5544"/>
    <w:pPr>
      <w:numPr>
        <w:numId w:val="14"/>
      </w:numPr>
      <w:spacing w:before="60"/>
      <w:ind w:left="714" w:hanging="357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935B48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935B48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f0"/>
    <w:rsid w:val="00935B48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935B48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935B48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935B48"/>
    <w:rPr>
      <w:rFonts w:asciiTheme="minorHAnsi" w:hAnsiTheme="minorHAnsi" w:cs="Times New Roman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rsid w:val="00935B48"/>
    <w:pPr>
      <w:numPr>
        <w:numId w:val="28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a"/>
    <w:rsid w:val="00935B48"/>
    <w:pPr>
      <w:numPr>
        <w:ilvl w:val="1"/>
        <w:numId w:val="26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935B48"/>
    <w:pPr>
      <w:numPr>
        <w:numId w:val="27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935B48"/>
    <w:pPr>
      <w:numPr>
        <w:numId w:val="29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935B48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935B48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935B48"/>
    <w:pPr>
      <w:keepNext/>
      <w:keepLines/>
      <w:framePr w:hSpace="141" w:wrap="around" w:vAnchor="text" w:hAnchor="margin" w:y="402"/>
      <w:numPr>
        <w:numId w:val="30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7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2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6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2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8" Type="http://schemas.microsoft.com/office/2011/relationships/commentsExtended" Target="commentsExtended.xml"/><Relationship Id="rId19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ifrc.org/Global/Publications/disasters/guidelines/guidelines-emergency.pdf" TargetMode="External"/><Relationship Id="rId9" Type="http://schemas.openxmlformats.org/officeDocument/2006/relationships/hyperlink" Target="http://www.ifrc.org/Global/Publications/disasters/vca/how-to-do-vca-en.pdf&#160;" TargetMode="External"/><Relationship Id="rId10" Type="http://schemas.openxmlformats.org/officeDocument/2006/relationships/hyperlink" Target="http://www.odihpn.org/documents%2Fgpr11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114</TotalTime>
  <Pages>5</Pages>
  <Words>1391</Words>
  <Characters>7935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Pantaleo Creti</dc:creator>
  <cp:lastModifiedBy>Мария</cp:lastModifiedBy>
  <cp:revision>38</cp:revision>
  <cp:lastPrinted>2015-09-23T00:43:00Z</cp:lastPrinted>
  <dcterms:created xsi:type="dcterms:W3CDTF">2015-09-23T00:18:00Z</dcterms:created>
  <dcterms:modified xsi:type="dcterms:W3CDTF">2017-04-06T19:27:00Z</dcterms:modified>
</cp:coreProperties>
</file>