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0364" w14:textId="6F2B6609" w:rsidR="00DC11CA" w:rsidRPr="00426641" w:rsidRDefault="00EE6B4C" w:rsidP="00DD01F6">
      <w:pPr>
        <w:pStyle w:val="H1"/>
        <w:rPr>
          <w:rFonts w:ascii="Times New Roman" w:hAnsi="Times New Roman"/>
          <w:lang w:val="ru-RU"/>
        </w:rPr>
      </w:pPr>
      <w:r w:rsidRPr="00426641">
        <w:rPr>
          <w:rFonts w:ascii="Times New Roman" w:hAnsi="Times New Roman"/>
          <w:lang w:val="ru-RU"/>
        </w:rPr>
        <w:t>Дорож</w:t>
      </w:r>
      <w:r w:rsidR="00426641">
        <w:rPr>
          <w:rFonts w:ascii="Times New Roman" w:hAnsi="Times New Roman"/>
          <w:lang w:val="ru-RU"/>
        </w:rPr>
        <w:t>ная карта по вопросам разработки</w:t>
      </w:r>
      <w:r w:rsidRPr="00426641">
        <w:rPr>
          <w:rFonts w:ascii="Times New Roman" w:hAnsi="Times New Roman"/>
          <w:lang w:val="ru-RU"/>
        </w:rPr>
        <w:t xml:space="preserve"> и реализации программ</w:t>
      </w:r>
    </w:p>
    <w:p w14:paraId="66FF5A11" w14:textId="6BD952BC" w:rsidR="004D2F62" w:rsidRPr="00426641" w:rsidRDefault="00CD37D3" w:rsidP="00E6778B">
      <w:pPr>
        <w:spacing w:before="360" w:after="240"/>
        <w:ind w:left="-170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pict w14:anchorId="69747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249.7pt">
            <v:imagedata r:id="rId8" o:title="01-Preparedness-rodmap-EN2"/>
          </v:shape>
        </w:pict>
      </w:r>
    </w:p>
    <w:p w14:paraId="1DF500A7" w14:textId="272ED6C4" w:rsidR="00DC11CA" w:rsidRPr="00426641" w:rsidRDefault="00FB39DC" w:rsidP="00DD01F6">
      <w:pPr>
        <w:pStyle w:val="2"/>
        <w:rPr>
          <w:rFonts w:ascii="Times New Roman" w:hAnsi="Times New Roman"/>
          <w:lang w:val="ru-RU"/>
        </w:rPr>
      </w:pPr>
      <w:r w:rsidRPr="00426641">
        <w:rPr>
          <w:rFonts w:ascii="Times New Roman" w:hAnsi="Times New Roman"/>
          <w:lang w:val="ru-RU"/>
        </w:rPr>
        <w:t>ВВЕДЕНИЕ</w:t>
      </w:r>
    </w:p>
    <w:p w14:paraId="2AAE7E05" w14:textId="2EA86A63" w:rsidR="00C46F40" w:rsidRPr="00426641" w:rsidRDefault="007202C1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Для того, чтобы после ЧС своевременно и масштабно осуществить операции реагирования, подразумевающие предоставление наличных денежных средств,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7649D2">
        <w:rPr>
          <w:rFonts w:ascii="Times New Roman" w:hAnsi="Times New Roman"/>
          <w:sz w:val="28"/>
          <w:szCs w:val="28"/>
          <w:lang w:val="ru-RU"/>
        </w:rPr>
        <w:t xml:space="preserve">производить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>уч</w:t>
      </w:r>
      <w:r w:rsidR="007649D2">
        <w:rPr>
          <w:rFonts w:ascii="Times New Roman" w:hAnsi="Times New Roman"/>
          <w:sz w:val="28"/>
          <w:szCs w:val="28"/>
          <w:lang w:val="ru-RU"/>
        </w:rPr>
        <w:t xml:space="preserve">ет </w:t>
      </w:r>
      <w:r w:rsidRPr="00426641">
        <w:rPr>
          <w:rFonts w:ascii="Times New Roman" w:hAnsi="Times New Roman"/>
          <w:sz w:val="28"/>
          <w:szCs w:val="28"/>
          <w:lang w:val="ru-RU"/>
        </w:rPr>
        <w:t>все</w:t>
      </w:r>
      <w:r w:rsidR="007649D2">
        <w:rPr>
          <w:rFonts w:ascii="Times New Roman" w:hAnsi="Times New Roman"/>
          <w:sz w:val="28"/>
          <w:szCs w:val="28"/>
          <w:lang w:val="ru-RU"/>
        </w:rPr>
        <w:t>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49D2">
        <w:rPr>
          <w:rFonts w:ascii="Times New Roman" w:hAnsi="Times New Roman"/>
          <w:sz w:val="28"/>
          <w:szCs w:val="28"/>
          <w:lang w:val="ru-RU"/>
        </w:rPr>
        <w:t xml:space="preserve">связанных с этим аспектов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на протяжении всего подготовительного периода. Данная дорожная карта </w:t>
      </w:r>
      <w:r w:rsidR="00102444" w:rsidRPr="00426641">
        <w:rPr>
          <w:rFonts w:ascii="Times New Roman" w:hAnsi="Times New Roman"/>
          <w:sz w:val="28"/>
          <w:szCs w:val="28"/>
          <w:lang w:val="ru-RU"/>
        </w:rPr>
        <w:t xml:space="preserve">посвящена проблемам разработки минимальных внутренних условий для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102444" w:rsidRPr="00426641">
        <w:rPr>
          <w:rFonts w:ascii="Times New Roman" w:hAnsi="Times New Roman"/>
          <w:sz w:val="28"/>
          <w:szCs w:val="28"/>
          <w:lang w:val="ru-RU"/>
        </w:rPr>
        <w:t xml:space="preserve"> готовности к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="007649D2">
        <w:rPr>
          <w:rFonts w:ascii="Times New Roman" w:hAnsi="Times New Roman"/>
          <w:sz w:val="28"/>
          <w:szCs w:val="28"/>
          <w:lang w:val="ru-RU"/>
        </w:rPr>
        <w:t xml:space="preserve"> ПДП, внедрения</w:t>
      </w:r>
      <w:r w:rsidR="00102444" w:rsidRPr="00426641">
        <w:rPr>
          <w:rFonts w:ascii="Times New Roman" w:hAnsi="Times New Roman"/>
          <w:sz w:val="28"/>
          <w:szCs w:val="28"/>
          <w:lang w:val="ru-RU"/>
        </w:rPr>
        <w:t xml:space="preserve"> ПДП в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>основные</w:t>
      </w:r>
      <w:r w:rsidR="00102444" w:rsidRPr="00426641">
        <w:rPr>
          <w:rFonts w:ascii="Times New Roman" w:hAnsi="Times New Roman"/>
          <w:sz w:val="28"/>
          <w:szCs w:val="28"/>
          <w:lang w:val="ru-RU"/>
        </w:rPr>
        <w:t xml:space="preserve"> области деятельности, и реализации плана готовности к осуществление ПДП</w:t>
      </w:r>
      <w:r w:rsidR="00B51EF7" w:rsidRPr="004266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3B1A246" w14:textId="5A918FD1" w:rsidR="00D733EE" w:rsidRPr="00426641" w:rsidRDefault="00102444" w:rsidP="00D733E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С</w:t>
      </w:r>
      <w:r w:rsidR="00EE49D6" w:rsidRPr="00426641">
        <w:rPr>
          <w:rFonts w:ascii="Times New Roman" w:hAnsi="Times New Roman"/>
          <w:sz w:val="28"/>
          <w:szCs w:val="28"/>
          <w:lang w:val="ru-RU"/>
        </w:rPr>
        <w:t>труктура до</w:t>
      </w:r>
      <w:r w:rsidRPr="00426641">
        <w:rPr>
          <w:rFonts w:ascii="Times New Roman" w:hAnsi="Times New Roman"/>
          <w:sz w:val="28"/>
          <w:szCs w:val="28"/>
          <w:lang w:val="ru-RU"/>
        </w:rPr>
        <w:t>р</w:t>
      </w:r>
      <w:r w:rsidR="00EE49D6" w:rsidRPr="00426641">
        <w:rPr>
          <w:rFonts w:ascii="Times New Roman" w:hAnsi="Times New Roman"/>
          <w:sz w:val="28"/>
          <w:szCs w:val="28"/>
          <w:lang w:val="ru-RU"/>
        </w:rPr>
        <w:t>о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жной карты </w:t>
      </w:r>
      <w:r w:rsidR="007649D2" w:rsidRPr="00426641">
        <w:rPr>
          <w:rFonts w:ascii="Times New Roman" w:hAnsi="Times New Roman"/>
          <w:sz w:val="28"/>
          <w:szCs w:val="28"/>
          <w:lang w:val="ru-RU"/>
        </w:rPr>
        <w:t>соответствует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структуре раздела “Разработка и осуществление программ” </w:t>
      </w:r>
      <w:r w:rsidRPr="00426641">
        <w:rPr>
          <w:rFonts w:ascii="Times New Roman" w:hAnsi="Times New Roman"/>
          <w:i/>
          <w:sz w:val="28"/>
          <w:szCs w:val="28"/>
          <w:lang w:val="ru-RU"/>
        </w:rPr>
        <w:t>Руководящих указаний Международного движения Красного Креста и Красного Полумесяца по вопросам разработки и внедрения программ денежных переводов (ПДП)</w:t>
      </w:r>
      <w:r w:rsidR="00EE49D6" w:rsidRPr="0042664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E49D6" w:rsidRPr="00426641">
        <w:rPr>
          <w:rFonts w:ascii="Times New Roman" w:hAnsi="Times New Roman"/>
          <w:sz w:val="28"/>
          <w:szCs w:val="28"/>
          <w:lang w:val="ru-RU"/>
        </w:rPr>
        <w:t xml:space="preserve">и охватывает все их подразделы, в которых описываются необходимые в работе инструменты. </w:t>
      </w:r>
      <w:r w:rsidR="00D733EE" w:rsidRPr="00426641">
        <w:rPr>
          <w:rFonts w:ascii="Times New Roman" w:hAnsi="Times New Roman"/>
          <w:sz w:val="28"/>
          <w:szCs w:val="28"/>
          <w:lang w:val="ru-RU"/>
        </w:rPr>
        <w:t>Может случиться так, что вам не удастся использовать все предлагаемые инструменты. В таком случае следует, по меньше м</w:t>
      </w:r>
      <w:r w:rsidR="0077591D">
        <w:rPr>
          <w:rFonts w:ascii="Times New Roman" w:hAnsi="Times New Roman"/>
          <w:sz w:val="28"/>
          <w:szCs w:val="28"/>
          <w:lang w:val="ru-RU"/>
        </w:rPr>
        <w:t xml:space="preserve">ере, обеспечить соблюдение </w:t>
      </w:r>
      <w:r w:rsidR="00D733EE" w:rsidRPr="00426641">
        <w:rPr>
          <w:rFonts w:ascii="Times New Roman" w:hAnsi="Times New Roman"/>
          <w:sz w:val="28"/>
          <w:szCs w:val="28"/>
          <w:lang w:val="ru-RU"/>
        </w:rPr>
        <w:t xml:space="preserve">минимальных стандартов, установленных для каждого этапа программы. </w:t>
      </w:r>
    </w:p>
    <w:p w14:paraId="0B5F7677" w14:textId="02FB09BF" w:rsidR="00102444" w:rsidRPr="00426641" w:rsidRDefault="00102444" w:rsidP="00D249AE">
      <w:pPr>
        <w:rPr>
          <w:rFonts w:ascii="Times New Roman" w:hAnsi="Times New Roman"/>
          <w:sz w:val="28"/>
          <w:szCs w:val="28"/>
          <w:lang w:val="ru-RU"/>
        </w:rPr>
      </w:pPr>
    </w:p>
    <w:p w14:paraId="54F4469D" w14:textId="48818833" w:rsidR="00DC11CA" w:rsidRPr="00426641" w:rsidRDefault="00D733EE" w:rsidP="00DD01F6">
      <w:pPr>
        <w:pStyle w:val="2"/>
        <w:rPr>
          <w:rFonts w:ascii="Times New Roman" w:hAnsi="Times New Roman"/>
          <w:lang w:val="ru-RU"/>
        </w:rPr>
      </w:pPr>
      <w:r w:rsidRPr="00426641">
        <w:rPr>
          <w:rFonts w:ascii="Times New Roman" w:hAnsi="Times New Roman"/>
          <w:lang w:val="ru-RU"/>
        </w:rPr>
        <w:t>МИНИМАЛЬНЫЕ СТАНДАРТЫ</w:t>
      </w:r>
    </w:p>
    <w:p w14:paraId="3A45D4F2" w14:textId="26866A6E" w:rsidR="00F950FD" w:rsidRPr="00426641" w:rsidRDefault="00D733EE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В самом начале процесса подготовки долж</w:t>
      </w:r>
      <w:r w:rsidR="002D72CF">
        <w:rPr>
          <w:rFonts w:ascii="Times New Roman" w:hAnsi="Times New Roman"/>
          <w:sz w:val="28"/>
          <w:szCs w:val="28"/>
          <w:lang w:val="ru-RU"/>
        </w:rPr>
        <w:t>ен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быть </w:t>
      </w:r>
      <w:r w:rsidR="002D72CF">
        <w:rPr>
          <w:rFonts w:ascii="Times New Roman" w:hAnsi="Times New Roman"/>
          <w:sz w:val="28"/>
          <w:szCs w:val="28"/>
          <w:lang w:val="ru-RU"/>
        </w:rPr>
        <w:t>назначен координатор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по вопросам осуществления ПДП</w:t>
      </w:r>
      <w:r w:rsidR="00A32BBB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24070E93" w14:textId="20A0FDD7" w:rsidR="009143C6" w:rsidRPr="00426641" w:rsidRDefault="00D733EE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="002D72CF" w:rsidRPr="00426641">
        <w:rPr>
          <w:rFonts w:ascii="Times New Roman" w:hAnsi="Times New Roman"/>
          <w:sz w:val="28"/>
          <w:szCs w:val="28"/>
          <w:lang w:val="ru-RU"/>
        </w:rPr>
        <w:t>руководством</w:t>
      </w:r>
      <w:r w:rsidR="00E27D02">
        <w:rPr>
          <w:rFonts w:ascii="Times New Roman" w:hAnsi="Times New Roman"/>
          <w:sz w:val="28"/>
          <w:szCs w:val="28"/>
          <w:lang w:val="ru-RU"/>
        </w:rPr>
        <w:t xml:space="preserve"> координатора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должна быт</w:t>
      </w:r>
      <w:r w:rsidR="00E27D02">
        <w:rPr>
          <w:rFonts w:ascii="Times New Roman" w:hAnsi="Times New Roman"/>
          <w:sz w:val="28"/>
          <w:szCs w:val="28"/>
          <w:lang w:val="ru-RU"/>
        </w:rPr>
        <w:t>ь сформирована Техническая рабо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чая группа по ПДП (ТРГ), состоящая из представителей всех департаментов,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участвующих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в осуществлении ПДП</w:t>
      </w:r>
      <w:r w:rsidR="006048E8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3DC6DBE5" w14:textId="4F8FE8A2" w:rsidR="00586CE2" w:rsidRPr="00426641" w:rsidRDefault="00317CA7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ТРГ должна координировать работу по разработке Плана </w:t>
      </w:r>
      <w:r w:rsidR="00E27D02">
        <w:rPr>
          <w:rFonts w:ascii="Times New Roman" w:hAnsi="Times New Roman"/>
          <w:sz w:val="28"/>
          <w:szCs w:val="28"/>
          <w:lang w:val="ru-RU"/>
        </w:rPr>
        <w:t xml:space="preserve">по обеспечению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готовности, в котором четко прописаны </w:t>
      </w:r>
      <w:r w:rsidR="00E27D02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виды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краткосрочные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индикаторы, зоны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ответственности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временные рамки и бюджет. </w:t>
      </w:r>
    </w:p>
    <w:p w14:paraId="10EEA667" w14:textId="7C21BC21" w:rsidR="00586CE2" w:rsidRPr="00426641" w:rsidRDefault="00AB35BF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ТРГ должна координировать усилия по разработке стандартных оперативных процедур (СОП</w:t>
      </w:r>
      <w:r w:rsidR="00DB57DB" w:rsidRPr="00426641">
        <w:rPr>
          <w:rFonts w:ascii="Times New Roman" w:hAnsi="Times New Roman"/>
          <w:sz w:val="28"/>
          <w:szCs w:val="28"/>
          <w:lang w:val="ru-RU"/>
        </w:rPr>
        <w:t>).</w:t>
      </w:r>
    </w:p>
    <w:p w14:paraId="788425CC" w14:textId="41303D06" w:rsidR="00586CE2" w:rsidRPr="00426641" w:rsidRDefault="003746BA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ПДП </w:t>
      </w:r>
      <w:r w:rsidR="00E27D02">
        <w:rPr>
          <w:rFonts w:ascii="Times New Roman" w:hAnsi="Times New Roman"/>
          <w:sz w:val="28"/>
          <w:szCs w:val="28"/>
          <w:lang w:val="ru-RU"/>
        </w:rPr>
        <w:t>должны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быть внедрены в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статические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планы, планы действий на случай ЧС и планы оперативного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реагирования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 включать в себя такие аспекты, как кадровая политика, финансирование, мониторинг и оценка и мобилизация ресурсов. </w:t>
      </w:r>
    </w:p>
    <w:p w14:paraId="6B335AD3" w14:textId="4A88FE90" w:rsidR="00586CE2" w:rsidRPr="00426641" w:rsidRDefault="003746BA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Для проверки оперативной готовности должны</w:t>
      </w:r>
      <w:r w:rsidR="003C4F46" w:rsidRPr="00426641">
        <w:rPr>
          <w:rFonts w:ascii="Times New Roman" w:hAnsi="Times New Roman"/>
          <w:sz w:val="28"/>
          <w:szCs w:val="28"/>
          <w:lang w:val="ru-RU"/>
        </w:rPr>
        <w:t xml:space="preserve"> провод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иться </w:t>
      </w:r>
      <w:r w:rsidR="00F80D75" w:rsidRPr="00426641">
        <w:rPr>
          <w:rFonts w:ascii="Times New Roman" w:hAnsi="Times New Roman"/>
          <w:sz w:val="28"/>
          <w:szCs w:val="28"/>
          <w:lang w:val="ru-RU"/>
        </w:rPr>
        <w:t xml:space="preserve">периодические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учения или </w:t>
      </w:r>
      <w:r w:rsidR="00E27D02" w:rsidRPr="00426641">
        <w:rPr>
          <w:rFonts w:ascii="Times New Roman" w:hAnsi="Times New Roman"/>
          <w:sz w:val="28"/>
          <w:szCs w:val="28"/>
          <w:lang w:val="ru-RU"/>
        </w:rPr>
        <w:t>одушевляться</w:t>
      </w:r>
      <w:r w:rsidR="00F80D75" w:rsidRPr="00426641">
        <w:rPr>
          <w:rFonts w:ascii="Times New Roman" w:hAnsi="Times New Roman"/>
          <w:sz w:val="28"/>
          <w:szCs w:val="28"/>
          <w:lang w:val="ru-RU"/>
        </w:rPr>
        <w:t xml:space="preserve"> пилотные инициативы</w:t>
      </w:r>
      <w:r w:rsidR="006048E8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4FDF8BAE" w14:textId="0E5B0F80" w:rsidR="004D2F62" w:rsidRPr="00426641" w:rsidRDefault="00F80D75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Координация ПДП </w:t>
      </w:r>
      <w:r w:rsidR="00E27D02">
        <w:rPr>
          <w:rFonts w:ascii="Times New Roman" w:hAnsi="Times New Roman"/>
          <w:sz w:val="28"/>
          <w:szCs w:val="28"/>
          <w:lang w:val="ru-RU"/>
        </w:rPr>
        <w:t>должна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осуществляться на внутреннем уровне, а также подразумевать участие внешних заинтересованных сторон, таких как органы власти, финансовые доноры</w:t>
      </w:r>
      <w:r w:rsidR="00E27D02">
        <w:rPr>
          <w:rFonts w:ascii="Times New Roman" w:hAnsi="Times New Roman"/>
          <w:sz w:val="28"/>
          <w:szCs w:val="28"/>
          <w:lang w:val="ru-RU"/>
        </w:rPr>
        <w:t xml:space="preserve"> и другие гуманитарные организации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4873212B" w14:textId="1BCBE6D7" w:rsidR="004D2F62" w:rsidRPr="00426641" w:rsidRDefault="00A40F97" w:rsidP="00E6778B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ПДП должны быть включены в регулярные стратегии и планы информационного взаимодействия, и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особенно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в системы информационного взаимодействия с бенефициарами и системы отчетности</w:t>
      </w:r>
      <w:r w:rsidR="004D2F62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5D19DEB3" w14:textId="497027EC" w:rsidR="002F04B7" w:rsidRPr="00426641" w:rsidRDefault="00A40F97" w:rsidP="00DD01F6">
      <w:pPr>
        <w:pStyle w:val="2"/>
        <w:rPr>
          <w:rFonts w:ascii="Times New Roman" w:hAnsi="Times New Roman"/>
          <w:w w:val="102"/>
          <w:lang w:val="ru-RU"/>
        </w:rPr>
      </w:pPr>
      <w:r w:rsidRPr="00426641">
        <w:rPr>
          <w:rFonts w:ascii="Times New Roman" w:hAnsi="Times New Roman"/>
          <w:w w:val="102"/>
          <w:lang w:val="ru-RU"/>
        </w:rPr>
        <w:t>ПРОМЕЖУТОЧНЫЕ ШАГИ И ИНСТРУМЕНТЫ</w:t>
      </w:r>
    </w:p>
    <w:p w14:paraId="1369250E" w14:textId="67D10185" w:rsidR="00AD05AA" w:rsidRPr="00801E88" w:rsidRDefault="00F7575A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801E88">
        <w:rPr>
          <w:rFonts w:ascii="Times New Roman" w:hAnsi="Times New Roman"/>
          <w:sz w:val="32"/>
          <w:szCs w:val="32"/>
          <w:lang w:val="ru-RU"/>
        </w:rPr>
        <w:t>Формирование</w:t>
      </w:r>
      <w:r w:rsidR="00A40F97" w:rsidRPr="00801E88">
        <w:rPr>
          <w:rFonts w:ascii="Times New Roman" w:hAnsi="Times New Roman"/>
          <w:sz w:val="32"/>
          <w:szCs w:val="32"/>
          <w:lang w:val="ru-RU"/>
        </w:rPr>
        <w:t xml:space="preserve"> координационной группы по </w:t>
      </w:r>
      <w:r w:rsidR="003840A8" w:rsidRPr="00801E88">
        <w:rPr>
          <w:rFonts w:ascii="Times New Roman" w:hAnsi="Times New Roman"/>
          <w:sz w:val="32"/>
          <w:szCs w:val="32"/>
          <w:lang w:val="ru-RU"/>
        </w:rPr>
        <w:t>осуществлению</w:t>
      </w:r>
      <w:r w:rsidR="00A40F97" w:rsidRPr="00801E88">
        <w:rPr>
          <w:rFonts w:ascii="Times New Roman" w:hAnsi="Times New Roman"/>
          <w:sz w:val="32"/>
          <w:szCs w:val="32"/>
          <w:lang w:val="ru-RU"/>
        </w:rPr>
        <w:t xml:space="preserve"> ПДП в НО  </w:t>
      </w:r>
    </w:p>
    <w:p w14:paraId="7EE4EF33" w14:textId="5AE83EA0" w:rsidR="007A2F5D" w:rsidRPr="00426641" w:rsidRDefault="00EE2A84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После того, как будет принято решение о повышении оперативной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готовности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ПДП, необходимо создать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одноименную</w:t>
      </w:r>
      <w:r w:rsidR="003840A8">
        <w:rPr>
          <w:rFonts w:ascii="Times New Roman" w:hAnsi="Times New Roman"/>
          <w:sz w:val="28"/>
          <w:szCs w:val="28"/>
          <w:lang w:val="ru-RU"/>
        </w:rPr>
        <w:t xml:space="preserve"> координационную группу.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В ее задачи 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будет входить популяризация ПДП, привлечение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заинтересованных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 сторон, эффективная координация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действий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информационное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 взаимодействие. Руководитель такой координационной группы должен также возгла</w:t>
      </w:r>
      <w:r w:rsidR="003840A8">
        <w:rPr>
          <w:rFonts w:ascii="Times New Roman" w:hAnsi="Times New Roman"/>
          <w:sz w:val="28"/>
          <w:szCs w:val="28"/>
          <w:lang w:val="ru-RU"/>
        </w:rPr>
        <w:t>вить Техническую рабочую группу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 и осуществлять адвокационную деятельность как на внешнем, так и на внутреннем уровне, 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lastRenderedPageBreak/>
        <w:t>участвуя в тематический встречах по ПДП, сетевых ин</w:t>
      </w:r>
      <w:r w:rsidR="003840A8">
        <w:rPr>
          <w:rFonts w:ascii="Times New Roman" w:hAnsi="Times New Roman"/>
          <w:sz w:val="28"/>
          <w:szCs w:val="28"/>
          <w:lang w:val="ru-RU"/>
        </w:rPr>
        <w:t xml:space="preserve">ициативах, работе межотраслевых </w:t>
      </w:r>
      <w:r w:rsidR="003110AC" w:rsidRPr="00426641">
        <w:rPr>
          <w:rFonts w:ascii="Times New Roman" w:hAnsi="Times New Roman"/>
          <w:sz w:val="28"/>
          <w:szCs w:val="28"/>
          <w:lang w:val="ru-RU"/>
        </w:rPr>
        <w:t xml:space="preserve">технических рабочих групп, встречах с финансовыми донорами, а также региональных и международных встречах, по мере необходимости. </w:t>
      </w:r>
      <w:r w:rsidR="008A6EFD" w:rsidRPr="00426641">
        <w:rPr>
          <w:rFonts w:ascii="Times New Roman" w:hAnsi="Times New Roman"/>
          <w:sz w:val="28"/>
          <w:szCs w:val="28"/>
          <w:lang w:val="ru-RU"/>
        </w:rPr>
        <w:t>В Руководящих указани</w:t>
      </w:r>
      <w:r w:rsidR="00F7575A" w:rsidRPr="00426641">
        <w:rPr>
          <w:rFonts w:ascii="Times New Roman" w:hAnsi="Times New Roman"/>
          <w:sz w:val="28"/>
          <w:szCs w:val="28"/>
          <w:lang w:val="ru-RU"/>
        </w:rPr>
        <w:t>ях</w:t>
      </w:r>
      <w:r w:rsidR="003840A8">
        <w:rPr>
          <w:rFonts w:ascii="Times New Roman" w:hAnsi="Times New Roman"/>
          <w:sz w:val="28"/>
          <w:szCs w:val="28"/>
          <w:lang w:val="ru-RU"/>
        </w:rPr>
        <w:t xml:space="preserve"> по вопросам предоставления наличных денежных средств в условиях ЧС</w:t>
      </w:r>
      <w:r w:rsidR="0087406A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575A" w:rsidRPr="00426641">
        <w:rPr>
          <w:rFonts w:ascii="Times New Roman" w:hAnsi="Times New Roman"/>
          <w:sz w:val="28"/>
          <w:szCs w:val="28"/>
          <w:lang w:val="ru-RU"/>
        </w:rPr>
        <w:t xml:space="preserve">приводятся технические задания для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координационной</w:t>
      </w:r>
      <w:r w:rsidR="00F7575A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0A8" w:rsidRPr="00426641">
        <w:rPr>
          <w:rFonts w:ascii="Times New Roman" w:hAnsi="Times New Roman"/>
          <w:sz w:val="28"/>
          <w:szCs w:val="28"/>
          <w:lang w:val="ru-RU"/>
        </w:rPr>
        <w:t>группы</w:t>
      </w:r>
      <w:r w:rsidR="00F7575A" w:rsidRPr="00426641">
        <w:rPr>
          <w:rFonts w:ascii="Times New Roman" w:hAnsi="Times New Roman"/>
          <w:sz w:val="28"/>
          <w:szCs w:val="28"/>
          <w:lang w:val="ru-RU"/>
        </w:rPr>
        <w:t xml:space="preserve"> по ПДП</w:t>
      </w:r>
      <w:r w:rsidR="004F2A15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663B9484" w14:textId="29111872" w:rsidR="004B33D9" w:rsidRPr="00426641" w:rsidRDefault="00F7575A" w:rsidP="00290958">
      <w:pPr>
        <w:pStyle w:val="3"/>
        <w:rPr>
          <w:rFonts w:ascii="Times New Roman" w:hAnsi="Times New Roman"/>
          <w:lang w:val="ru-RU"/>
        </w:rPr>
      </w:pPr>
      <w:r w:rsidRPr="00426641">
        <w:rPr>
          <w:rFonts w:ascii="Times New Roman" w:hAnsi="Times New Roman"/>
          <w:lang w:val="ru-RU"/>
        </w:rPr>
        <w:t xml:space="preserve">Формирование технической рабочей группы по ПДП </w:t>
      </w:r>
      <w:r w:rsidR="004B33D9" w:rsidRPr="00426641">
        <w:rPr>
          <w:rFonts w:ascii="Times New Roman" w:hAnsi="Times New Roman"/>
          <w:lang w:val="ru-RU"/>
        </w:rPr>
        <w:t xml:space="preserve"> </w:t>
      </w:r>
      <w:r w:rsidRPr="00426641">
        <w:rPr>
          <w:rFonts w:ascii="Times New Roman" w:hAnsi="Times New Roman"/>
          <w:lang w:val="ru-RU"/>
        </w:rPr>
        <w:t>(ТРГ)</w:t>
      </w:r>
    </w:p>
    <w:p w14:paraId="2C48162E" w14:textId="32B2D4F9" w:rsidR="00F7575A" w:rsidRPr="00426641" w:rsidRDefault="00F7575A" w:rsidP="00D249AE">
      <w:pPr>
        <w:rPr>
          <w:rFonts w:ascii="Times New Roman" w:hAnsi="Times New Roman"/>
          <w:sz w:val="28"/>
          <w:szCs w:val="28"/>
          <w:lang w:val="ru-RU" w:eastAsia="en-GB"/>
        </w:rPr>
      </w:pP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Необходимо сформировать ТРГ по ПДП. В ее задачи входит определение и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согласование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видов деятельности, которые необходимо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включить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в План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>. Главой Технической рабочей группы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, объединяющей представителей разных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департаментов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, 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которые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участвуют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в осуществлении ПДП, 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должен 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>являт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>ь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>ся руководител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ь координационной группы по ПДП. Для участия в работе ТРГ можно также пригласить членов правления, координаторов программ или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вспомогательных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 служб, сотрудников и добровольцев, имеющих опыт </w:t>
      </w:r>
      <w:r w:rsidR="00002A34">
        <w:rPr>
          <w:rFonts w:ascii="Times New Roman" w:hAnsi="Times New Roman"/>
          <w:sz w:val="28"/>
          <w:szCs w:val="28"/>
          <w:lang w:val="ru-RU" w:eastAsia="en-GB"/>
        </w:rPr>
        <w:t>осуществления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ПДП, представителей разных отраслей, партнеров Движения и, возможно, представителей других внешних организаций, имеющих </w:t>
      </w:r>
      <w:r w:rsidR="00002A34" w:rsidRPr="00426641">
        <w:rPr>
          <w:rFonts w:ascii="Times New Roman" w:hAnsi="Times New Roman"/>
          <w:sz w:val="28"/>
          <w:szCs w:val="28"/>
          <w:lang w:val="ru-RU" w:eastAsia="en-GB"/>
        </w:rPr>
        <w:t>соответствующий</w:t>
      </w:r>
      <w:r w:rsidR="00CC1889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опыт. 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 </w:t>
      </w:r>
      <w:r w:rsidR="002B4980" w:rsidRPr="00426641">
        <w:rPr>
          <w:rFonts w:ascii="Times New Roman" w:hAnsi="Times New Roman"/>
          <w:sz w:val="28"/>
          <w:szCs w:val="28"/>
          <w:lang w:val="ru-RU" w:eastAsia="en-GB"/>
        </w:rPr>
        <w:t>Для разработки Технического задания может быть целесообразным использовать инструмент “Важнейшие обязанности ТРГ по ПДП”.</w:t>
      </w:r>
    </w:p>
    <w:p w14:paraId="00607016" w14:textId="74A08BF5" w:rsidR="00DB3355" w:rsidRPr="00801E88" w:rsidRDefault="002B4980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801E88">
        <w:rPr>
          <w:rFonts w:ascii="Times New Roman" w:hAnsi="Times New Roman"/>
          <w:sz w:val="32"/>
          <w:szCs w:val="32"/>
          <w:lang w:val="ru-RU"/>
        </w:rPr>
        <w:t xml:space="preserve">Разработка плана действий по обеспечению готовности к осуществлению ПДП </w:t>
      </w:r>
    </w:p>
    <w:p w14:paraId="0991BF92" w14:textId="6C1CFBC5" w:rsidR="00D6293D" w:rsidRPr="00426641" w:rsidRDefault="00D6293D" w:rsidP="00D249AE">
      <w:pPr>
        <w:rPr>
          <w:rFonts w:ascii="Times New Roman" w:hAnsi="Times New Roman"/>
          <w:sz w:val="28"/>
          <w:szCs w:val="28"/>
          <w:lang w:val="ru-RU" w:eastAsia="en-GB"/>
        </w:rPr>
      </w:pPr>
      <w:r w:rsidRPr="00426641">
        <w:rPr>
          <w:rFonts w:ascii="Times New Roman" w:hAnsi="Times New Roman"/>
          <w:sz w:val="28"/>
          <w:szCs w:val="28"/>
          <w:lang w:val="ru-RU" w:eastAsia="en-GB"/>
        </w:rPr>
        <w:t>План действий по обеспечению готовности к осуществлению ПДП долже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 xml:space="preserve">н быть реалистичным 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и соотносится со всеми существующими планами п обеспечению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готовности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к ЧС и 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 xml:space="preserve">общими 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>планами готов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>ности. Он должен включать в себя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перечень видов деятельности,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краткосрочные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результаты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, индикаторы, схему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разделения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обязанностей</w:t>
      </w: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, временные рамки и бюджет. Это позволит организовать своевременное и крупномасштабное осуществление ПДП в случае ЧС. 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ТРГ несет ответственность за определение первоочередных целей и краткосрочных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результатов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и должна представить на одобрение проект Плана действий. ТРГ также несет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ответственность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за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реализацию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и мониторинг выполнения принятого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Плана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>. При этом координацию и управление общим процессом работы осуществляет координационная группа по ПДП, обеспечив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>ая согласованное взаимодействие различных звеньев процесс</w:t>
      </w:r>
      <w:r w:rsidR="00C51E7B" w:rsidRPr="00426641">
        <w:rPr>
          <w:rFonts w:ascii="Times New Roman" w:hAnsi="Times New Roman"/>
          <w:sz w:val="28"/>
          <w:szCs w:val="28"/>
          <w:lang w:val="ru-RU" w:eastAsia="en-GB"/>
        </w:rPr>
        <w:t xml:space="preserve">а, а также отчитываясь за свою работу перед старшим руководством. 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>В Руководящих указаниях по вопросам предоставления наличных денежных средств в условиях ЧС</w:t>
      </w:r>
      <w:r w:rsidR="00BD7DEC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есть шаблоны Плана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BD7DEC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для обеспечения готовности к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осуществлению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 xml:space="preserve"> ПДП, который</w:t>
      </w:r>
      <w:r w:rsidR="00BD7DEC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включают в себя логическую матрицу, план </w:t>
      </w:r>
      <w:r w:rsidR="00801E88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BD7DEC" w:rsidRPr="00426641">
        <w:rPr>
          <w:rFonts w:ascii="Times New Roman" w:hAnsi="Times New Roman"/>
          <w:sz w:val="28"/>
          <w:szCs w:val="28"/>
          <w:lang w:val="ru-RU" w:eastAsia="en-GB"/>
        </w:rPr>
        <w:t>, проект бюджет</w:t>
      </w:r>
      <w:r w:rsidR="00801E88">
        <w:rPr>
          <w:rFonts w:ascii="Times New Roman" w:hAnsi="Times New Roman"/>
          <w:sz w:val="28"/>
          <w:szCs w:val="28"/>
          <w:lang w:val="ru-RU" w:eastAsia="en-GB"/>
        </w:rPr>
        <w:t>а, а также диаграмму Гант</w:t>
      </w:r>
      <w:r w:rsidR="00BD7DEC" w:rsidRPr="00426641">
        <w:rPr>
          <w:rFonts w:ascii="Times New Roman" w:hAnsi="Times New Roman"/>
          <w:sz w:val="28"/>
          <w:szCs w:val="28"/>
          <w:lang w:val="ru-RU" w:eastAsia="en-GB"/>
        </w:rPr>
        <w:t xml:space="preserve">а. </w:t>
      </w:r>
    </w:p>
    <w:p w14:paraId="5F66D24C" w14:textId="297AD6DD" w:rsidR="00A84F2B" w:rsidRPr="00801E88" w:rsidRDefault="00BD7DEC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801E88">
        <w:rPr>
          <w:rFonts w:ascii="Times New Roman" w:hAnsi="Times New Roman"/>
          <w:sz w:val="32"/>
          <w:szCs w:val="32"/>
          <w:lang w:val="ru-RU"/>
        </w:rPr>
        <w:t xml:space="preserve">Разработка стандартных оперативных процедур (СОП) по ПДП </w:t>
      </w:r>
    </w:p>
    <w:p w14:paraId="01A546C5" w14:textId="004BD325" w:rsidR="00BD7DEC" w:rsidRPr="00426641" w:rsidRDefault="00BD7DEC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СОП могут способствовать повышению скорости выполнения программы, </w:t>
      </w:r>
      <w:r w:rsidR="00801E88">
        <w:rPr>
          <w:rFonts w:ascii="Times New Roman" w:hAnsi="Times New Roman"/>
          <w:sz w:val="28"/>
          <w:szCs w:val="28"/>
          <w:lang w:val="ru-RU"/>
        </w:rPr>
        <w:t xml:space="preserve">а также высокому уровню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эффективности</w:t>
      </w:r>
      <w:r w:rsidR="00801E88">
        <w:rPr>
          <w:rFonts w:ascii="Times New Roman" w:hAnsi="Times New Roman"/>
          <w:sz w:val="28"/>
          <w:szCs w:val="28"/>
          <w:lang w:val="ru-RU"/>
        </w:rPr>
        <w:t xml:space="preserve"> и отчетности посредством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641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предоставления простых и четких инструкций по </w:t>
      </w:r>
      <w:r w:rsidR="00801E88">
        <w:rPr>
          <w:rFonts w:ascii="Times New Roman" w:hAnsi="Times New Roman"/>
          <w:sz w:val="28"/>
          <w:szCs w:val="28"/>
          <w:lang w:val="ru-RU"/>
        </w:rPr>
        <w:t>реализации процессов, связанных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 ПДП. Они должны</w:t>
      </w:r>
      <w:r w:rsidR="00801E88">
        <w:rPr>
          <w:rFonts w:ascii="Times New Roman" w:hAnsi="Times New Roman"/>
          <w:sz w:val="28"/>
          <w:szCs w:val="28"/>
          <w:lang w:val="ru-RU"/>
        </w:rPr>
        <w:t xml:space="preserve"> описывать роли и обязанности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поддерживать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процесс принятия решений для каждого из департаментов,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участвующих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в процессе подготовки и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ПДП. ТРГ по ПДП должна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возглавить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процесс разработки СОП. По мере разработки и одобр</w:t>
      </w:r>
      <w:r w:rsidR="00801E88">
        <w:rPr>
          <w:rFonts w:ascii="Times New Roman" w:hAnsi="Times New Roman"/>
          <w:sz w:val="28"/>
          <w:szCs w:val="28"/>
          <w:lang w:val="ru-RU"/>
        </w:rPr>
        <w:t>ения, СОП необходимо  протестировать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801E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практике и </w:t>
      </w:r>
      <w:r w:rsidR="00801E88">
        <w:rPr>
          <w:rFonts w:ascii="Times New Roman" w:hAnsi="Times New Roman"/>
          <w:sz w:val="28"/>
          <w:szCs w:val="28"/>
          <w:lang w:val="ru-RU"/>
        </w:rPr>
        <w:t>усовершенствовать. Для с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отрудников и добровольцев </w:t>
      </w:r>
      <w:r w:rsidR="00801E88">
        <w:rPr>
          <w:rFonts w:ascii="Times New Roman" w:hAnsi="Times New Roman"/>
          <w:sz w:val="28"/>
          <w:szCs w:val="28"/>
          <w:lang w:val="ru-RU"/>
        </w:rPr>
        <w:t>должно быть организовано непрерывное обучение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. К числу инструментов, предлагаемых на данном этапе, </w:t>
      </w:r>
      <w:r w:rsidR="00801E88" w:rsidRPr="00426641">
        <w:rPr>
          <w:rFonts w:ascii="Times New Roman" w:hAnsi="Times New Roman"/>
          <w:sz w:val="28"/>
          <w:szCs w:val="28"/>
          <w:lang w:val="ru-RU"/>
        </w:rPr>
        <w:t>относятся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шаблон СОП , практический пример, а также комплект обучающих материалов. </w:t>
      </w:r>
    </w:p>
    <w:p w14:paraId="48249C4C" w14:textId="70FFF14A" w:rsidR="00AD05AA" w:rsidRPr="005638C8" w:rsidRDefault="00BD7DEC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5638C8">
        <w:rPr>
          <w:rFonts w:ascii="Times New Roman" w:hAnsi="Times New Roman"/>
          <w:sz w:val="32"/>
          <w:szCs w:val="32"/>
          <w:lang w:val="ru-RU"/>
        </w:rPr>
        <w:t xml:space="preserve">Внедрение ПДП в </w:t>
      </w:r>
      <w:r w:rsidR="005638C8" w:rsidRPr="005638C8">
        <w:rPr>
          <w:rFonts w:ascii="Times New Roman" w:hAnsi="Times New Roman"/>
          <w:sz w:val="32"/>
          <w:szCs w:val="32"/>
          <w:lang w:val="ru-RU"/>
        </w:rPr>
        <w:t>стратегические</w:t>
      </w:r>
      <w:r w:rsidRPr="005638C8">
        <w:rPr>
          <w:rFonts w:ascii="Times New Roman" w:hAnsi="Times New Roman"/>
          <w:sz w:val="32"/>
          <w:szCs w:val="32"/>
          <w:lang w:val="ru-RU"/>
        </w:rPr>
        <w:t xml:space="preserve"> планы, планы готовности </w:t>
      </w:r>
      <w:r w:rsidR="005638C8" w:rsidRPr="005638C8">
        <w:rPr>
          <w:rFonts w:ascii="Times New Roman" w:hAnsi="Times New Roman"/>
          <w:sz w:val="32"/>
          <w:szCs w:val="32"/>
          <w:lang w:val="ru-RU"/>
        </w:rPr>
        <w:t>н</w:t>
      </w:r>
      <w:r w:rsidRPr="005638C8">
        <w:rPr>
          <w:rFonts w:ascii="Times New Roman" w:hAnsi="Times New Roman"/>
          <w:sz w:val="32"/>
          <w:szCs w:val="32"/>
          <w:lang w:val="ru-RU"/>
        </w:rPr>
        <w:t xml:space="preserve">а случай ЧС и планы реагирования </w:t>
      </w:r>
      <w:r w:rsidR="00AD05AA" w:rsidRPr="005638C8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2F9B2530" w14:textId="04AB87F6" w:rsidR="001567D6" w:rsidRPr="00426641" w:rsidRDefault="00BD7DEC" w:rsidP="00D249AE">
      <w:pPr>
        <w:rPr>
          <w:rFonts w:ascii="Times New Roman" w:hAnsi="Times New Roman"/>
          <w:sz w:val="28"/>
          <w:szCs w:val="28"/>
          <w:lang w:val="ru-RU" w:eastAsia="en-GB"/>
        </w:rPr>
      </w:pPr>
      <w:r w:rsidRPr="00426641">
        <w:rPr>
          <w:rFonts w:ascii="Times New Roman" w:hAnsi="Times New Roman"/>
          <w:sz w:val="28"/>
          <w:szCs w:val="28"/>
          <w:lang w:val="ru-RU" w:eastAsia="en-GB"/>
        </w:rPr>
        <w:t xml:space="preserve">Важно разработать и 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внедрить варианты осуществления ПДП </w:t>
      </w:r>
      <w:r w:rsidR="005638C8">
        <w:rPr>
          <w:rFonts w:ascii="Times New Roman" w:hAnsi="Times New Roman"/>
          <w:sz w:val="28"/>
          <w:szCs w:val="28"/>
          <w:lang w:val="ru-RU" w:eastAsia="en-GB"/>
        </w:rPr>
        <w:t>на всех уровнях в рамках общего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стратегического планирования, планов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готовности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, планов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на случай ЧС и планов экстренного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реагирования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>, а также содействовать укреплению</w:t>
      </w:r>
      <w:r w:rsidR="005638C8">
        <w:rPr>
          <w:rFonts w:ascii="Times New Roman" w:hAnsi="Times New Roman"/>
          <w:sz w:val="28"/>
          <w:szCs w:val="28"/>
          <w:lang w:val="ru-RU" w:eastAsia="en-GB"/>
        </w:rPr>
        <w:t xml:space="preserve"> потенциала ПДП, чтобы повысить уровень доверия и готовности к осуществлению ПДП в широких масштабах. В числе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предлагаемых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инструментов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="005638C8">
        <w:rPr>
          <w:rFonts w:ascii="Times New Roman" w:hAnsi="Times New Roman"/>
          <w:sz w:val="28"/>
          <w:szCs w:val="28"/>
          <w:lang w:val="ru-RU" w:eastAsia="en-GB"/>
        </w:rPr>
        <w:t>- шаблон по разработке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плана </w:t>
      </w:r>
      <w:r w:rsidR="005638C8" w:rsidRPr="00426641">
        <w:rPr>
          <w:rFonts w:ascii="Times New Roman" w:hAnsi="Times New Roman"/>
          <w:sz w:val="28"/>
          <w:szCs w:val="28"/>
          <w:lang w:val="ru-RU" w:eastAsia="en-GB"/>
        </w:rPr>
        <w:t>действий</w:t>
      </w:r>
      <w:r w:rsidR="001567D6" w:rsidRPr="00426641">
        <w:rPr>
          <w:rFonts w:ascii="Times New Roman" w:hAnsi="Times New Roman"/>
          <w:sz w:val="28"/>
          <w:szCs w:val="28"/>
          <w:lang w:val="ru-RU" w:eastAsia="en-GB"/>
        </w:rPr>
        <w:t xml:space="preserve"> на случай ЧС.</w:t>
      </w:r>
    </w:p>
    <w:p w14:paraId="7B207BA7" w14:textId="07F7D20D" w:rsidR="004B33D9" w:rsidRPr="005638C8" w:rsidRDefault="001567D6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5638C8">
        <w:rPr>
          <w:rFonts w:ascii="Times New Roman" w:hAnsi="Times New Roman"/>
          <w:sz w:val="32"/>
          <w:szCs w:val="32"/>
          <w:lang w:val="ru-RU" w:eastAsia="en-GB"/>
        </w:rPr>
        <w:t>Внедрение ПДП в систему кадрового обеспечения</w:t>
      </w:r>
    </w:p>
    <w:p w14:paraId="03CDAD80" w14:textId="6D42C79B" w:rsidR="001567D6" w:rsidRPr="00426641" w:rsidRDefault="001567D6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Расширение потенциала сотрудников и добровольцев по </w:t>
      </w:r>
      <w:r w:rsidR="00BB3D72" w:rsidRPr="00426641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ПДП играет основопола</w:t>
      </w:r>
      <w:r w:rsidR="00BB3D72">
        <w:rPr>
          <w:rFonts w:ascii="Times New Roman" w:hAnsi="Times New Roman"/>
          <w:sz w:val="28"/>
          <w:szCs w:val="28"/>
          <w:lang w:val="ru-RU"/>
        </w:rPr>
        <w:t>гающую роль для повышения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потенциала реагирования </w:t>
      </w:r>
      <w:r w:rsidR="00BB3D72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ПДП. Обучение по ПДП </w:t>
      </w:r>
      <w:r w:rsidR="00BB3D72" w:rsidRPr="00426641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не только </w:t>
      </w:r>
      <w:r w:rsidR="00BB3D72" w:rsidRPr="00426641">
        <w:rPr>
          <w:rFonts w:ascii="Times New Roman" w:hAnsi="Times New Roman"/>
          <w:sz w:val="28"/>
          <w:szCs w:val="28"/>
          <w:lang w:val="ru-RU"/>
        </w:rPr>
        <w:t>сотрудникам</w:t>
      </w:r>
      <w:r w:rsidR="00BB3D72">
        <w:rPr>
          <w:rFonts w:ascii="Times New Roman" w:hAnsi="Times New Roman"/>
          <w:sz w:val="28"/>
          <w:szCs w:val="28"/>
          <w:lang w:val="ru-RU"/>
        </w:rPr>
        <w:t xml:space="preserve"> и добровольцам групп оперативного реаги</w:t>
      </w:r>
      <w:r w:rsidRPr="00426641">
        <w:rPr>
          <w:rFonts w:ascii="Times New Roman" w:hAnsi="Times New Roman"/>
          <w:sz w:val="28"/>
          <w:szCs w:val="28"/>
          <w:lang w:val="ru-RU"/>
        </w:rPr>
        <w:t>ро</w:t>
      </w:r>
      <w:r w:rsidR="00BB3D72">
        <w:rPr>
          <w:rFonts w:ascii="Times New Roman" w:hAnsi="Times New Roman"/>
          <w:sz w:val="28"/>
          <w:szCs w:val="28"/>
          <w:lang w:val="ru-RU"/>
        </w:rPr>
        <w:t>ва</w:t>
      </w:r>
      <w:r w:rsidRPr="00426641">
        <w:rPr>
          <w:rFonts w:ascii="Times New Roman" w:hAnsi="Times New Roman"/>
          <w:sz w:val="28"/>
          <w:szCs w:val="28"/>
          <w:lang w:val="ru-RU"/>
        </w:rPr>
        <w:t>ния, но также сотрудникам вспомогательных департаментов -  логистики, финансов и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информационного </w:t>
      </w:r>
      <w:r w:rsidR="00BB3D72" w:rsidRPr="00426641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>, чтобы они обладали хоро</w:t>
      </w:r>
      <w:r w:rsidR="00BB3D72">
        <w:rPr>
          <w:rFonts w:ascii="Times New Roman" w:hAnsi="Times New Roman"/>
          <w:sz w:val="28"/>
          <w:szCs w:val="28"/>
          <w:lang w:val="ru-RU"/>
        </w:rPr>
        <w:t>ш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им пониманием потребностей, ограничений и процессов, связанных с осуществлением ПДП. Для </w:t>
      </w:r>
      <w:r w:rsidR="008A0E05" w:rsidRPr="00426641">
        <w:rPr>
          <w:rFonts w:ascii="Times New Roman" w:hAnsi="Times New Roman"/>
          <w:sz w:val="28"/>
          <w:szCs w:val="28"/>
          <w:lang w:val="ru-RU"/>
        </w:rPr>
        <w:t>проведения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тренингов по ПДП Дв</w:t>
      </w:r>
      <w:r w:rsidR="008A0E05">
        <w:rPr>
          <w:rFonts w:ascii="Times New Roman" w:hAnsi="Times New Roman"/>
          <w:sz w:val="28"/>
          <w:szCs w:val="28"/>
          <w:lang w:val="ru-RU"/>
        </w:rPr>
        <w:t>ижением был разработан целый ряд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E05" w:rsidRPr="00426641">
        <w:rPr>
          <w:rFonts w:ascii="Times New Roman" w:hAnsi="Times New Roman"/>
          <w:sz w:val="28"/>
          <w:szCs w:val="28"/>
          <w:lang w:val="ru-RU"/>
        </w:rPr>
        <w:t>материалов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>. Они доступны как в интерактивном режиме, так и в</w:t>
      </w:r>
      <w:r w:rsidR="008A0E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рамках очных образовательных мероприятий. Важно заранее заложить в бюджет проведение </w:t>
      </w:r>
      <w:r w:rsidR="008A0E05" w:rsidRPr="00426641">
        <w:rPr>
          <w:rFonts w:ascii="Times New Roman" w:hAnsi="Times New Roman"/>
          <w:sz w:val="28"/>
          <w:szCs w:val="28"/>
          <w:lang w:val="ru-RU"/>
        </w:rPr>
        <w:t>тренингов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по ПДП и </w:t>
      </w:r>
      <w:r w:rsidR="008A0E05" w:rsidRPr="00426641">
        <w:rPr>
          <w:rFonts w:ascii="Times New Roman" w:hAnsi="Times New Roman"/>
          <w:sz w:val="28"/>
          <w:szCs w:val="28"/>
          <w:lang w:val="ru-RU"/>
        </w:rPr>
        <w:t>осуществление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деятельности по </w:t>
      </w:r>
      <w:r w:rsidR="008A0E05" w:rsidRPr="00426641">
        <w:rPr>
          <w:rFonts w:ascii="Times New Roman" w:hAnsi="Times New Roman"/>
          <w:sz w:val="28"/>
          <w:szCs w:val="28"/>
          <w:lang w:val="ru-RU"/>
        </w:rPr>
        <w:t>развитию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 потенциала.  К числу предлагаемых инструментов относятся план по развитию потенциала и рамочная концепция</w:t>
      </w:r>
      <w:r w:rsidR="008A0E05">
        <w:rPr>
          <w:rFonts w:ascii="Times New Roman" w:hAnsi="Times New Roman"/>
          <w:sz w:val="28"/>
          <w:szCs w:val="28"/>
          <w:lang w:val="ru-RU"/>
        </w:rPr>
        <w:t xml:space="preserve"> компетен</w:t>
      </w:r>
      <w:r w:rsidR="00D7638F">
        <w:rPr>
          <w:rFonts w:ascii="Times New Roman" w:hAnsi="Times New Roman"/>
          <w:sz w:val="28"/>
          <w:szCs w:val="28"/>
          <w:lang w:val="ru-RU"/>
        </w:rPr>
        <w:t>тн</w:t>
      </w:r>
      <w:r w:rsidR="008A0E05">
        <w:rPr>
          <w:rFonts w:ascii="Times New Roman" w:hAnsi="Times New Roman"/>
          <w:sz w:val="28"/>
          <w:szCs w:val="28"/>
          <w:lang w:val="ru-RU"/>
        </w:rPr>
        <w:t>ости</w:t>
      </w:r>
      <w:r w:rsidR="00572225" w:rsidRPr="004266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B1D87B9" w14:textId="0D0C7AD9" w:rsidR="004B33D9" w:rsidRDefault="00572225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D7638F">
        <w:rPr>
          <w:rFonts w:ascii="Times New Roman" w:hAnsi="Times New Roman"/>
          <w:sz w:val="32"/>
          <w:szCs w:val="32"/>
          <w:lang w:val="ru-RU"/>
        </w:rPr>
        <w:t xml:space="preserve">Внедрение ПДП в финансовую систему </w:t>
      </w:r>
    </w:p>
    <w:p w14:paraId="358FEB4D" w14:textId="77777777" w:rsidR="00D7638F" w:rsidRPr="00D7638F" w:rsidRDefault="00D7638F" w:rsidP="00D7638F"/>
    <w:p w14:paraId="65FC60D9" w14:textId="14BA53F3" w:rsidR="00572225" w:rsidRPr="00426641" w:rsidRDefault="00572225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Как правило</w:t>
      </w:r>
      <w:r w:rsidR="00DB57DB" w:rsidRPr="00426641">
        <w:rPr>
          <w:rFonts w:ascii="Times New Roman" w:hAnsi="Times New Roman"/>
          <w:sz w:val="28"/>
          <w:szCs w:val="28"/>
          <w:lang w:val="ru-RU"/>
        </w:rPr>
        <w:t>,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системы </w:t>
      </w:r>
      <w:r w:rsidR="00D7638F" w:rsidRPr="00426641">
        <w:rPr>
          <w:rFonts w:ascii="Times New Roman" w:hAnsi="Times New Roman"/>
          <w:sz w:val="28"/>
          <w:szCs w:val="28"/>
          <w:lang w:val="ru-RU"/>
        </w:rPr>
        <w:t>логистики</w:t>
      </w:r>
      <w:r w:rsidRPr="00426641">
        <w:rPr>
          <w:rFonts w:ascii="Times New Roman" w:hAnsi="Times New Roman"/>
          <w:sz w:val="28"/>
          <w:szCs w:val="28"/>
          <w:lang w:val="ru-RU"/>
        </w:rPr>
        <w:t>, администрирования и финансов</w:t>
      </w:r>
      <w:r w:rsidR="00D7638F">
        <w:rPr>
          <w:rFonts w:ascii="Times New Roman" w:hAnsi="Times New Roman"/>
          <w:sz w:val="28"/>
          <w:szCs w:val="28"/>
          <w:lang w:val="ru-RU"/>
        </w:rPr>
        <w:t xml:space="preserve"> разработаны с учетом потребностей </w:t>
      </w:r>
      <w:r w:rsidR="000D468B" w:rsidRPr="00426641">
        <w:rPr>
          <w:rFonts w:ascii="Times New Roman" w:hAnsi="Times New Roman"/>
          <w:sz w:val="28"/>
          <w:szCs w:val="28"/>
          <w:lang w:val="ru-RU"/>
        </w:rPr>
        <w:t xml:space="preserve">операций </w:t>
      </w:r>
      <w:r w:rsidR="00D7638F" w:rsidRPr="00426641">
        <w:rPr>
          <w:rFonts w:ascii="Times New Roman" w:hAnsi="Times New Roman"/>
          <w:sz w:val="28"/>
          <w:szCs w:val="28"/>
          <w:lang w:val="ru-RU"/>
        </w:rPr>
        <w:t>реагирования</w:t>
      </w:r>
      <w:r w:rsidR="000D468B" w:rsidRPr="00426641">
        <w:rPr>
          <w:rFonts w:ascii="Times New Roman" w:hAnsi="Times New Roman"/>
          <w:sz w:val="28"/>
          <w:szCs w:val="28"/>
          <w:lang w:val="ru-RU"/>
        </w:rPr>
        <w:t>, подразумевающи</w:t>
      </w:r>
      <w:r w:rsidR="00D7638F">
        <w:rPr>
          <w:rFonts w:ascii="Times New Roman" w:hAnsi="Times New Roman"/>
          <w:sz w:val="28"/>
          <w:szCs w:val="28"/>
          <w:lang w:val="ru-RU"/>
        </w:rPr>
        <w:t>х раздачу вещественной помощи. Предусмотренные в них ограничения могут оказаться</w:t>
      </w:r>
      <w:r w:rsidR="000D468B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38F">
        <w:rPr>
          <w:rFonts w:ascii="Times New Roman" w:hAnsi="Times New Roman"/>
          <w:sz w:val="28"/>
          <w:szCs w:val="28"/>
          <w:lang w:val="ru-RU"/>
        </w:rPr>
        <w:t xml:space="preserve">чрезмерными </w:t>
      </w:r>
      <w:r w:rsidR="000D468B" w:rsidRPr="00426641">
        <w:rPr>
          <w:rFonts w:ascii="Times New Roman" w:hAnsi="Times New Roman"/>
          <w:sz w:val="28"/>
          <w:szCs w:val="28"/>
          <w:lang w:val="ru-RU"/>
        </w:rPr>
        <w:t xml:space="preserve">для осуществления ПДП в условиях ЧС. </w:t>
      </w:r>
    </w:p>
    <w:p w14:paraId="06EC7703" w14:textId="32171375" w:rsidR="00F370A9" w:rsidRPr="00426641" w:rsidRDefault="000D468B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Осуществление программ денежных переводов часто за</w:t>
      </w:r>
      <w:r w:rsidR="00D7638F">
        <w:rPr>
          <w:rFonts w:ascii="Times New Roman" w:hAnsi="Times New Roman"/>
          <w:sz w:val="28"/>
          <w:szCs w:val="28"/>
          <w:lang w:val="ru-RU"/>
        </w:rPr>
        <w:t>висит от эффективности партнерства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 организациями-операторами или поставщицами услуг. По этой </w:t>
      </w:r>
      <w:r w:rsidRPr="00426641">
        <w:rPr>
          <w:rFonts w:ascii="Times New Roman" w:hAnsi="Times New Roman"/>
          <w:sz w:val="28"/>
          <w:szCs w:val="28"/>
          <w:lang w:val="ru-RU"/>
        </w:rPr>
        <w:lastRenderedPageBreak/>
        <w:t>причине</w:t>
      </w:r>
      <w:r w:rsidR="00D7638F">
        <w:rPr>
          <w:rFonts w:ascii="Times New Roman" w:hAnsi="Times New Roman"/>
          <w:sz w:val="28"/>
          <w:szCs w:val="28"/>
          <w:lang w:val="ru-RU"/>
        </w:rPr>
        <w:t>,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на этапе подготовки ПДП необходимо предпринять первичные </w:t>
      </w:r>
      <w:r w:rsidR="00D7638F">
        <w:rPr>
          <w:rFonts w:ascii="Times New Roman" w:hAnsi="Times New Roman"/>
          <w:sz w:val="28"/>
          <w:szCs w:val="28"/>
          <w:lang w:val="ru-RU"/>
        </w:rPr>
        <w:t>шаги для выявления подходящих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партнеро</w:t>
      </w:r>
      <w:r w:rsidR="00D7638F">
        <w:rPr>
          <w:rFonts w:ascii="Times New Roman" w:hAnsi="Times New Roman"/>
          <w:sz w:val="28"/>
          <w:szCs w:val="28"/>
          <w:lang w:val="ru-RU"/>
        </w:rPr>
        <w:t>в</w:t>
      </w:r>
      <w:r w:rsidRPr="00426641">
        <w:rPr>
          <w:rFonts w:ascii="Times New Roman" w:hAnsi="Times New Roman"/>
          <w:sz w:val="28"/>
          <w:szCs w:val="28"/>
          <w:lang w:val="ru-RU"/>
        </w:rPr>
        <w:t>, заключения предварительных соглашений с ними и</w:t>
      </w:r>
      <w:r w:rsidR="00D7638F">
        <w:rPr>
          <w:rFonts w:ascii="Times New Roman" w:hAnsi="Times New Roman"/>
          <w:sz w:val="28"/>
          <w:szCs w:val="28"/>
          <w:lang w:val="ru-RU"/>
        </w:rPr>
        <w:t xml:space="preserve"> определения потенциальных методов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работы (идентификация, регистрация, процедуры обналичивани</w:t>
      </w:r>
      <w:r w:rsidR="00205E1D">
        <w:rPr>
          <w:rFonts w:ascii="Times New Roman" w:hAnsi="Times New Roman"/>
          <w:sz w:val="28"/>
          <w:szCs w:val="28"/>
          <w:lang w:val="ru-RU"/>
        </w:rPr>
        <w:t>я и особые системы контроля). Нельзя забывать и об усилиях по развитию потенциала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как внутренних сотрудников</w:t>
      </w:r>
      <w:r w:rsidR="00205E1D">
        <w:rPr>
          <w:rFonts w:ascii="Times New Roman" w:hAnsi="Times New Roman"/>
          <w:sz w:val="28"/>
          <w:szCs w:val="28"/>
          <w:lang w:val="ru-RU"/>
        </w:rPr>
        <w:t xml:space="preserve"> КК/КП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так и партнеров. Организация может </w:t>
      </w:r>
      <w:r w:rsidR="00205E1D">
        <w:rPr>
          <w:rFonts w:ascii="Times New Roman" w:hAnsi="Times New Roman"/>
          <w:sz w:val="28"/>
          <w:szCs w:val="28"/>
          <w:lang w:val="ru-RU"/>
        </w:rPr>
        <w:t xml:space="preserve">принять решение </w:t>
      </w:r>
      <w:r w:rsidRPr="00426641">
        <w:rPr>
          <w:rFonts w:ascii="Times New Roman" w:hAnsi="Times New Roman"/>
          <w:sz w:val="28"/>
          <w:szCs w:val="28"/>
          <w:lang w:val="ru-RU"/>
        </w:rPr>
        <w:t>начать</w:t>
      </w:r>
      <w:r w:rsidR="00205E1D">
        <w:rPr>
          <w:rFonts w:ascii="Times New Roman" w:hAnsi="Times New Roman"/>
          <w:sz w:val="28"/>
          <w:szCs w:val="28"/>
          <w:lang w:val="ru-RU"/>
        </w:rPr>
        <w:t xml:space="preserve"> с разработки </w:t>
      </w:r>
      <w:r w:rsidRPr="00426641">
        <w:rPr>
          <w:rFonts w:ascii="Times New Roman" w:hAnsi="Times New Roman"/>
          <w:sz w:val="28"/>
          <w:szCs w:val="28"/>
          <w:lang w:val="ru-RU"/>
        </w:rPr>
        <w:t>практических мер и мех</w:t>
      </w:r>
      <w:r w:rsidR="00205E1D">
        <w:rPr>
          <w:rFonts w:ascii="Times New Roman" w:hAnsi="Times New Roman"/>
          <w:sz w:val="28"/>
          <w:szCs w:val="28"/>
          <w:lang w:val="ru-RU"/>
        </w:rPr>
        <w:t>анизмов доставки, а затем расширить созданные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системы по мере укрепления потенциала ПДП. Этот процесс </w:t>
      </w:r>
      <w:r w:rsidR="00205E1D">
        <w:rPr>
          <w:rFonts w:ascii="Times New Roman" w:hAnsi="Times New Roman"/>
          <w:sz w:val="28"/>
          <w:szCs w:val="28"/>
          <w:lang w:val="ru-RU"/>
        </w:rPr>
        <w:t>должен идти параллельно с разработкой СОП по ПДП. В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5E1D">
        <w:rPr>
          <w:rFonts w:ascii="Times New Roman" w:hAnsi="Times New Roman"/>
          <w:sz w:val="28"/>
          <w:szCs w:val="28"/>
          <w:lang w:val="ru-RU"/>
        </w:rPr>
        <w:t>числе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инструментов, предлагаемых в данном разделе</w:t>
      </w:r>
      <w:r w:rsidR="00205E1D">
        <w:rPr>
          <w:rFonts w:ascii="Times New Roman" w:hAnsi="Times New Roman"/>
          <w:sz w:val="28"/>
          <w:szCs w:val="28"/>
          <w:lang w:val="ru-RU"/>
        </w:rPr>
        <w:t>,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5E1D">
        <w:rPr>
          <w:rFonts w:ascii="Times New Roman" w:hAnsi="Times New Roman"/>
          <w:sz w:val="28"/>
          <w:szCs w:val="28"/>
          <w:lang w:val="ru-RU"/>
        </w:rPr>
        <w:t>-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дорожная карта для отбора поставщ</w:t>
      </w:r>
      <w:r w:rsidR="0069517D">
        <w:rPr>
          <w:rFonts w:ascii="Times New Roman" w:hAnsi="Times New Roman"/>
          <w:sz w:val="28"/>
          <w:szCs w:val="28"/>
          <w:lang w:val="ru-RU"/>
        </w:rPr>
        <w:t>иков услуг и заключения соглашений с ним</w:t>
      </w:r>
      <w:r w:rsidRPr="00426641">
        <w:rPr>
          <w:rFonts w:ascii="Times New Roman" w:hAnsi="Times New Roman"/>
          <w:sz w:val="28"/>
          <w:szCs w:val="28"/>
          <w:lang w:val="ru-RU"/>
        </w:rPr>
        <w:t>и, инс</w:t>
      </w:r>
      <w:r w:rsidR="0069517D">
        <w:rPr>
          <w:rFonts w:ascii="Times New Roman" w:hAnsi="Times New Roman"/>
          <w:sz w:val="28"/>
          <w:szCs w:val="28"/>
          <w:lang w:val="ru-RU"/>
        </w:rPr>
        <w:t>трумент для сбора информации в целях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оказания помощи в разработке </w:t>
      </w:r>
      <w:r w:rsidR="00C3521C" w:rsidRPr="00426641">
        <w:rPr>
          <w:rFonts w:ascii="Times New Roman" w:hAnsi="Times New Roman"/>
          <w:sz w:val="28"/>
          <w:szCs w:val="28"/>
          <w:lang w:val="ru-RU"/>
        </w:rPr>
        <w:t>Технического задания для поставщиков услуг, и</w:t>
      </w:r>
      <w:r w:rsidR="0069517D">
        <w:rPr>
          <w:rFonts w:ascii="Times New Roman" w:hAnsi="Times New Roman"/>
          <w:sz w:val="28"/>
          <w:szCs w:val="28"/>
          <w:lang w:val="ru-RU"/>
        </w:rPr>
        <w:t xml:space="preserve"> стандартный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шаблон </w:t>
      </w:r>
      <w:r w:rsidR="0069517D">
        <w:rPr>
          <w:rFonts w:ascii="Times New Roman" w:hAnsi="Times New Roman"/>
          <w:sz w:val="28"/>
          <w:szCs w:val="28"/>
          <w:lang w:val="ru-RU"/>
        </w:rPr>
        <w:t xml:space="preserve">договорного 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контракта МФОККиКП</w:t>
      </w:r>
      <w:r w:rsidR="00406A55" w:rsidRPr="00426641">
        <w:rPr>
          <w:rFonts w:ascii="Times New Roman" w:hAnsi="Times New Roman"/>
          <w:sz w:val="28"/>
          <w:szCs w:val="28"/>
          <w:lang w:val="ru-RU"/>
        </w:rPr>
        <w:t>.</w:t>
      </w:r>
    </w:p>
    <w:p w14:paraId="389E6769" w14:textId="4F1D6CFB" w:rsidR="004B33D9" w:rsidRPr="00A30389" w:rsidRDefault="00F45E24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A30389">
        <w:rPr>
          <w:rFonts w:ascii="Times New Roman" w:hAnsi="Times New Roman"/>
          <w:sz w:val="32"/>
          <w:szCs w:val="32"/>
          <w:lang w:val="ru-RU"/>
        </w:rPr>
        <w:t xml:space="preserve">Внедрение ПДП в системы мониторинга и оценки  </w:t>
      </w:r>
    </w:p>
    <w:p w14:paraId="6410E84A" w14:textId="28856834" w:rsidR="00F45E24" w:rsidRPr="00426641" w:rsidRDefault="00C94000" w:rsidP="00D249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Необходимо будет </w:t>
      </w:r>
      <w:r w:rsidR="00A30389">
        <w:rPr>
          <w:rFonts w:ascii="Times New Roman" w:hAnsi="Times New Roman"/>
          <w:sz w:val="28"/>
          <w:szCs w:val="28"/>
          <w:lang w:val="ru-RU"/>
        </w:rPr>
        <w:t>адаптировать с</w:t>
      </w:r>
      <w:r w:rsidR="00A30389" w:rsidRPr="00426641">
        <w:rPr>
          <w:rFonts w:ascii="Times New Roman" w:hAnsi="Times New Roman"/>
          <w:sz w:val="28"/>
          <w:szCs w:val="28"/>
          <w:lang w:val="ru-RU"/>
        </w:rPr>
        <w:t>уществующие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механизмы и системы мониторинга и оценки, включив в них все аспекты, </w:t>
      </w:r>
      <w:r>
        <w:rPr>
          <w:rFonts w:ascii="Times New Roman" w:hAnsi="Times New Roman"/>
          <w:sz w:val="28"/>
          <w:szCs w:val="28"/>
          <w:lang w:val="ru-RU"/>
        </w:rPr>
        <w:t>касающиеся ПДП.  Существует вероятность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/>
          <w:sz w:val="28"/>
          <w:szCs w:val="28"/>
          <w:lang w:val="ru-RU"/>
        </w:rPr>
        <w:t xml:space="preserve">возникнет 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/>
          <w:sz w:val="28"/>
          <w:szCs w:val="28"/>
          <w:lang w:val="ru-RU"/>
        </w:rPr>
        <w:t>сть разработки целого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ряд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специальных инструмен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ов. В Руководящих </w:t>
      </w:r>
      <w:r w:rsidRPr="00426641">
        <w:rPr>
          <w:rFonts w:ascii="Times New Roman" w:hAnsi="Times New Roman"/>
          <w:sz w:val="28"/>
          <w:szCs w:val="28"/>
          <w:lang w:val="ru-RU"/>
        </w:rPr>
        <w:t>указания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вопросам предоставления наличных денежных средств в условиях ЧС предусмотрена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дорожная карта для </w:t>
      </w:r>
      <w:r w:rsidRPr="00426641">
        <w:rPr>
          <w:rFonts w:ascii="Times New Roman" w:hAnsi="Times New Roman"/>
          <w:sz w:val="28"/>
          <w:szCs w:val="28"/>
          <w:lang w:val="ru-RU"/>
        </w:rPr>
        <w:t>планирования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усилий по мониторингу и оценке ПДП. Данный процесс подразуме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вает разработку </w:t>
      </w:r>
      <w:r w:rsidRPr="00426641">
        <w:rPr>
          <w:rFonts w:ascii="Times New Roman" w:hAnsi="Times New Roman"/>
          <w:sz w:val="28"/>
          <w:szCs w:val="28"/>
          <w:lang w:val="ru-RU"/>
        </w:rPr>
        <w:t>всеобъемлющей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стратегии мониторинга и оценки (включая </w:t>
      </w:r>
      <w:r>
        <w:rPr>
          <w:rFonts w:ascii="Times New Roman" w:hAnsi="Times New Roman"/>
          <w:sz w:val="28"/>
          <w:szCs w:val="28"/>
          <w:lang w:val="ru-RU"/>
        </w:rPr>
        <w:t>подробный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план деятельности и матрицу МиО с индикаторами и средствами </w:t>
      </w:r>
      <w:r w:rsidRPr="00426641">
        <w:rPr>
          <w:rFonts w:ascii="Times New Roman" w:hAnsi="Times New Roman"/>
          <w:sz w:val="28"/>
          <w:szCs w:val="28"/>
          <w:lang w:val="ru-RU"/>
        </w:rPr>
        <w:t>верификации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), а также </w:t>
      </w:r>
      <w:r>
        <w:rPr>
          <w:rFonts w:ascii="Times New Roman" w:hAnsi="Times New Roman"/>
          <w:sz w:val="28"/>
          <w:szCs w:val="28"/>
          <w:lang w:val="ru-RU"/>
        </w:rPr>
        <w:t xml:space="preserve">концепции развития 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потенциала </w:t>
      </w:r>
      <w:r>
        <w:rPr>
          <w:rFonts w:ascii="Times New Roman" w:hAnsi="Times New Roman"/>
          <w:sz w:val="28"/>
          <w:szCs w:val="28"/>
          <w:lang w:val="ru-RU"/>
        </w:rPr>
        <w:t>сотрудников и добровольцев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1DA7831" w14:textId="753BC7AE" w:rsidR="00AC217B" w:rsidRPr="00C94000" w:rsidRDefault="00F45E24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C94000">
        <w:rPr>
          <w:rFonts w:ascii="Times New Roman" w:hAnsi="Times New Roman"/>
          <w:sz w:val="32"/>
          <w:szCs w:val="32"/>
          <w:lang w:val="ru-RU"/>
        </w:rPr>
        <w:t xml:space="preserve">Внедрение ПДП в систему мобилизации ресурсов </w:t>
      </w:r>
      <w:r w:rsidR="004B33D9" w:rsidRPr="00C94000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33620BFC" w14:textId="64655C56" w:rsidR="004D2F62" w:rsidRPr="00426641" w:rsidRDefault="00C94000" w:rsidP="00D249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Планы готовности по ПДП должны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быть реалистичными и </w:t>
      </w:r>
      <w:r w:rsidRPr="00426641">
        <w:rPr>
          <w:rFonts w:ascii="Times New Roman" w:hAnsi="Times New Roman"/>
          <w:sz w:val="28"/>
          <w:szCs w:val="28"/>
          <w:lang w:val="ru-RU"/>
        </w:rPr>
        <w:t>соотноситься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доступными или потенциально доступными ресурсами. Устойчивость деятель</w:t>
      </w:r>
      <w:r>
        <w:rPr>
          <w:rFonts w:ascii="Times New Roman" w:hAnsi="Times New Roman"/>
          <w:sz w:val="28"/>
          <w:szCs w:val="28"/>
          <w:lang w:val="ru-RU"/>
        </w:rPr>
        <w:t>ности по ПДП будет выше при условии ее интеграции в существующие процессы и выделения средств на ее осуществление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в годовом бюджете. </w:t>
      </w:r>
      <w:r>
        <w:rPr>
          <w:rFonts w:ascii="Times New Roman" w:hAnsi="Times New Roman"/>
          <w:sz w:val="28"/>
          <w:szCs w:val="28"/>
          <w:lang w:val="ru-RU"/>
        </w:rPr>
        <w:t xml:space="preserve">Следует регулярно обращаться к финансовым 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>донорам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, и особе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 xml:space="preserve"> те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, кто обеспечивают подтвержденные потоки финансир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F45E24" w:rsidRPr="00426641">
        <w:rPr>
          <w:rFonts w:ascii="Times New Roman" w:hAnsi="Times New Roman"/>
          <w:sz w:val="28"/>
          <w:szCs w:val="28"/>
          <w:lang w:val="ru-RU"/>
        </w:rPr>
        <w:t>ания ПДП (например</w:t>
      </w:r>
      <w:r w:rsidR="00E3647F" w:rsidRPr="00426641">
        <w:rPr>
          <w:rFonts w:ascii="Times New Roman" w:hAnsi="Times New Roman"/>
          <w:sz w:val="28"/>
          <w:szCs w:val="28"/>
          <w:lang w:val="ru-RU"/>
        </w:rPr>
        <w:t>,</w:t>
      </w:r>
      <w:r w:rsidR="00F370A9" w:rsidRPr="00426641">
        <w:rPr>
          <w:rFonts w:ascii="Times New Roman" w:hAnsi="Times New Roman"/>
          <w:sz w:val="28"/>
          <w:szCs w:val="28"/>
          <w:lang w:val="ru-RU"/>
        </w:rPr>
        <w:t xml:space="preserve"> ECHO, USAID, DFID)</w:t>
      </w:r>
      <w:r w:rsidR="003036FD" w:rsidRPr="00426641">
        <w:rPr>
          <w:rFonts w:ascii="Times New Roman" w:hAnsi="Times New Roman"/>
          <w:sz w:val="28"/>
          <w:szCs w:val="28"/>
          <w:lang w:val="ru-RU"/>
        </w:rPr>
        <w:t>,</w:t>
      </w:r>
      <w:r w:rsidR="00F370A9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и включать ПДП в новые предложения. В числе </w:t>
      </w:r>
      <w:r w:rsidRPr="00426641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>, предлагаемых в данном разделе – матрица информации о финансовых донорах,</w:t>
      </w:r>
      <w:r>
        <w:rPr>
          <w:rFonts w:ascii="Times New Roman" w:hAnsi="Times New Roman"/>
          <w:sz w:val="28"/>
          <w:szCs w:val="28"/>
          <w:lang w:val="ru-RU"/>
        </w:rPr>
        <w:t xml:space="preserve"> которая может быть полезна в целях структурирования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данных о</w:t>
      </w:r>
      <w:r>
        <w:rPr>
          <w:rFonts w:ascii="Times New Roman" w:hAnsi="Times New Roman"/>
          <w:sz w:val="28"/>
          <w:szCs w:val="28"/>
          <w:lang w:val="ru-RU"/>
        </w:rPr>
        <w:t xml:space="preserve"> финансовых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донорах. </w:t>
      </w:r>
    </w:p>
    <w:p w14:paraId="7BC4BF3B" w14:textId="7A728723" w:rsidR="004B33D9" w:rsidRPr="00C94000" w:rsidRDefault="00F8692A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C94000">
        <w:rPr>
          <w:rFonts w:ascii="Times New Roman" w:hAnsi="Times New Roman"/>
          <w:sz w:val="32"/>
          <w:szCs w:val="32"/>
          <w:lang w:val="ru-RU"/>
        </w:rPr>
        <w:t>Проведение учений и/или осуществление пилотной инициативы</w:t>
      </w:r>
    </w:p>
    <w:p w14:paraId="312D210C" w14:textId="00EACFD7" w:rsidR="00F8692A" w:rsidRPr="00426641" w:rsidRDefault="00676F69" w:rsidP="00D249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Проведение учений</w:t>
      </w:r>
      <w:r w:rsidR="00F8692A" w:rsidRPr="0042664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1674A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позволяе</w:t>
      </w:r>
      <w:r w:rsidRPr="0042664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оценить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оперативную готовность по ПДП и </w:t>
      </w:r>
      <w:r w:rsidR="008F65F2">
        <w:rPr>
          <w:rFonts w:ascii="Times New Roman" w:hAnsi="Times New Roman"/>
          <w:sz w:val="28"/>
          <w:szCs w:val="28"/>
          <w:lang w:val="ru-RU"/>
        </w:rPr>
        <w:t>промежуточные результаты. Такие учения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должны проводиться </w:t>
      </w:r>
      <w:r w:rsidR="008F65F2">
        <w:rPr>
          <w:rFonts w:ascii="Times New Roman" w:hAnsi="Times New Roman"/>
          <w:sz w:val="28"/>
          <w:szCs w:val="28"/>
          <w:lang w:val="ru-RU"/>
        </w:rPr>
        <w:t>с определенной периодичностью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. Знания, полученные в ходе учений, необходимо внедрять в процесс </w:t>
      </w:r>
      <w:r w:rsidR="008F65F2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готовности. В идеале, учения по ПДП должны быть 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lastRenderedPageBreak/>
        <w:t xml:space="preserve">интегрированы </w:t>
      </w:r>
      <w:r w:rsidR="008F65F2">
        <w:rPr>
          <w:rFonts w:ascii="Times New Roman" w:hAnsi="Times New Roman"/>
          <w:sz w:val="28"/>
          <w:szCs w:val="28"/>
          <w:lang w:val="ru-RU"/>
        </w:rPr>
        <w:t>в регулярные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учения по вопросам </w:t>
      </w:r>
      <w:r w:rsidR="008F65F2" w:rsidRPr="00426641">
        <w:rPr>
          <w:rFonts w:ascii="Times New Roman" w:hAnsi="Times New Roman"/>
          <w:sz w:val="28"/>
          <w:szCs w:val="28"/>
          <w:lang w:val="ru-RU"/>
        </w:rPr>
        <w:t>планирования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на случай ЧС и включены в </w:t>
      </w:r>
      <w:r w:rsidR="008F65F2" w:rsidRPr="00426641">
        <w:rPr>
          <w:rFonts w:ascii="Times New Roman" w:hAnsi="Times New Roman"/>
          <w:sz w:val="28"/>
          <w:szCs w:val="28"/>
          <w:lang w:val="ru-RU"/>
        </w:rPr>
        <w:t>бюджет</w:t>
      </w:r>
      <w:r w:rsidR="008F65F2">
        <w:rPr>
          <w:rFonts w:ascii="Times New Roman" w:hAnsi="Times New Roman"/>
          <w:sz w:val="28"/>
          <w:szCs w:val="28"/>
          <w:lang w:val="ru-RU"/>
        </w:rPr>
        <w:t>, выделенный на планирование действий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на случай ЧС. Если </w:t>
      </w:r>
      <w:r w:rsidR="008F65F2" w:rsidRPr="00426641">
        <w:rPr>
          <w:rFonts w:ascii="Times New Roman" w:hAnsi="Times New Roman"/>
          <w:sz w:val="28"/>
          <w:szCs w:val="28"/>
          <w:lang w:val="ru-RU"/>
        </w:rPr>
        <w:t>существуют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бюджетные ограничения, рекомендуется разработать </w:t>
      </w:r>
      <w:r w:rsidR="008F65F2" w:rsidRPr="00426641">
        <w:rPr>
          <w:rFonts w:ascii="Times New Roman" w:hAnsi="Times New Roman"/>
          <w:sz w:val="28"/>
          <w:szCs w:val="28"/>
          <w:lang w:val="ru-RU"/>
        </w:rPr>
        <w:t>план</w:t>
      </w:r>
      <w:r w:rsidR="00F8692A" w:rsidRPr="00426641">
        <w:rPr>
          <w:rFonts w:ascii="Times New Roman" w:hAnsi="Times New Roman"/>
          <w:sz w:val="28"/>
          <w:szCs w:val="28"/>
          <w:lang w:val="ru-RU"/>
        </w:rPr>
        <w:t xml:space="preserve"> проведения теоретических учений. </w:t>
      </w:r>
    </w:p>
    <w:p w14:paraId="45A0B45E" w14:textId="7B39B258" w:rsidR="00F8692A" w:rsidRPr="00426641" w:rsidRDefault="00F8692A" w:rsidP="00D249AE">
      <w:pPr>
        <w:rPr>
          <w:rFonts w:ascii="Times New Roman" w:hAnsi="Times New Roman"/>
          <w:w w:val="102"/>
          <w:sz w:val="28"/>
          <w:szCs w:val="28"/>
          <w:lang w:val="ru-RU"/>
        </w:rPr>
      </w:pPr>
      <w:r w:rsidRPr="00426641">
        <w:rPr>
          <w:rFonts w:ascii="Times New Roman" w:hAnsi="Times New Roman"/>
          <w:b/>
          <w:i/>
          <w:w w:val="102"/>
          <w:sz w:val="28"/>
          <w:szCs w:val="28"/>
          <w:lang w:val="ru-RU"/>
        </w:rPr>
        <w:t>Пилотные инициативы</w:t>
      </w:r>
      <w:r w:rsidR="00D1559C"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>могут способствовать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F65F2" w:rsidRPr="00426641">
        <w:rPr>
          <w:rFonts w:ascii="Times New Roman" w:hAnsi="Times New Roman"/>
          <w:w w:val="102"/>
          <w:sz w:val="28"/>
          <w:szCs w:val="28"/>
          <w:lang w:val="ru-RU"/>
        </w:rPr>
        <w:t>дальнейшему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 повышению готовности 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к 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>осуществлению ПДП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 и анализу ее текущего уровня. Он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и заключаются в реализации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>пробного проекта в ограниченных масштабах в условиях реальной или приближенной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к реальности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операции 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>реагирования. Пилотные инициативы н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>еобходимо тщательно планировать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и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 выделять на эти цели отдельный бюджет. Группа сотрудников, отвечающая за мобилизацию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ресурсов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>,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будет нести </w:t>
      </w:r>
      <w:r w:rsidR="008F65F2" w:rsidRPr="00426641">
        <w:rPr>
          <w:rFonts w:ascii="Times New Roman" w:hAnsi="Times New Roman"/>
          <w:w w:val="102"/>
          <w:sz w:val="28"/>
          <w:szCs w:val="28"/>
          <w:lang w:val="ru-RU"/>
        </w:rPr>
        <w:t>ответственность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 за поиски средств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для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 осуществления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пилотных инициатив.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>П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>илотную инициативу по ПДП</w:t>
      </w:r>
      <w:r w:rsidR="008F65F2" w:rsidRPr="008F65F2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также </w:t>
      </w:r>
      <w:r w:rsidR="008F65F2" w:rsidRPr="00426641">
        <w:rPr>
          <w:rFonts w:ascii="Times New Roman" w:hAnsi="Times New Roman"/>
          <w:w w:val="102"/>
          <w:sz w:val="28"/>
          <w:szCs w:val="28"/>
          <w:lang w:val="ru-RU"/>
        </w:rPr>
        <w:t>можно организовать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в рамках межотраслевых учений. В числе предлагаемых в данном </w:t>
      </w:r>
      <w:r w:rsidR="008F65F2" w:rsidRPr="00426641">
        <w:rPr>
          <w:rFonts w:ascii="Times New Roman" w:hAnsi="Times New Roman"/>
          <w:w w:val="102"/>
          <w:sz w:val="28"/>
          <w:szCs w:val="28"/>
          <w:lang w:val="ru-RU"/>
        </w:rPr>
        <w:t>разделе</w:t>
      </w:r>
      <w:r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инструментов </w:t>
      </w:r>
      <w:r w:rsidR="008F65F2">
        <w:rPr>
          <w:rFonts w:ascii="Times New Roman" w:hAnsi="Times New Roman"/>
          <w:w w:val="102"/>
          <w:sz w:val="28"/>
          <w:szCs w:val="28"/>
          <w:lang w:val="ru-RU"/>
        </w:rPr>
        <w:t xml:space="preserve">- </w:t>
      </w:r>
      <w:r w:rsidR="00F555F1"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описание учений по пяти угрожающим </w:t>
      </w:r>
      <w:r w:rsidR="008F65F2" w:rsidRPr="00426641">
        <w:rPr>
          <w:rFonts w:ascii="Times New Roman" w:hAnsi="Times New Roman"/>
          <w:w w:val="102"/>
          <w:sz w:val="28"/>
          <w:szCs w:val="28"/>
          <w:lang w:val="ru-RU"/>
        </w:rPr>
        <w:t>событиям</w:t>
      </w:r>
      <w:r w:rsidR="00F555F1" w:rsidRPr="00426641">
        <w:rPr>
          <w:rFonts w:ascii="Times New Roman" w:hAnsi="Times New Roman"/>
          <w:w w:val="102"/>
          <w:sz w:val="28"/>
          <w:szCs w:val="28"/>
          <w:lang w:val="ru-RU"/>
        </w:rPr>
        <w:t xml:space="preserve"> и  обучающие материалы по проведению учений. </w:t>
      </w:r>
    </w:p>
    <w:p w14:paraId="794ED4D9" w14:textId="77777777" w:rsidR="00F555F1" w:rsidRPr="00A04215" w:rsidRDefault="00F555F1" w:rsidP="00290958">
      <w:pPr>
        <w:pStyle w:val="3"/>
        <w:rPr>
          <w:rFonts w:ascii="Times New Roman" w:hAnsi="Times New Roman"/>
          <w:sz w:val="32"/>
          <w:szCs w:val="32"/>
          <w:lang w:val="ru-RU"/>
        </w:rPr>
      </w:pPr>
      <w:r w:rsidRPr="00A04215">
        <w:rPr>
          <w:rFonts w:ascii="Times New Roman" w:hAnsi="Times New Roman"/>
          <w:sz w:val="32"/>
          <w:szCs w:val="32"/>
          <w:lang w:val="ru-RU"/>
        </w:rPr>
        <w:t xml:space="preserve">Действия по внутренней и внешней координации ПДП </w:t>
      </w:r>
    </w:p>
    <w:p w14:paraId="3355F21F" w14:textId="52089B3F" w:rsidR="00D510DD" w:rsidRPr="00426641" w:rsidRDefault="00F555F1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 xml:space="preserve">Координация ПДП должна осуществляться на всех уровнях, как на внутреннем, так и на внешнем. </w:t>
      </w:r>
      <w:r w:rsidR="00D510DD" w:rsidRPr="00426641">
        <w:rPr>
          <w:rFonts w:ascii="Times New Roman" w:hAnsi="Times New Roman"/>
          <w:sz w:val="28"/>
          <w:szCs w:val="28"/>
          <w:lang w:val="ru-RU"/>
        </w:rPr>
        <w:t>На внутреннем уровне необходимо координировать действия между сотрудниками и департаментами, а также между штаб-</w:t>
      </w:r>
      <w:r w:rsidR="00A04215" w:rsidRPr="00426641">
        <w:rPr>
          <w:rFonts w:ascii="Times New Roman" w:hAnsi="Times New Roman"/>
          <w:sz w:val="28"/>
          <w:szCs w:val="28"/>
          <w:lang w:val="ru-RU"/>
        </w:rPr>
        <w:t>квартирой</w:t>
      </w:r>
      <w:r w:rsidR="00D510DD" w:rsidRPr="0042664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04215" w:rsidRPr="00426641">
        <w:rPr>
          <w:rFonts w:ascii="Times New Roman" w:hAnsi="Times New Roman"/>
          <w:sz w:val="28"/>
          <w:szCs w:val="28"/>
          <w:lang w:val="ru-RU"/>
        </w:rPr>
        <w:t>пострадавшими</w:t>
      </w:r>
      <w:r w:rsidR="00A04215">
        <w:rPr>
          <w:rFonts w:ascii="Times New Roman" w:hAnsi="Times New Roman"/>
          <w:sz w:val="28"/>
          <w:szCs w:val="28"/>
          <w:lang w:val="ru-RU"/>
        </w:rPr>
        <w:t xml:space="preserve"> или участвующими в реализации ПДП отделен</w:t>
      </w:r>
      <w:r w:rsidR="00D510DD" w:rsidRPr="00426641">
        <w:rPr>
          <w:rFonts w:ascii="Times New Roman" w:hAnsi="Times New Roman"/>
          <w:sz w:val="28"/>
          <w:szCs w:val="28"/>
          <w:lang w:val="ru-RU"/>
        </w:rPr>
        <w:t>иями. Местно</w:t>
      </w:r>
      <w:r w:rsidR="00A04215">
        <w:rPr>
          <w:rFonts w:ascii="Times New Roman" w:hAnsi="Times New Roman"/>
          <w:sz w:val="28"/>
          <w:szCs w:val="28"/>
          <w:lang w:val="ru-RU"/>
        </w:rPr>
        <w:t>е</w:t>
      </w:r>
      <w:r w:rsidR="00D510DD" w:rsidRPr="00426641">
        <w:rPr>
          <w:rFonts w:ascii="Times New Roman" w:hAnsi="Times New Roman"/>
          <w:sz w:val="28"/>
          <w:szCs w:val="28"/>
          <w:lang w:val="ru-RU"/>
        </w:rPr>
        <w:t xml:space="preserve"> НО должно осуществлять коо</w:t>
      </w:r>
      <w:r w:rsidR="00683816">
        <w:rPr>
          <w:rFonts w:ascii="Times New Roman" w:hAnsi="Times New Roman"/>
          <w:sz w:val="28"/>
          <w:szCs w:val="28"/>
          <w:lang w:val="ru-RU"/>
        </w:rPr>
        <w:t>рдинацию действий партнеров по Движению, а также координировать все ПДП на территории страны</w:t>
      </w:r>
      <w:r w:rsidR="00D510DD" w:rsidRPr="0042664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E649656" w14:textId="0BD69DD4" w:rsidR="00D510DD" w:rsidRPr="00426641" w:rsidRDefault="00D510DD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Координационная группа по ПДП должна участвовать в национальных и региональных коо</w:t>
      </w:r>
      <w:r w:rsidR="00683816">
        <w:rPr>
          <w:rFonts w:ascii="Times New Roman" w:hAnsi="Times New Roman"/>
          <w:sz w:val="28"/>
          <w:szCs w:val="28"/>
          <w:lang w:val="ru-RU"/>
        </w:rPr>
        <w:t>рдинационных встречах, когда возникает такая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возможно</w:t>
      </w:r>
      <w:r w:rsidR="00683816">
        <w:rPr>
          <w:rFonts w:ascii="Times New Roman" w:hAnsi="Times New Roman"/>
          <w:sz w:val="28"/>
          <w:szCs w:val="28"/>
          <w:lang w:val="ru-RU"/>
        </w:rPr>
        <w:t>сть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 когда они </w:t>
      </w:r>
      <w:r w:rsidR="00683816" w:rsidRPr="00426641">
        <w:rPr>
          <w:rFonts w:ascii="Times New Roman" w:hAnsi="Times New Roman"/>
          <w:sz w:val="28"/>
          <w:szCs w:val="28"/>
          <w:lang w:val="ru-RU"/>
        </w:rPr>
        <w:t>проводятся</w:t>
      </w:r>
      <w:r w:rsidR="00683816">
        <w:rPr>
          <w:rFonts w:ascii="Times New Roman" w:hAnsi="Times New Roman"/>
          <w:sz w:val="28"/>
          <w:szCs w:val="28"/>
          <w:lang w:val="ru-RU"/>
        </w:rPr>
        <w:t>. Это позволит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НО </w:t>
      </w:r>
      <w:r w:rsidR="00683816">
        <w:rPr>
          <w:rFonts w:ascii="Times New Roman" w:hAnsi="Times New Roman"/>
          <w:sz w:val="28"/>
          <w:szCs w:val="28"/>
          <w:lang w:val="ru-RU"/>
        </w:rPr>
        <w:t>участвовать в важном процессе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обмен</w:t>
      </w:r>
      <w:r w:rsidR="00683816">
        <w:rPr>
          <w:rFonts w:ascii="Times New Roman" w:hAnsi="Times New Roman"/>
          <w:sz w:val="28"/>
          <w:szCs w:val="28"/>
          <w:lang w:val="ru-RU"/>
        </w:rPr>
        <w:t>а опытом, а также в усилиях по координации действий</w:t>
      </w:r>
      <w:r w:rsidRPr="00426641">
        <w:rPr>
          <w:rFonts w:ascii="Times New Roman" w:hAnsi="Times New Roman"/>
          <w:sz w:val="28"/>
          <w:szCs w:val="28"/>
          <w:lang w:val="ru-RU"/>
        </w:rPr>
        <w:t>,</w:t>
      </w:r>
      <w:r w:rsidR="00683816">
        <w:rPr>
          <w:rFonts w:ascii="Times New Roman" w:hAnsi="Times New Roman"/>
          <w:sz w:val="28"/>
          <w:szCs w:val="28"/>
          <w:lang w:val="ru-RU"/>
        </w:rPr>
        <w:t xml:space="preserve"> обеспечению готовности к ПДП и развитию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816" w:rsidRPr="00426641">
        <w:rPr>
          <w:rFonts w:ascii="Times New Roman" w:hAnsi="Times New Roman"/>
          <w:sz w:val="28"/>
          <w:szCs w:val="28"/>
          <w:lang w:val="ru-RU"/>
        </w:rPr>
        <w:t>потенциала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816"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Pr="00426641">
        <w:rPr>
          <w:rFonts w:ascii="Times New Roman" w:hAnsi="Times New Roman"/>
          <w:sz w:val="28"/>
          <w:szCs w:val="28"/>
          <w:lang w:val="ru-RU"/>
        </w:rPr>
        <w:t>в</w:t>
      </w:r>
      <w:r w:rsidR="00683816">
        <w:rPr>
          <w:rFonts w:ascii="Times New Roman" w:hAnsi="Times New Roman"/>
          <w:sz w:val="28"/>
          <w:szCs w:val="28"/>
          <w:lang w:val="ru-RU"/>
        </w:rPr>
        <w:t>нутри страны, так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 за ее пределами.  В числе инструментов, предлагаемых в данном разделе – различные ресурсы, </w:t>
      </w:r>
      <w:r w:rsidR="00683816" w:rsidRPr="00426641">
        <w:rPr>
          <w:rFonts w:ascii="Times New Roman" w:hAnsi="Times New Roman"/>
          <w:sz w:val="28"/>
          <w:szCs w:val="28"/>
          <w:lang w:val="ru-RU"/>
        </w:rPr>
        <w:t>содействующие</w:t>
      </w:r>
      <w:r w:rsidR="00683816">
        <w:rPr>
          <w:rFonts w:ascii="Times New Roman" w:hAnsi="Times New Roman"/>
          <w:sz w:val="28"/>
          <w:szCs w:val="28"/>
          <w:lang w:val="ru-RU"/>
        </w:rPr>
        <w:t xml:space="preserve"> повышению уровня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координации действий внутри Движения. </w:t>
      </w:r>
    </w:p>
    <w:p w14:paraId="3F9DF80F" w14:textId="1D657CC3" w:rsidR="004B33D9" w:rsidRPr="00F31C7B" w:rsidRDefault="00D510DD" w:rsidP="00290958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F31C7B">
        <w:rPr>
          <w:rFonts w:ascii="Times New Roman" w:hAnsi="Times New Roman"/>
          <w:sz w:val="28"/>
          <w:szCs w:val="28"/>
          <w:lang w:val="ru-RU"/>
        </w:rPr>
        <w:t xml:space="preserve">Разработка и </w:t>
      </w:r>
      <w:r w:rsidR="00F31C7B" w:rsidRPr="00F31C7B">
        <w:rPr>
          <w:rFonts w:ascii="Times New Roman" w:hAnsi="Times New Roman"/>
          <w:sz w:val="28"/>
          <w:szCs w:val="28"/>
          <w:lang w:val="ru-RU"/>
        </w:rPr>
        <w:t xml:space="preserve">реализация </w:t>
      </w:r>
      <w:r w:rsidRPr="00F31C7B">
        <w:rPr>
          <w:rFonts w:ascii="Times New Roman" w:hAnsi="Times New Roman"/>
          <w:sz w:val="28"/>
          <w:szCs w:val="28"/>
          <w:lang w:val="ru-RU"/>
        </w:rPr>
        <w:t>стратегии</w:t>
      </w:r>
      <w:r w:rsidR="00F31C7B" w:rsidRPr="00F31C7B">
        <w:rPr>
          <w:rFonts w:ascii="Times New Roman" w:hAnsi="Times New Roman"/>
          <w:sz w:val="28"/>
          <w:szCs w:val="28"/>
          <w:lang w:val="ru-RU"/>
        </w:rPr>
        <w:t xml:space="preserve"> информационного взаимодействия</w:t>
      </w:r>
      <w:r w:rsidRPr="00F31C7B">
        <w:rPr>
          <w:rFonts w:ascii="Times New Roman" w:hAnsi="Times New Roman"/>
          <w:sz w:val="28"/>
          <w:szCs w:val="28"/>
          <w:lang w:val="ru-RU"/>
        </w:rPr>
        <w:t xml:space="preserve"> и ин</w:t>
      </w:r>
      <w:r w:rsidR="00F31C7B" w:rsidRPr="00F31C7B">
        <w:rPr>
          <w:rFonts w:ascii="Times New Roman" w:hAnsi="Times New Roman"/>
          <w:sz w:val="28"/>
          <w:szCs w:val="28"/>
          <w:lang w:val="ru-RU"/>
        </w:rPr>
        <w:t>ф</w:t>
      </w:r>
      <w:r w:rsidRPr="00F31C7B">
        <w:rPr>
          <w:rFonts w:ascii="Times New Roman" w:hAnsi="Times New Roman"/>
          <w:sz w:val="28"/>
          <w:szCs w:val="28"/>
          <w:lang w:val="ru-RU"/>
        </w:rPr>
        <w:t xml:space="preserve">ормационных материалов по ПДП </w:t>
      </w:r>
      <w:r w:rsidR="004B33D9" w:rsidRPr="00F31C7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059ECF5" w14:textId="21AE6814" w:rsidR="00D510DD" w:rsidRPr="00426641" w:rsidRDefault="00D510DD" w:rsidP="00D249AE">
      <w:pPr>
        <w:rPr>
          <w:rFonts w:ascii="Times New Roman" w:hAnsi="Times New Roman"/>
          <w:sz w:val="28"/>
          <w:szCs w:val="28"/>
          <w:lang w:val="ru-RU"/>
        </w:rPr>
      </w:pPr>
      <w:r w:rsidRPr="00426641">
        <w:rPr>
          <w:rFonts w:ascii="Times New Roman" w:hAnsi="Times New Roman"/>
          <w:sz w:val="28"/>
          <w:szCs w:val="28"/>
          <w:lang w:val="ru-RU"/>
        </w:rPr>
        <w:t>Информационные материалы по ПДП должны быть включ</w:t>
      </w:r>
      <w:r w:rsidR="00F31C7B">
        <w:rPr>
          <w:rFonts w:ascii="Times New Roman" w:hAnsi="Times New Roman"/>
          <w:sz w:val="28"/>
          <w:szCs w:val="28"/>
          <w:lang w:val="ru-RU"/>
        </w:rPr>
        <w:t xml:space="preserve">ены в общую </w:t>
      </w:r>
      <w:r w:rsidRPr="00426641">
        <w:rPr>
          <w:rFonts w:ascii="Times New Roman" w:hAnsi="Times New Roman"/>
          <w:sz w:val="28"/>
          <w:szCs w:val="28"/>
          <w:lang w:val="ru-RU"/>
        </w:rPr>
        <w:t>стратеги</w:t>
      </w:r>
      <w:r w:rsidR="00F31C7B">
        <w:rPr>
          <w:rFonts w:ascii="Times New Roman" w:hAnsi="Times New Roman"/>
          <w:sz w:val="28"/>
          <w:szCs w:val="28"/>
          <w:lang w:val="ru-RU"/>
        </w:rPr>
        <w:t>ю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 планы</w:t>
      </w:r>
      <w:r w:rsidR="00F31C7B">
        <w:rPr>
          <w:rFonts w:ascii="Times New Roman" w:hAnsi="Times New Roman"/>
          <w:sz w:val="28"/>
          <w:szCs w:val="28"/>
          <w:lang w:val="ru-RU"/>
        </w:rPr>
        <w:t xml:space="preserve"> информационного взаимодействия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. Регулярные </w:t>
      </w:r>
      <w:r w:rsidR="00F31C7B" w:rsidRPr="00426641">
        <w:rPr>
          <w:rFonts w:ascii="Times New Roman" w:hAnsi="Times New Roman"/>
          <w:sz w:val="28"/>
          <w:szCs w:val="28"/>
          <w:lang w:val="ru-RU"/>
        </w:rPr>
        <w:t>информационные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1C7B" w:rsidRPr="00426641">
        <w:rPr>
          <w:rFonts w:ascii="Times New Roman" w:hAnsi="Times New Roman"/>
          <w:sz w:val="28"/>
          <w:szCs w:val="28"/>
          <w:lang w:val="ru-RU"/>
        </w:rPr>
        <w:t>бюллетени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31C7B" w:rsidRPr="00426641">
        <w:rPr>
          <w:rFonts w:ascii="Times New Roman" w:hAnsi="Times New Roman"/>
          <w:sz w:val="28"/>
          <w:szCs w:val="28"/>
          <w:lang w:val="ru-RU"/>
        </w:rPr>
        <w:t>отчет</w:t>
      </w:r>
      <w:r w:rsidR="00F31C7B">
        <w:rPr>
          <w:rFonts w:ascii="Times New Roman" w:hAnsi="Times New Roman"/>
          <w:sz w:val="28"/>
          <w:szCs w:val="28"/>
          <w:lang w:val="ru-RU"/>
        </w:rPr>
        <w:t>ы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по ПДП необходимо распространять как внутри Движения, так и за его пределами, чтобы распространять знания и </w:t>
      </w:r>
      <w:r w:rsidR="00F31C7B">
        <w:rPr>
          <w:rFonts w:ascii="Times New Roman" w:hAnsi="Times New Roman"/>
          <w:sz w:val="28"/>
          <w:szCs w:val="28"/>
          <w:lang w:val="ru-RU"/>
        </w:rPr>
        <w:t xml:space="preserve">способствовать росту масштабов </w:t>
      </w:r>
      <w:r w:rsidRPr="00426641">
        <w:rPr>
          <w:rFonts w:ascii="Times New Roman" w:hAnsi="Times New Roman"/>
          <w:sz w:val="28"/>
          <w:szCs w:val="28"/>
          <w:lang w:val="ru-RU"/>
        </w:rPr>
        <w:t>пониман</w:t>
      </w:r>
      <w:r w:rsidR="00F31C7B">
        <w:rPr>
          <w:rFonts w:ascii="Times New Roman" w:hAnsi="Times New Roman"/>
          <w:sz w:val="28"/>
          <w:szCs w:val="28"/>
          <w:lang w:val="ru-RU"/>
        </w:rPr>
        <w:t>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1C7B">
        <w:rPr>
          <w:rFonts w:ascii="Times New Roman" w:hAnsi="Times New Roman"/>
          <w:sz w:val="28"/>
          <w:szCs w:val="28"/>
          <w:lang w:val="ru-RU"/>
        </w:rPr>
        <w:t xml:space="preserve">программ </w:t>
      </w:r>
      <w:r w:rsidRPr="00426641">
        <w:rPr>
          <w:rFonts w:ascii="Times New Roman" w:hAnsi="Times New Roman"/>
          <w:sz w:val="28"/>
          <w:szCs w:val="28"/>
          <w:lang w:val="ru-RU"/>
        </w:rPr>
        <w:t>внутри организации и среди внешних заинтересованных сторон. Поми</w:t>
      </w:r>
      <w:r w:rsidR="00ED408A">
        <w:rPr>
          <w:rFonts w:ascii="Times New Roman" w:hAnsi="Times New Roman"/>
          <w:sz w:val="28"/>
          <w:szCs w:val="28"/>
          <w:lang w:val="ru-RU"/>
        </w:rPr>
        <w:t>мо традиционных информационных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материалов и каналов</w:t>
      </w:r>
      <w:r w:rsidR="00ED408A">
        <w:rPr>
          <w:rFonts w:ascii="Times New Roman" w:hAnsi="Times New Roman"/>
          <w:sz w:val="28"/>
          <w:szCs w:val="28"/>
          <w:lang w:val="ru-RU"/>
        </w:rPr>
        <w:t xml:space="preserve"> распространения информации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, возможно </w:t>
      </w:r>
      <w:r w:rsidR="00ED408A" w:rsidRPr="00426641">
        <w:rPr>
          <w:rFonts w:ascii="Times New Roman" w:hAnsi="Times New Roman"/>
          <w:sz w:val="28"/>
          <w:szCs w:val="28"/>
          <w:lang w:val="ru-RU"/>
        </w:rPr>
        <w:t>рассмотреть</w:t>
      </w:r>
      <w:r w:rsidR="00ED408A">
        <w:rPr>
          <w:rFonts w:ascii="Times New Roman" w:hAnsi="Times New Roman"/>
          <w:sz w:val="28"/>
          <w:szCs w:val="28"/>
          <w:lang w:val="ru-RU"/>
        </w:rPr>
        <w:t xml:space="preserve"> возможность создания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интернет-страницы, посвященной </w:t>
      </w:r>
      <w:r w:rsidR="00ED408A">
        <w:rPr>
          <w:rFonts w:ascii="Times New Roman" w:hAnsi="Times New Roman"/>
          <w:sz w:val="28"/>
          <w:szCs w:val="28"/>
          <w:lang w:val="ru-RU"/>
        </w:rPr>
        <w:t xml:space="preserve">уже реализованной </w:t>
      </w:r>
      <w:r w:rsidR="00ED408A" w:rsidRPr="00426641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по ПДП, а также активизировать </w:t>
      </w:r>
      <w:r w:rsidR="00A50FAA">
        <w:rPr>
          <w:rFonts w:ascii="Times New Roman" w:hAnsi="Times New Roman"/>
          <w:sz w:val="28"/>
          <w:szCs w:val="28"/>
          <w:lang w:val="ru-RU"/>
        </w:rPr>
        <w:t>работу с социальными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0FAA">
        <w:rPr>
          <w:rFonts w:ascii="Times New Roman" w:hAnsi="Times New Roman"/>
          <w:sz w:val="28"/>
          <w:szCs w:val="28"/>
          <w:lang w:val="ru-RU"/>
        </w:rPr>
        <w:t>СМИ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с целью </w:t>
      </w:r>
      <w:r w:rsidR="00A50FAA" w:rsidRPr="00426641">
        <w:rPr>
          <w:rFonts w:ascii="Times New Roman" w:hAnsi="Times New Roman"/>
          <w:sz w:val="28"/>
          <w:szCs w:val="28"/>
          <w:lang w:val="ru-RU"/>
        </w:rPr>
        <w:t>распространения</w:t>
      </w:r>
      <w:r w:rsidRPr="00426641">
        <w:rPr>
          <w:rFonts w:ascii="Times New Roman" w:hAnsi="Times New Roman"/>
          <w:sz w:val="28"/>
          <w:szCs w:val="28"/>
          <w:lang w:val="ru-RU"/>
        </w:rPr>
        <w:t xml:space="preserve"> опыта ПДП на более широкую </w:t>
      </w:r>
      <w:r w:rsidRPr="00426641">
        <w:rPr>
          <w:rFonts w:ascii="Times New Roman" w:hAnsi="Times New Roman"/>
          <w:sz w:val="28"/>
          <w:szCs w:val="28"/>
          <w:lang w:val="ru-RU"/>
        </w:rPr>
        <w:lastRenderedPageBreak/>
        <w:t xml:space="preserve">аудиторию. В числе предлагаемых инструментов – “Вопросы и ответы по ПДП”. </w:t>
      </w:r>
    </w:p>
    <w:p w14:paraId="3791EE4E" w14:textId="32457EA7" w:rsidR="00D510DD" w:rsidRPr="00426641" w:rsidRDefault="00A50FAA" w:rsidP="00003964">
      <w:pPr>
        <w:spacing w:after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числу информационных материалов по ПДП для бенефициаров относятся плакаты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, листовки и другой раздаточный материал, который может быть </w:t>
      </w:r>
      <w:r w:rsidRPr="00426641">
        <w:rPr>
          <w:rFonts w:ascii="Times New Roman" w:hAnsi="Times New Roman"/>
          <w:sz w:val="28"/>
          <w:szCs w:val="28"/>
          <w:lang w:val="ru-RU"/>
        </w:rPr>
        <w:t>подготовлен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426641">
        <w:rPr>
          <w:rFonts w:ascii="Times New Roman" w:hAnsi="Times New Roman"/>
          <w:sz w:val="28"/>
          <w:szCs w:val="28"/>
          <w:lang w:val="ru-RU"/>
        </w:rPr>
        <w:t>подготовительном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этапе и адаптирован к конкретным операциям реагировани</w:t>
      </w:r>
      <w:r w:rsidR="003F6761">
        <w:rPr>
          <w:rFonts w:ascii="Times New Roman" w:hAnsi="Times New Roman"/>
          <w:sz w:val="28"/>
          <w:szCs w:val="28"/>
          <w:lang w:val="ru-RU"/>
        </w:rPr>
        <w:t>я. К началу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осуществления операций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реагирования </w:t>
      </w:r>
      <w:r w:rsidR="003F6761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Pr="00426641">
        <w:rPr>
          <w:rFonts w:ascii="Times New Roman" w:hAnsi="Times New Roman"/>
          <w:sz w:val="28"/>
          <w:szCs w:val="28"/>
          <w:lang w:val="ru-RU"/>
        </w:rPr>
        <w:t>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информационного взаимодействия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с бенефициарами и инструменты дол</w:t>
      </w:r>
      <w:r w:rsidR="003F6761">
        <w:rPr>
          <w:rFonts w:ascii="Times New Roman" w:hAnsi="Times New Roman"/>
          <w:sz w:val="28"/>
          <w:szCs w:val="28"/>
          <w:lang w:val="ru-RU"/>
        </w:rPr>
        <w:t xml:space="preserve">жны быть заранее подготовлены и доступны для 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использования. Информацией о ПДП необходимо обмениваться напрямую с </w:t>
      </w:r>
      <w:r w:rsidR="003F6761" w:rsidRPr="00426641">
        <w:rPr>
          <w:rFonts w:ascii="Times New Roman" w:hAnsi="Times New Roman"/>
          <w:sz w:val="28"/>
          <w:szCs w:val="28"/>
          <w:lang w:val="ru-RU"/>
        </w:rPr>
        <w:t>пострадавшим</w:t>
      </w:r>
      <w:r w:rsidR="003F6761">
        <w:rPr>
          <w:rFonts w:ascii="Times New Roman" w:hAnsi="Times New Roman"/>
          <w:sz w:val="28"/>
          <w:szCs w:val="28"/>
          <w:lang w:val="ru-RU"/>
        </w:rPr>
        <w:t>и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6761">
        <w:rPr>
          <w:rFonts w:ascii="Times New Roman" w:hAnsi="Times New Roman"/>
          <w:sz w:val="28"/>
          <w:szCs w:val="28"/>
          <w:lang w:val="ru-RU"/>
        </w:rPr>
        <w:t xml:space="preserve">группами 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>насел</w:t>
      </w:r>
      <w:r w:rsidR="003F6761">
        <w:rPr>
          <w:rFonts w:ascii="Times New Roman" w:hAnsi="Times New Roman"/>
          <w:sz w:val="28"/>
          <w:szCs w:val="28"/>
          <w:lang w:val="ru-RU"/>
        </w:rPr>
        <w:t>ения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, чтобы повысить </w:t>
      </w:r>
      <w:r w:rsidR="003F6761" w:rsidRPr="00426641">
        <w:rPr>
          <w:rFonts w:ascii="Times New Roman" w:hAnsi="Times New Roman"/>
          <w:sz w:val="28"/>
          <w:szCs w:val="28"/>
          <w:lang w:val="ru-RU"/>
        </w:rPr>
        <w:t>эффективность</w:t>
      </w:r>
      <w:r w:rsidR="002479D7" w:rsidRPr="00426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>операций реагирования</w:t>
      </w:r>
      <w:r w:rsidR="003F6761">
        <w:rPr>
          <w:rFonts w:ascii="Times New Roman" w:hAnsi="Times New Roman"/>
          <w:sz w:val="28"/>
          <w:szCs w:val="28"/>
          <w:lang w:val="ru-RU"/>
        </w:rPr>
        <w:t xml:space="preserve"> и уровень отчетности перед бенефициарами. В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 xml:space="preserve"> числу предлагаемых </w:t>
      </w:r>
      <w:r w:rsidR="003F6761" w:rsidRPr="00426641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3F6761">
        <w:rPr>
          <w:rFonts w:ascii="Times New Roman" w:hAnsi="Times New Roman"/>
          <w:sz w:val="28"/>
          <w:szCs w:val="28"/>
          <w:lang w:val="ru-RU"/>
        </w:rPr>
        <w:t xml:space="preserve"> - Р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 xml:space="preserve">уководящие </w:t>
      </w:r>
      <w:r w:rsidR="003F6761">
        <w:rPr>
          <w:rFonts w:ascii="Times New Roman" w:hAnsi="Times New Roman"/>
          <w:sz w:val="28"/>
          <w:szCs w:val="28"/>
          <w:lang w:val="ru-RU"/>
        </w:rPr>
        <w:t>указ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 xml:space="preserve">ания по </w:t>
      </w:r>
      <w:r w:rsidR="003F6761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 xml:space="preserve"> информационного </w:t>
      </w:r>
      <w:r w:rsidR="003F6761" w:rsidRPr="00426641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61722C" w:rsidRPr="00426641">
        <w:rPr>
          <w:rFonts w:ascii="Times New Roman" w:hAnsi="Times New Roman"/>
          <w:sz w:val="28"/>
          <w:szCs w:val="28"/>
          <w:lang w:val="ru-RU"/>
        </w:rPr>
        <w:t xml:space="preserve"> с бенефициарами и отчетности перед ними. </w:t>
      </w:r>
    </w:p>
    <w:p w14:paraId="537288D4" w14:textId="2B7DEE00" w:rsidR="004D2F62" w:rsidRPr="00426641" w:rsidRDefault="004D2F62" w:rsidP="00003964">
      <w:pPr>
        <w:spacing w:after="36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706"/>
      </w:tblGrid>
      <w:tr w:rsidR="00290958" w:rsidRPr="00426641" w14:paraId="2CE6D0B8" w14:textId="77777777" w:rsidTr="00290958">
        <w:tc>
          <w:tcPr>
            <w:tcW w:w="9706" w:type="dxa"/>
          </w:tcPr>
          <w:p w14:paraId="1D9D13A1" w14:textId="141BDCC4" w:rsidR="00290958" w:rsidRPr="00426641" w:rsidRDefault="0061722C" w:rsidP="00290958">
            <w:pPr>
              <w:pStyle w:val="RefTitre"/>
              <w:rPr>
                <w:rFonts w:ascii="Times New Roman" w:hAnsi="Times New Roman"/>
                <w:lang w:val="ru-RU"/>
              </w:rPr>
            </w:pPr>
            <w:r w:rsidRPr="00426641">
              <w:rPr>
                <w:rFonts w:ascii="Times New Roman" w:hAnsi="Times New Roman"/>
                <w:lang w:val="ru-RU"/>
              </w:rPr>
              <w:t>СПРАВОЧНЫЕ ДОКУМЕНТЫ</w:t>
            </w:r>
          </w:p>
          <w:p w14:paraId="2E06D172" w14:textId="5AE4E330" w:rsidR="00290958" w:rsidRPr="00426641" w:rsidRDefault="0061722C" w:rsidP="00290958">
            <w:pPr>
              <w:pStyle w:val="RefItem1"/>
              <w:rPr>
                <w:rFonts w:ascii="Times New Roman" w:hAnsi="Times New Roman"/>
                <w:lang w:val="ru-RU"/>
              </w:rPr>
            </w:pPr>
            <w:r w:rsidRPr="00426641">
              <w:rPr>
                <w:rFonts w:ascii="Times New Roman" w:hAnsi="Times New Roman"/>
                <w:lang w:val="ru-RU"/>
              </w:rPr>
              <w:t>Программы денежных переводов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 </w:t>
            </w:r>
            <w:r w:rsidRPr="00426641">
              <w:rPr>
                <w:rFonts w:ascii="Times New Roman" w:hAnsi="Times New Roman"/>
                <w:lang w:val="ru-RU"/>
              </w:rPr>
              <w:t>–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 </w:t>
            </w:r>
            <w:r w:rsidRPr="00426641">
              <w:rPr>
                <w:rFonts w:ascii="Times New Roman" w:hAnsi="Times New Roman"/>
                <w:lang w:val="ru-RU"/>
              </w:rPr>
              <w:t>привлечение руков</w:t>
            </w:r>
            <w:bookmarkStart w:id="0" w:name="_GoBack"/>
            <w:bookmarkEnd w:id="0"/>
            <w:r w:rsidRPr="00426641">
              <w:rPr>
                <w:rFonts w:ascii="Times New Roman" w:hAnsi="Times New Roman"/>
                <w:lang w:val="ru-RU"/>
              </w:rPr>
              <w:t>одства НО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. </w:t>
            </w:r>
            <w:r w:rsidR="00DC01B8" w:rsidRPr="00426641">
              <w:rPr>
                <w:rFonts w:ascii="Times New Roman" w:hAnsi="Times New Roman"/>
                <w:lang w:val="ru-RU"/>
              </w:rPr>
              <w:t>Руководящие</w:t>
            </w:r>
            <w:r w:rsidRPr="00426641">
              <w:rPr>
                <w:rFonts w:ascii="Times New Roman" w:hAnsi="Times New Roman"/>
                <w:lang w:val="ru-RU"/>
              </w:rPr>
              <w:t xml:space="preserve"> указания по </w:t>
            </w:r>
            <w:r w:rsidR="00DC01B8" w:rsidRPr="00426641">
              <w:rPr>
                <w:rFonts w:ascii="Times New Roman" w:hAnsi="Times New Roman"/>
                <w:lang w:val="ru-RU"/>
              </w:rPr>
              <w:t>поддержке</w:t>
            </w:r>
            <w:r w:rsidRPr="00426641">
              <w:rPr>
                <w:rFonts w:ascii="Times New Roman" w:hAnsi="Times New Roman"/>
                <w:lang w:val="ru-RU"/>
              </w:rPr>
              <w:t xml:space="preserve"> внутренней адвокационной деятельности. МФОККиКП</w:t>
            </w:r>
            <w:r w:rsidR="00DC01B8">
              <w:rPr>
                <w:rFonts w:ascii="Times New Roman" w:hAnsi="Times New Roman"/>
                <w:lang w:val="ru-RU"/>
              </w:rPr>
              <w:t>.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 2013 </w:t>
            </w:r>
          </w:p>
          <w:p w14:paraId="569DC09A" w14:textId="1160F43B" w:rsidR="00290958" w:rsidRPr="00426641" w:rsidRDefault="0061722C" w:rsidP="00290958">
            <w:pPr>
              <w:pStyle w:val="RefItem1"/>
              <w:rPr>
                <w:rFonts w:ascii="Times New Roman" w:hAnsi="Times New Roman"/>
                <w:lang w:val="ru-RU"/>
              </w:rPr>
            </w:pPr>
            <w:r w:rsidRPr="00426641">
              <w:rPr>
                <w:rFonts w:ascii="Times New Roman" w:hAnsi="Times New Roman"/>
                <w:lang w:val="ru-RU"/>
              </w:rPr>
              <w:t>МФОККиКП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 (2011) </w:t>
            </w:r>
            <w:r w:rsidRPr="00426641">
              <w:rPr>
                <w:rFonts w:ascii="Times New Roman" w:hAnsi="Times New Roman"/>
                <w:lang w:val="ru-RU"/>
              </w:rPr>
              <w:t xml:space="preserve">Информационное взаимодействие с бенефициарами и </w:t>
            </w:r>
            <w:r w:rsidR="000229B8" w:rsidRPr="00426641">
              <w:rPr>
                <w:rFonts w:ascii="Times New Roman" w:hAnsi="Times New Roman"/>
                <w:lang w:val="ru-RU"/>
              </w:rPr>
              <w:t>отечность</w:t>
            </w:r>
            <w:r w:rsidRPr="00426641">
              <w:rPr>
                <w:rFonts w:ascii="Times New Roman" w:hAnsi="Times New Roman"/>
                <w:lang w:val="ru-RU"/>
              </w:rPr>
              <w:t xml:space="preserve"> перед ними</w:t>
            </w:r>
            <w:r w:rsidR="00290958" w:rsidRPr="00426641">
              <w:rPr>
                <w:rFonts w:ascii="Times New Roman" w:hAnsi="Times New Roman"/>
                <w:lang w:val="ru-RU"/>
              </w:rPr>
              <w:t xml:space="preserve"> </w:t>
            </w:r>
            <w:hyperlink r:id="rId9" w:history="1">
              <w:r w:rsidR="00290958" w:rsidRPr="00426641">
                <w:rPr>
                  <w:rStyle w:val="af7"/>
                  <w:rFonts w:ascii="Times New Roman" w:hAnsi="Times New Roman"/>
                  <w:lang w:val="ru-RU"/>
                </w:rPr>
                <w:t>http://www.ifrc.org/PageFiles/94411/IFRC%20BCA%20Lesson%20Learned%20doc_final.pdf</w:t>
              </w:r>
            </w:hyperlink>
          </w:p>
          <w:p w14:paraId="7CF2CB01" w14:textId="59C23136" w:rsidR="00290958" w:rsidRPr="00426641" w:rsidRDefault="00290958" w:rsidP="00290958">
            <w:pPr>
              <w:pStyle w:val="RefItem1"/>
              <w:rPr>
                <w:rFonts w:ascii="Times New Roman" w:hAnsi="Times New Roman"/>
                <w:lang w:val="ru-RU"/>
              </w:rPr>
            </w:pPr>
            <w:r w:rsidRPr="00426641">
              <w:rPr>
                <w:rFonts w:ascii="Times New Roman" w:hAnsi="Times New Roman"/>
                <w:i/>
                <w:lang w:val="ru-RU"/>
              </w:rPr>
              <w:t>CaLP</w:t>
            </w:r>
            <w:r w:rsidR="00514515" w:rsidRPr="00426641">
              <w:rPr>
                <w:rFonts w:ascii="Times New Roman" w:hAnsi="Times New Roman"/>
                <w:lang w:val="ru-RU"/>
              </w:rPr>
              <w:t xml:space="preserve"> (2011) Раздача наличных</w:t>
            </w:r>
            <w:r w:rsidR="000229B8">
              <w:rPr>
                <w:rFonts w:ascii="Times New Roman" w:hAnsi="Times New Roman"/>
                <w:lang w:val="ru-RU"/>
              </w:rPr>
              <w:t xml:space="preserve"> денежных средств</w:t>
            </w:r>
            <w:r w:rsidR="00514515" w:rsidRPr="00426641">
              <w:rPr>
                <w:rFonts w:ascii="Times New Roman" w:hAnsi="Times New Roman"/>
                <w:lang w:val="ru-RU"/>
              </w:rPr>
              <w:t xml:space="preserve">: Руководящие </w:t>
            </w:r>
            <w:r w:rsidR="000229B8">
              <w:rPr>
                <w:rFonts w:ascii="Times New Roman" w:hAnsi="Times New Roman"/>
                <w:lang w:val="ru-RU"/>
              </w:rPr>
              <w:t>указания</w:t>
            </w:r>
            <w:r w:rsidR="00514515" w:rsidRPr="00426641">
              <w:rPr>
                <w:rFonts w:ascii="Times New Roman" w:hAnsi="Times New Roman"/>
                <w:lang w:val="ru-RU"/>
              </w:rPr>
              <w:t xml:space="preserve"> по информационному </w:t>
            </w:r>
            <w:r w:rsidR="000229B8" w:rsidRPr="00426641">
              <w:rPr>
                <w:rFonts w:ascii="Times New Roman" w:hAnsi="Times New Roman"/>
                <w:lang w:val="ru-RU"/>
              </w:rPr>
              <w:t>взаимодействию</w:t>
            </w:r>
            <w:r w:rsidR="00514515" w:rsidRPr="00426641">
              <w:rPr>
                <w:rFonts w:ascii="Times New Roman" w:hAnsi="Times New Roman"/>
                <w:lang w:val="ru-RU"/>
              </w:rPr>
              <w:t xml:space="preserve"> с бенефициарами в рамках программ денежных переводов</w:t>
            </w:r>
          </w:p>
          <w:p w14:paraId="39AFEB68" w14:textId="0C1AAD3F" w:rsidR="00290958" w:rsidRPr="00426641" w:rsidRDefault="00CD37D3" w:rsidP="00D249AE">
            <w:pPr>
              <w:pStyle w:val="RefItem1"/>
              <w:rPr>
                <w:rFonts w:ascii="Times New Roman" w:hAnsi="Times New Roman"/>
                <w:lang w:val="ru-RU"/>
              </w:rPr>
            </w:pPr>
            <w:hyperlink r:id="rId10" w:history="1">
              <w:r w:rsidR="00290958" w:rsidRPr="00426641">
                <w:rPr>
                  <w:rStyle w:val="af7"/>
                  <w:rFonts w:ascii="Times New Roman" w:hAnsi="Times New Roman"/>
                  <w:lang w:val="ru-RU"/>
                </w:rPr>
                <w:t>http://www.cashlearning.org/resources/library/28-communicating-cash-a-field-guide-to-beneficiary-communications-in-cash-transfer-programming-screen-version</w:t>
              </w:r>
            </w:hyperlink>
          </w:p>
        </w:tc>
      </w:tr>
    </w:tbl>
    <w:p w14:paraId="4F9EFBCF" w14:textId="77777777" w:rsidR="00D13AC3" w:rsidRPr="00426641" w:rsidRDefault="00D13AC3" w:rsidP="00D249A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lang w:val="ru-RU"/>
        </w:rPr>
      </w:pPr>
    </w:p>
    <w:sectPr w:rsidR="00D13AC3" w:rsidRPr="00426641" w:rsidSect="00DD01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3594C2" w15:done="0"/>
  <w15:commentEx w15:paraId="1E53B09F" w15:done="0"/>
  <w15:commentEx w15:paraId="4F4BFE5E" w15:done="0"/>
  <w15:commentEx w15:paraId="2DBB573E" w15:done="0"/>
  <w15:commentEx w15:paraId="22F2D524" w15:done="0"/>
  <w15:commentEx w15:paraId="29D51B6A" w15:done="0"/>
  <w15:commentEx w15:paraId="0604D5EF" w15:done="0"/>
  <w15:commentEx w15:paraId="23B1ECBD" w15:done="0"/>
  <w15:commentEx w15:paraId="6A8E7CD1" w15:done="0"/>
  <w15:commentEx w15:paraId="0F3C6D5D" w15:done="0"/>
  <w15:commentEx w15:paraId="19ED33DC" w15:done="0"/>
  <w15:commentEx w15:paraId="2E3A70F2" w15:done="0"/>
  <w15:commentEx w15:paraId="1BD5C03B" w15:done="0"/>
  <w15:commentEx w15:paraId="4CB086A2" w15:done="0"/>
  <w15:commentEx w15:paraId="27C515FA" w15:done="0"/>
  <w15:commentEx w15:paraId="143373BC" w15:done="0"/>
  <w15:commentEx w15:paraId="4DEFDE9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6195" w14:textId="77777777" w:rsidR="00F31C7B" w:rsidRDefault="00F31C7B" w:rsidP="002D7B20">
      <w:r>
        <w:separator/>
      </w:r>
    </w:p>
  </w:endnote>
  <w:endnote w:type="continuationSeparator" w:id="0">
    <w:p w14:paraId="37B7BF3F" w14:textId="77777777" w:rsidR="00F31C7B" w:rsidRDefault="00F31C7B" w:rsidP="002D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E6913" w14:textId="77777777" w:rsidR="00F31C7B" w:rsidRDefault="00F31C7B" w:rsidP="004B33D9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4C1E335" w14:textId="77777777" w:rsidR="00F31C7B" w:rsidRDefault="00F31C7B" w:rsidP="00613753">
    <w:pPr>
      <w:pStyle w:val="af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8052" w14:textId="77777777" w:rsidR="00F31C7B" w:rsidRDefault="00F31C7B" w:rsidP="004B33D9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D37D3">
      <w:rPr>
        <w:rStyle w:val="af3"/>
        <w:noProof/>
      </w:rPr>
      <w:t>7</w:t>
    </w:r>
    <w:r>
      <w:rPr>
        <w:rStyle w:val="af3"/>
      </w:rPr>
      <w:fldChar w:fldCharType="end"/>
    </w:r>
  </w:p>
  <w:p w14:paraId="00B8D157" w14:textId="203968AA" w:rsidR="00F31C7B" w:rsidRPr="003840A8" w:rsidRDefault="00F31C7B" w:rsidP="00613753">
    <w:pPr>
      <w:pStyle w:val="af1"/>
      <w:ind w:right="360"/>
      <w:rPr>
        <w:szCs w:val="16"/>
        <w:lang w:val="ru-RU"/>
      </w:rPr>
    </w:pPr>
    <w:r w:rsidRPr="003840A8">
      <w:rPr>
        <w:b/>
        <w:szCs w:val="16"/>
        <w:lang w:val="ru-RU"/>
      </w:rPr>
      <w:t>Модуль 1.</w:t>
    </w:r>
    <w:r w:rsidRPr="003840A8">
      <w:rPr>
        <w:szCs w:val="16"/>
        <w:lang w:val="ru-RU"/>
      </w:rPr>
      <w:t xml:space="preserve"> Дорожная карта по вопросам разработки и реализац</w:t>
    </w:r>
    <w:r>
      <w:rPr>
        <w:szCs w:val="16"/>
        <w:lang w:val="ru-RU"/>
      </w:rPr>
      <w:t>и</w:t>
    </w:r>
    <w:r w:rsidRPr="003840A8">
      <w:rPr>
        <w:szCs w:val="16"/>
        <w:lang w:val="ru-RU"/>
      </w:rPr>
      <w:t>и программ</w:t>
    </w:r>
  </w:p>
  <w:p w14:paraId="749F67BE" w14:textId="77777777" w:rsidR="00F31C7B" w:rsidRPr="0016388A" w:rsidRDefault="00F31C7B" w:rsidP="00613753">
    <w:pPr>
      <w:pStyle w:val="af1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439B" w14:textId="77777777" w:rsidR="00F31C7B" w:rsidRPr="00B45C74" w:rsidRDefault="00F31C7B" w:rsidP="00EE49D6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D37D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1625FE8" w14:textId="7A6A04ED" w:rsidR="00F31C7B" w:rsidRPr="003A3500" w:rsidRDefault="00F31C7B" w:rsidP="00EE49D6">
    <w:pPr>
      <w:pStyle w:val="af1"/>
    </w:pPr>
    <w:r w:rsidRPr="00107E15">
      <w:rPr>
        <w:b/>
      </w:rPr>
      <w:t xml:space="preserve">Module </w:t>
    </w:r>
    <w:r>
      <w:rPr>
        <w:b/>
      </w:rPr>
      <w:t>1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CD37D3" w:rsidRPr="00CD37D3">
      <w:rPr>
        <w:noProof/>
      </w:rPr>
      <w:t>Дорожная карта по вопросам</w:t>
    </w:r>
    <w:r w:rsidR="00CD37D3">
      <w:rPr>
        <w:i/>
        <w:noProof/>
      </w:rPr>
      <w:t xml:space="preserve"> разработки и реализации программ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F4D9" w14:textId="77777777" w:rsidR="00F31C7B" w:rsidRDefault="00F31C7B" w:rsidP="002D7B20">
      <w:r>
        <w:separator/>
      </w:r>
    </w:p>
  </w:footnote>
  <w:footnote w:type="continuationSeparator" w:id="0">
    <w:p w14:paraId="4AE67FAE" w14:textId="77777777" w:rsidR="00F31C7B" w:rsidRDefault="00F31C7B" w:rsidP="002D7B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12B2E" w14:textId="77777777" w:rsidR="00F31C7B" w:rsidRPr="00074036" w:rsidRDefault="00F31C7B" w:rsidP="00EE49D6">
    <w:pPr>
      <w:pStyle w:val="af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3"/>
        <w:bCs/>
        <w:szCs w:val="16"/>
      </w:rPr>
      <w:t>I</w:t>
    </w:r>
    <w:r w:rsidRPr="009F6986">
      <w:rPr>
        <w:rStyle w:val="af3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E5216" w14:textId="77777777" w:rsidR="00F31C7B" w:rsidRDefault="00F31C7B" w:rsidP="00EE49D6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9CF310A" wp14:editId="6C98F850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FD3CF" w14:textId="77777777" w:rsidR="00F31C7B" w:rsidRDefault="00F31C7B" w:rsidP="00EE49D6">
    <w:pPr>
      <w:pStyle w:val="Header1"/>
    </w:pPr>
  </w:p>
  <w:p w14:paraId="63CD8ECE" w14:textId="77777777" w:rsidR="00F31C7B" w:rsidRDefault="00F31C7B" w:rsidP="00EE49D6">
    <w:pPr>
      <w:pStyle w:val="af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37B114B" wp14:editId="63534A3A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C502C" w14:textId="77777777" w:rsidR="00F31C7B" w:rsidRDefault="00F31C7B" w:rsidP="00EE49D6">
    <w:pPr>
      <w:pStyle w:val="af"/>
      <w:spacing w:line="240" w:lineRule="auto"/>
      <w:rPr>
        <w:b/>
        <w:color w:val="DC281E"/>
        <w:sz w:val="24"/>
        <w:szCs w:val="24"/>
      </w:rPr>
    </w:pPr>
  </w:p>
  <w:p w14:paraId="07CC91F0" w14:textId="77777777" w:rsidR="00F31C7B" w:rsidRDefault="00F31C7B" w:rsidP="00EE49D6">
    <w:pPr>
      <w:pStyle w:val="af"/>
      <w:spacing w:line="240" w:lineRule="auto"/>
      <w:rPr>
        <w:b/>
        <w:color w:val="DC281E"/>
        <w:sz w:val="24"/>
        <w:szCs w:val="24"/>
      </w:rPr>
    </w:pPr>
  </w:p>
  <w:p w14:paraId="4E075185" w14:textId="5446A2AD" w:rsidR="00F31C7B" w:rsidRPr="00426641" w:rsidRDefault="00F31C7B" w:rsidP="00EE49D6">
    <w:pPr>
      <w:pStyle w:val="Header1"/>
      <w:rPr>
        <w:rStyle w:val="Pantone485"/>
        <w:lang w:val="ru-RU"/>
      </w:rPr>
    </w:pPr>
    <w:r w:rsidRPr="00426641">
      <w:rPr>
        <w:rStyle w:val="Pantone485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97B22"/>
    <w:multiLevelType w:val="hybridMultilevel"/>
    <w:tmpl w:val="16CA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9AE"/>
    <w:multiLevelType w:val="hybridMultilevel"/>
    <w:tmpl w:val="6F8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40B8A"/>
    <w:multiLevelType w:val="hybridMultilevel"/>
    <w:tmpl w:val="BE6C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19F9"/>
    <w:multiLevelType w:val="hybridMultilevel"/>
    <w:tmpl w:val="44F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84973"/>
    <w:multiLevelType w:val="hybridMultilevel"/>
    <w:tmpl w:val="F716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361D4"/>
    <w:multiLevelType w:val="hybridMultilevel"/>
    <w:tmpl w:val="9EE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51017"/>
    <w:multiLevelType w:val="hybridMultilevel"/>
    <w:tmpl w:val="FD2C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A2C90"/>
    <w:multiLevelType w:val="hybridMultilevel"/>
    <w:tmpl w:val="B9DA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AA2"/>
    <w:multiLevelType w:val="hybridMultilevel"/>
    <w:tmpl w:val="4754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C4288"/>
    <w:multiLevelType w:val="hybridMultilevel"/>
    <w:tmpl w:val="C0028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5B361D"/>
    <w:multiLevelType w:val="hybridMultilevel"/>
    <w:tmpl w:val="697E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E6B49"/>
    <w:multiLevelType w:val="hybridMultilevel"/>
    <w:tmpl w:val="1DA4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D4D49"/>
    <w:multiLevelType w:val="hybridMultilevel"/>
    <w:tmpl w:val="51A8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2622"/>
    <w:multiLevelType w:val="hybridMultilevel"/>
    <w:tmpl w:val="25F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65E0F"/>
    <w:multiLevelType w:val="hybridMultilevel"/>
    <w:tmpl w:val="740EB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F1D11"/>
    <w:multiLevelType w:val="hybridMultilevel"/>
    <w:tmpl w:val="B46E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D43A2"/>
    <w:multiLevelType w:val="hybridMultilevel"/>
    <w:tmpl w:val="C47C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A16FB"/>
    <w:multiLevelType w:val="hybridMultilevel"/>
    <w:tmpl w:val="967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17092"/>
    <w:multiLevelType w:val="hybridMultilevel"/>
    <w:tmpl w:val="D3A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F7911"/>
    <w:multiLevelType w:val="hybridMultilevel"/>
    <w:tmpl w:val="BDA0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3"/>
  </w:num>
  <w:num w:numId="7">
    <w:abstractNumId w:val="19"/>
  </w:num>
  <w:num w:numId="8">
    <w:abstractNumId w:val="27"/>
  </w:num>
  <w:num w:numId="9">
    <w:abstractNumId w:val="8"/>
  </w:num>
  <w:num w:numId="10">
    <w:abstractNumId w:val="29"/>
  </w:num>
  <w:num w:numId="11">
    <w:abstractNumId w:val="25"/>
  </w:num>
  <w:num w:numId="12">
    <w:abstractNumId w:val="0"/>
  </w:num>
  <w:num w:numId="13">
    <w:abstractNumId w:val="13"/>
  </w:num>
  <w:num w:numId="14">
    <w:abstractNumId w:val="2"/>
  </w:num>
  <w:num w:numId="15">
    <w:abstractNumId w:val="20"/>
  </w:num>
  <w:num w:numId="16">
    <w:abstractNumId w:val="26"/>
  </w:num>
  <w:num w:numId="17">
    <w:abstractNumId w:val="21"/>
  </w:num>
  <w:num w:numId="18">
    <w:abstractNumId w:val="11"/>
  </w:num>
  <w:num w:numId="19">
    <w:abstractNumId w:val="6"/>
  </w:num>
  <w:num w:numId="20">
    <w:abstractNumId w:val="16"/>
  </w:num>
  <w:num w:numId="21">
    <w:abstractNumId w:val="12"/>
  </w:num>
  <w:num w:numId="22">
    <w:abstractNumId w:val="9"/>
  </w:num>
  <w:num w:numId="23">
    <w:abstractNumId w:val="28"/>
  </w:num>
  <w:num w:numId="24">
    <w:abstractNumId w:val="14"/>
  </w:num>
  <w:num w:numId="25">
    <w:abstractNumId w:val="1"/>
  </w:num>
  <w:num w:numId="26">
    <w:abstractNumId w:val="18"/>
  </w:num>
  <w:num w:numId="27">
    <w:abstractNumId w:val="4"/>
  </w:num>
  <w:num w:numId="28">
    <w:abstractNumId w:val="22"/>
  </w:num>
  <w:num w:numId="29">
    <w:abstractNumId w:val="24"/>
  </w:num>
  <w:num w:numId="3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8"/>
    <w:rsid w:val="00002A34"/>
    <w:rsid w:val="00003964"/>
    <w:rsid w:val="00003B3D"/>
    <w:rsid w:val="0001446C"/>
    <w:rsid w:val="000229B8"/>
    <w:rsid w:val="0003763D"/>
    <w:rsid w:val="000738D7"/>
    <w:rsid w:val="0008124D"/>
    <w:rsid w:val="000C1CAA"/>
    <w:rsid w:val="000C724B"/>
    <w:rsid w:val="000D468B"/>
    <w:rsid w:val="000D636F"/>
    <w:rsid w:val="000E621C"/>
    <w:rsid w:val="000E634D"/>
    <w:rsid w:val="00102444"/>
    <w:rsid w:val="0011165A"/>
    <w:rsid w:val="001358BB"/>
    <w:rsid w:val="00146C67"/>
    <w:rsid w:val="0015178D"/>
    <w:rsid w:val="001550A8"/>
    <w:rsid w:val="001567D6"/>
    <w:rsid w:val="00162C10"/>
    <w:rsid w:val="0016388A"/>
    <w:rsid w:val="001F4918"/>
    <w:rsid w:val="00205E1D"/>
    <w:rsid w:val="0023608F"/>
    <w:rsid w:val="00242688"/>
    <w:rsid w:val="00245C39"/>
    <w:rsid w:val="002479D7"/>
    <w:rsid w:val="00263642"/>
    <w:rsid w:val="00270234"/>
    <w:rsid w:val="00290958"/>
    <w:rsid w:val="00296EA2"/>
    <w:rsid w:val="002B4980"/>
    <w:rsid w:val="002D29DE"/>
    <w:rsid w:val="002D63CE"/>
    <w:rsid w:val="002D72CF"/>
    <w:rsid w:val="002D7B20"/>
    <w:rsid w:val="002E4C2C"/>
    <w:rsid w:val="002E5E99"/>
    <w:rsid w:val="002F04B7"/>
    <w:rsid w:val="002F350A"/>
    <w:rsid w:val="002F6DA2"/>
    <w:rsid w:val="00302293"/>
    <w:rsid w:val="003036FD"/>
    <w:rsid w:val="003110AC"/>
    <w:rsid w:val="00311C86"/>
    <w:rsid w:val="0031761A"/>
    <w:rsid w:val="00317CA7"/>
    <w:rsid w:val="0032086A"/>
    <w:rsid w:val="00350E83"/>
    <w:rsid w:val="00371E86"/>
    <w:rsid w:val="003741A5"/>
    <w:rsid w:val="003746BA"/>
    <w:rsid w:val="003840A8"/>
    <w:rsid w:val="003904A5"/>
    <w:rsid w:val="003A0AAC"/>
    <w:rsid w:val="003A2361"/>
    <w:rsid w:val="003A3FA3"/>
    <w:rsid w:val="003B45A0"/>
    <w:rsid w:val="003C4F46"/>
    <w:rsid w:val="003E41BC"/>
    <w:rsid w:val="003E45F4"/>
    <w:rsid w:val="003F6457"/>
    <w:rsid w:val="003F6761"/>
    <w:rsid w:val="00406A55"/>
    <w:rsid w:val="00426641"/>
    <w:rsid w:val="00427A4B"/>
    <w:rsid w:val="00444D59"/>
    <w:rsid w:val="0045211A"/>
    <w:rsid w:val="00486168"/>
    <w:rsid w:val="004B33D9"/>
    <w:rsid w:val="004C2E03"/>
    <w:rsid w:val="004D28A7"/>
    <w:rsid w:val="004D2F62"/>
    <w:rsid w:val="004E0162"/>
    <w:rsid w:val="004F2A15"/>
    <w:rsid w:val="004F4945"/>
    <w:rsid w:val="00501DDE"/>
    <w:rsid w:val="005107E2"/>
    <w:rsid w:val="00514515"/>
    <w:rsid w:val="00550432"/>
    <w:rsid w:val="005605E1"/>
    <w:rsid w:val="005638C8"/>
    <w:rsid w:val="00564155"/>
    <w:rsid w:val="00571809"/>
    <w:rsid w:val="00572225"/>
    <w:rsid w:val="00575DBA"/>
    <w:rsid w:val="005809CC"/>
    <w:rsid w:val="00586CE2"/>
    <w:rsid w:val="005A1F4A"/>
    <w:rsid w:val="005A56D7"/>
    <w:rsid w:val="006048E8"/>
    <w:rsid w:val="0061065E"/>
    <w:rsid w:val="00613753"/>
    <w:rsid w:val="006167DD"/>
    <w:rsid w:val="0061722C"/>
    <w:rsid w:val="0066163D"/>
    <w:rsid w:val="00675158"/>
    <w:rsid w:val="00676F69"/>
    <w:rsid w:val="00683816"/>
    <w:rsid w:val="00694323"/>
    <w:rsid w:val="00694B31"/>
    <w:rsid w:val="0069517D"/>
    <w:rsid w:val="006D2AF6"/>
    <w:rsid w:val="006D4D75"/>
    <w:rsid w:val="006F0744"/>
    <w:rsid w:val="006F26A6"/>
    <w:rsid w:val="006F459D"/>
    <w:rsid w:val="007202C1"/>
    <w:rsid w:val="00762657"/>
    <w:rsid w:val="00763CE9"/>
    <w:rsid w:val="007649D2"/>
    <w:rsid w:val="0077591D"/>
    <w:rsid w:val="00777A2C"/>
    <w:rsid w:val="00784BBB"/>
    <w:rsid w:val="007A239E"/>
    <w:rsid w:val="007A2908"/>
    <w:rsid w:val="007A2F5D"/>
    <w:rsid w:val="007C7455"/>
    <w:rsid w:val="007C74F6"/>
    <w:rsid w:val="007E1787"/>
    <w:rsid w:val="007F2B1F"/>
    <w:rsid w:val="00801E88"/>
    <w:rsid w:val="008078F9"/>
    <w:rsid w:val="0081299C"/>
    <w:rsid w:val="00812EB4"/>
    <w:rsid w:val="00816531"/>
    <w:rsid w:val="00817420"/>
    <w:rsid w:val="0083036C"/>
    <w:rsid w:val="00842A1A"/>
    <w:rsid w:val="0087406A"/>
    <w:rsid w:val="00876F1E"/>
    <w:rsid w:val="008A0E05"/>
    <w:rsid w:val="008A6EFD"/>
    <w:rsid w:val="008C6453"/>
    <w:rsid w:val="008C6D1C"/>
    <w:rsid w:val="008E0517"/>
    <w:rsid w:val="008F65F2"/>
    <w:rsid w:val="008F794F"/>
    <w:rsid w:val="009143C6"/>
    <w:rsid w:val="00920B58"/>
    <w:rsid w:val="009538C9"/>
    <w:rsid w:val="00965414"/>
    <w:rsid w:val="009710CB"/>
    <w:rsid w:val="00973DC5"/>
    <w:rsid w:val="0099732F"/>
    <w:rsid w:val="009A0440"/>
    <w:rsid w:val="009A0457"/>
    <w:rsid w:val="009A7DE0"/>
    <w:rsid w:val="009B1B16"/>
    <w:rsid w:val="00A04215"/>
    <w:rsid w:val="00A1173A"/>
    <w:rsid w:val="00A1283F"/>
    <w:rsid w:val="00A30389"/>
    <w:rsid w:val="00A32BBB"/>
    <w:rsid w:val="00A40F97"/>
    <w:rsid w:val="00A50FAA"/>
    <w:rsid w:val="00A66049"/>
    <w:rsid w:val="00A72094"/>
    <w:rsid w:val="00A84F2B"/>
    <w:rsid w:val="00A8503F"/>
    <w:rsid w:val="00A9210B"/>
    <w:rsid w:val="00AB35BF"/>
    <w:rsid w:val="00AC217B"/>
    <w:rsid w:val="00AD05AA"/>
    <w:rsid w:val="00AD3909"/>
    <w:rsid w:val="00AD6DF0"/>
    <w:rsid w:val="00B1590E"/>
    <w:rsid w:val="00B253DA"/>
    <w:rsid w:val="00B44B10"/>
    <w:rsid w:val="00B47DD6"/>
    <w:rsid w:val="00B51EF7"/>
    <w:rsid w:val="00BB3D72"/>
    <w:rsid w:val="00BC3B39"/>
    <w:rsid w:val="00BD3D0D"/>
    <w:rsid w:val="00BD7DEC"/>
    <w:rsid w:val="00BE3C0C"/>
    <w:rsid w:val="00BE6B99"/>
    <w:rsid w:val="00BE6D4B"/>
    <w:rsid w:val="00BF4481"/>
    <w:rsid w:val="00C03F5B"/>
    <w:rsid w:val="00C04768"/>
    <w:rsid w:val="00C05699"/>
    <w:rsid w:val="00C05BB4"/>
    <w:rsid w:val="00C25639"/>
    <w:rsid w:val="00C30FE1"/>
    <w:rsid w:val="00C3521C"/>
    <w:rsid w:val="00C46F40"/>
    <w:rsid w:val="00C51E7B"/>
    <w:rsid w:val="00C87EB4"/>
    <w:rsid w:val="00C94000"/>
    <w:rsid w:val="00CC1889"/>
    <w:rsid w:val="00CD37D3"/>
    <w:rsid w:val="00D06AAC"/>
    <w:rsid w:val="00D13AC3"/>
    <w:rsid w:val="00D1559C"/>
    <w:rsid w:val="00D1674A"/>
    <w:rsid w:val="00D17487"/>
    <w:rsid w:val="00D20F06"/>
    <w:rsid w:val="00D249AE"/>
    <w:rsid w:val="00D47298"/>
    <w:rsid w:val="00D510DD"/>
    <w:rsid w:val="00D6293D"/>
    <w:rsid w:val="00D733EE"/>
    <w:rsid w:val="00D7638F"/>
    <w:rsid w:val="00D845FC"/>
    <w:rsid w:val="00D918FD"/>
    <w:rsid w:val="00DA0A18"/>
    <w:rsid w:val="00DB3355"/>
    <w:rsid w:val="00DB57DB"/>
    <w:rsid w:val="00DC01B8"/>
    <w:rsid w:val="00DC11CA"/>
    <w:rsid w:val="00DD01F6"/>
    <w:rsid w:val="00DD770D"/>
    <w:rsid w:val="00DF17C2"/>
    <w:rsid w:val="00E13828"/>
    <w:rsid w:val="00E27D02"/>
    <w:rsid w:val="00E3647F"/>
    <w:rsid w:val="00E6726C"/>
    <w:rsid w:val="00E6778B"/>
    <w:rsid w:val="00E753A8"/>
    <w:rsid w:val="00E847AE"/>
    <w:rsid w:val="00E85C88"/>
    <w:rsid w:val="00E86FD2"/>
    <w:rsid w:val="00E90D1C"/>
    <w:rsid w:val="00EB6117"/>
    <w:rsid w:val="00ED408A"/>
    <w:rsid w:val="00EE2A84"/>
    <w:rsid w:val="00EE49D6"/>
    <w:rsid w:val="00EE6B4C"/>
    <w:rsid w:val="00F245B6"/>
    <w:rsid w:val="00F31C7B"/>
    <w:rsid w:val="00F34A81"/>
    <w:rsid w:val="00F370A9"/>
    <w:rsid w:val="00F45E24"/>
    <w:rsid w:val="00F555F1"/>
    <w:rsid w:val="00F73AC1"/>
    <w:rsid w:val="00F7575A"/>
    <w:rsid w:val="00F772BE"/>
    <w:rsid w:val="00F80D75"/>
    <w:rsid w:val="00F8692A"/>
    <w:rsid w:val="00F9081F"/>
    <w:rsid w:val="00F950FD"/>
    <w:rsid w:val="00FB39DC"/>
    <w:rsid w:val="00FC6D2E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CCF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677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677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77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158"/>
    <w:pPr>
      <w:spacing w:line="480" w:lineRule="auto"/>
    </w:pPr>
    <w:rPr>
      <w:rFonts w:ascii="Times New Roman" w:eastAsia="Times New Roman" w:hAnsi="Times New Roman"/>
      <w:lang w:val="x-none"/>
    </w:rPr>
  </w:style>
  <w:style w:type="character" w:customStyle="1" w:styleId="22">
    <w:name w:val="Основной текст 2 Знак"/>
    <w:basedOn w:val="a0"/>
    <w:link w:val="21"/>
    <w:rsid w:val="00675158"/>
    <w:rPr>
      <w:rFonts w:ascii="Times New Roman" w:eastAsia="Times New Roman" w:hAnsi="Times New Roman"/>
      <w:color w:val="auto"/>
      <w:sz w:val="20"/>
      <w:szCs w:val="20"/>
      <w:lang w:val="x-none"/>
    </w:rPr>
  </w:style>
  <w:style w:type="paragraph" w:styleId="a3">
    <w:name w:val="List Paragraph"/>
    <w:basedOn w:val="a"/>
    <w:link w:val="a4"/>
    <w:uiPriority w:val="34"/>
    <w:qFormat/>
    <w:rsid w:val="00E677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6778B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E6778B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1550A8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  <w:lang w:val="en-GB"/>
    </w:rPr>
  </w:style>
  <w:style w:type="paragraph" w:styleId="a7">
    <w:name w:val="footnote text"/>
    <w:basedOn w:val="a"/>
    <w:link w:val="a8"/>
    <w:uiPriority w:val="99"/>
    <w:unhideWhenUsed/>
    <w:rsid w:val="00E6778B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E6778B"/>
    <w:rPr>
      <w:rFonts w:ascii="Arial" w:hAnsi="Arial"/>
      <w:color w:val="auto"/>
      <w:sz w:val="16"/>
    </w:rPr>
  </w:style>
  <w:style w:type="character" w:styleId="a9">
    <w:name w:val="footnote reference"/>
    <w:basedOn w:val="a0"/>
    <w:uiPriority w:val="99"/>
    <w:unhideWhenUsed/>
    <w:rsid w:val="00E6778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677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8B"/>
    <w:rPr>
      <w:rFonts w:ascii="Lucida Grande" w:hAnsi="Lucida Grande" w:cs="Lucida Grande"/>
      <w:color w:val="auto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F4945"/>
    <w:pPr>
      <w:spacing w:after="100"/>
    </w:pPr>
    <w:rPr>
      <w:rFonts w:ascii="Calibri" w:hAnsi="Calibri" w:cstheme="minorBidi"/>
      <w:sz w:val="24"/>
      <w:szCs w:val="24"/>
      <w:lang w:val="en-GB" w:eastAsia="ja-JP"/>
    </w:rPr>
  </w:style>
  <w:style w:type="character" w:customStyle="1" w:styleId="ad">
    <w:name w:val="Текст комментария Знак"/>
    <w:basedOn w:val="a0"/>
    <w:link w:val="ac"/>
    <w:uiPriority w:val="99"/>
    <w:rsid w:val="004F4945"/>
    <w:rPr>
      <w:rFonts w:ascii="Calibri" w:hAnsi="Calibri" w:cstheme="minorBidi"/>
      <w:color w:val="auto"/>
      <w:sz w:val="24"/>
      <w:szCs w:val="24"/>
      <w:lang w:val="en-GB" w:eastAsia="ja-JP"/>
    </w:rPr>
  </w:style>
  <w:style w:type="paragraph" w:styleId="ae">
    <w:name w:val="Revision"/>
    <w:hidden/>
    <w:uiPriority w:val="99"/>
    <w:semiHidden/>
    <w:rsid w:val="00E6778B"/>
    <w:rPr>
      <w:rFonts w:ascii="Arial" w:hAnsi="Arial" w:cs="Arial"/>
      <w:color w:val="auto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E6778B"/>
    <w:pPr>
      <w:spacing w:after="0" w:line="288" w:lineRule="auto"/>
      <w:jc w:val="left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E6778B"/>
    <w:rPr>
      <w:rFonts w:ascii="Arial" w:hAnsi="Arial"/>
      <w:color w:val="auto"/>
      <w:sz w:val="16"/>
      <w:szCs w:val="20"/>
    </w:rPr>
  </w:style>
  <w:style w:type="paragraph" w:styleId="af1">
    <w:name w:val="footer"/>
    <w:basedOn w:val="a"/>
    <w:link w:val="af2"/>
    <w:uiPriority w:val="99"/>
    <w:unhideWhenUsed/>
    <w:rsid w:val="00E6778B"/>
    <w:pPr>
      <w:spacing w:after="0"/>
      <w:jc w:val="left"/>
    </w:pPr>
    <w:rPr>
      <w:sz w:val="16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E6778B"/>
    <w:rPr>
      <w:rFonts w:ascii="Arial" w:hAnsi="Arial"/>
      <w:color w:val="auto"/>
      <w:sz w:val="16"/>
      <w:szCs w:val="18"/>
    </w:rPr>
  </w:style>
  <w:style w:type="character" w:styleId="af3">
    <w:name w:val="page number"/>
    <w:basedOn w:val="a0"/>
    <w:uiPriority w:val="99"/>
    <w:unhideWhenUsed/>
    <w:rsid w:val="00E6778B"/>
    <w:rPr>
      <w:b/>
    </w:rPr>
  </w:style>
  <w:style w:type="character" w:styleId="af4">
    <w:name w:val="annotation reference"/>
    <w:basedOn w:val="a0"/>
    <w:uiPriority w:val="99"/>
    <w:semiHidden/>
    <w:unhideWhenUsed/>
    <w:rsid w:val="00E6778B"/>
    <w:rPr>
      <w:sz w:val="18"/>
      <w:szCs w:val="18"/>
    </w:rPr>
  </w:style>
  <w:style w:type="paragraph" w:styleId="af5">
    <w:name w:val="annotation subject"/>
    <w:basedOn w:val="a"/>
    <w:link w:val="af6"/>
    <w:uiPriority w:val="99"/>
    <w:semiHidden/>
    <w:unhideWhenUsed/>
    <w:rsid w:val="00E6778B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E6778B"/>
    <w:rPr>
      <w:rFonts w:ascii="Arial" w:hAnsi="Arial"/>
      <w:b/>
      <w:bCs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78B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6778B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6778B"/>
    <w:rPr>
      <w:rFonts w:ascii="Arial" w:hAnsi="Arial"/>
      <w:b/>
      <w:color w:val="auto"/>
      <w:szCs w:val="24"/>
    </w:rPr>
  </w:style>
  <w:style w:type="paragraph" w:customStyle="1" w:styleId="Default">
    <w:name w:val="Default"/>
    <w:rsid w:val="00E677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Hyperlink"/>
    <w:basedOn w:val="a0"/>
    <w:uiPriority w:val="99"/>
    <w:unhideWhenUsed/>
    <w:rsid w:val="00E6778B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E6778B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E677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677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6778B"/>
    <w:pPr>
      <w:numPr>
        <w:numId w:val="27"/>
      </w:numPr>
      <w:spacing w:before="60"/>
      <w:ind w:left="714" w:hanging="357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677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677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"/>
    <w:rsid w:val="00E6778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6778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6778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E6778B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E6778B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6778B"/>
    <w:pPr>
      <w:numPr>
        <w:ilvl w:val="1"/>
        <w:numId w:val="2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6778B"/>
    <w:pPr>
      <w:numPr>
        <w:numId w:val="2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E6778B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6778B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2D63CE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E677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778B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677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677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77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158"/>
    <w:pPr>
      <w:spacing w:line="480" w:lineRule="auto"/>
    </w:pPr>
    <w:rPr>
      <w:rFonts w:ascii="Times New Roman" w:eastAsia="Times New Roman" w:hAnsi="Times New Roman"/>
      <w:lang w:val="x-none"/>
    </w:rPr>
  </w:style>
  <w:style w:type="character" w:customStyle="1" w:styleId="22">
    <w:name w:val="Основной текст 2 Знак"/>
    <w:basedOn w:val="a0"/>
    <w:link w:val="21"/>
    <w:rsid w:val="00675158"/>
    <w:rPr>
      <w:rFonts w:ascii="Times New Roman" w:eastAsia="Times New Roman" w:hAnsi="Times New Roman"/>
      <w:color w:val="auto"/>
      <w:sz w:val="20"/>
      <w:szCs w:val="20"/>
      <w:lang w:val="x-none"/>
    </w:rPr>
  </w:style>
  <w:style w:type="paragraph" w:styleId="a3">
    <w:name w:val="List Paragraph"/>
    <w:basedOn w:val="a"/>
    <w:link w:val="a4"/>
    <w:uiPriority w:val="34"/>
    <w:qFormat/>
    <w:rsid w:val="00E677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6778B"/>
    <w:rPr>
      <w:rFonts w:ascii="Arial" w:eastAsiaTheme="minorHAnsi" w:hAnsi="Arial" w:cstheme="minorBidi"/>
      <w:color w:val="auto"/>
      <w:sz w:val="20"/>
    </w:rPr>
  </w:style>
  <w:style w:type="table" w:styleId="a5">
    <w:name w:val="Table Grid"/>
    <w:basedOn w:val="a1"/>
    <w:uiPriority w:val="59"/>
    <w:rsid w:val="00E6778B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1550A8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  <w:lang w:val="en-GB"/>
    </w:rPr>
  </w:style>
  <w:style w:type="paragraph" w:styleId="a7">
    <w:name w:val="footnote text"/>
    <w:basedOn w:val="a"/>
    <w:link w:val="a8"/>
    <w:uiPriority w:val="99"/>
    <w:unhideWhenUsed/>
    <w:rsid w:val="00E6778B"/>
    <w:pPr>
      <w:spacing w:after="0"/>
    </w:pPr>
    <w:rPr>
      <w:sz w:val="16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E6778B"/>
    <w:rPr>
      <w:rFonts w:ascii="Arial" w:hAnsi="Arial"/>
      <w:color w:val="auto"/>
      <w:sz w:val="16"/>
    </w:rPr>
  </w:style>
  <w:style w:type="character" w:styleId="a9">
    <w:name w:val="footnote reference"/>
    <w:basedOn w:val="a0"/>
    <w:uiPriority w:val="99"/>
    <w:unhideWhenUsed/>
    <w:rsid w:val="00E6778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677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8B"/>
    <w:rPr>
      <w:rFonts w:ascii="Lucida Grande" w:hAnsi="Lucida Grande" w:cs="Lucida Grande"/>
      <w:color w:val="auto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F4945"/>
    <w:pPr>
      <w:spacing w:after="100"/>
    </w:pPr>
    <w:rPr>
      <w:rFonts w:ascii="Calibri" w:hAnsi="Calibri" w:cstheme="minorBidi"/>
      <w:sz w:val="24"/>
      <w:szCs w:val="24"/>
      <w:lang w:val="en-GB" w:eastAsia="ja-JP"/>
    </w:rPr>
  </w:style>
  <w:style w:type="character" w:customStyle="1" w:styleId="ad">
    <w:name w:val="Текст комментария Знак"/>
    <w:basedOn w:val="a0"/>
    <w:link w:val="ac"/>
    <w:uiPriority w:val="99"/>
    <w:rsid w:val="004F4945"/>
    <w:rPr>
      <w:rFonts w:ascii="Calibri" w:hAnsi="Calibri" w:cstheme="minorBidi"/>
      <w:color w:val="auto"/>
      <w:sz w:val="24"/>
      <w:szCs w:val="24"/>
      <w:lang w:val="en-GB" w:eastAsia="ja-JP"/>
    </w:rPr>
  </w:style>
  <w:style w:type="paragraph" w:styleId="ae">
    <w:name w:val="Revision"/>
    <w:hidden/>
    <w:uiPriority w:val="99"/>
    <w:semiHidden/>
    <w:rsid w:val="00E6778B"/>
    <w:rPr>
      <w:rFonts w:ascii="Arial" w:hAnsi="Arial" w:cs="Arial"/>
      <w:color w:val="auto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E6778B"/>
    <w:pPr>
      <w:spacing w:after="0" w:line="288" w:lineRule="auto"/>
      <w:jc w:val="left"/>
    </w:pPr>
    <w:rPr>
      <w:sz w:val="16"/>
    </w:rPr>
  </w:style>
  <w:style w:type="character" w:customStyle="1" w:styleId="af0">
    <w:name w:val="Верхний колонтитул Знак"/>
    <w:basedOn w:val="a0"/>
    <w:link w:val="af"/>
    <w:uiPriority w:val="99"/>
    <w:rsid w:val="00E6778B"/>
    <w:rPr>
      <w:rFonts w:ascii="Arial" w:hAnsi="Arial"/>
      <w:color w:val="auto"/>
      <w:sz w:val="16"/>
      <w:szCs w:val="20"/>
    </w:rPr>
  </w:style>
  <w:style w:type="paragraph" w:styleId="af1">
    <w:name w:val="footer"/>
    <w:basedOn w:val="a"/>
    <w:link w:val="af2"/>
    <w:uiPriority w:val="99"/>
    <w:unhideWhenUsed/>
    <w:rsid w:val="00E6778B"/>
    <w:pPr>
      <w:spacing w:after="0"/>
      <w:jc w:val="left"/>
    </w:pPr>
    <w:rPr>
      <w:sz w:val="16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E6778B"/>
    <w:rPr>
      <w:rFonts w:ascii="Arial" w:hAnsi="Arial"/>
      <w:color w:val="auto"/>
      <w:sz w:val="16"/>
      <w:szCs w:val="18"/>
    </w:rPr>
  </w:style>
  <w:style w:type="character" w:styleId="af3">
    <w:name w:val="page number"/>
    <w:basedOn w:val="a0"/>
    <w:uiPriority w:val="99"/>
    <w:unhideWhenUsed/>
    <w:rsid w:val="00E6778B"/>
    <w:rPr>
      <w:b/>
    </w:rPr>
  </w:style>
  <w:style w:type="character" w:styleId="af4">
    <w:name w:val="annotation reference"/>
    <w:basedOn w:val="a0"/>
    <w:uiPriority w:val="99"/>
    <w:semiHidden/>
    <w:unhideWhenUsed/>
    <w:rsid w:val="00E6778B"/>
    <w:rPr>
      <w:sz w:val="18"/>
      <w:szCs w:val="18"/>
    </w:rPr>
  </w:style>
  <w:style w:type="paragraph" w:styleId="af5">
    <w:name w:val="annotation subject"/>
    <w:basedOn w:val="a"/>
    <w:link w:val="af6"/>
    <w:uiPriority w:val="99"/>
    <w:semiHidden/>
    <w:unhideWhenUsed/>
    <w:rsid w:val="00E6778B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E6778B"/>
    <w:rPr>
      <w:rFonts w:ascii="Arial" w:hAnsi="Arial"/>
      <w:b/>
      <w:bCs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78B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6778B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6778B"/>
    <w:rPr>
      <w:rFonts w:ascii="Arial" w:hAnsi="Arial"/>
      <w:b/>
      <w:color w:val="auto"/>
      <w:szCs w:val="24"/>
    </w:rPr>
  </w:style>
  <w:style w:type="paragraph" w:customStyle="1" w:styleId="Default">
    <w:name w:val="Default"/>
    <w:rsid w:val="00E677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Hyperlink"/>
    <w:basedOn w:val="a0"/>
    <w:uiPriority w:val="99"/>
    <w:unhideWhenUsed/>
    <w:rsid w:val="00E6778B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E6778B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E677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677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6778B"/>
    <w:pPr>
      <w:numPr>
        <w:numId w:val="27"/>
      </w:numPr>
      <w:spacing w:before="60"/>
      <w:ind w:left="714" w:hanging="357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677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677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"/>
    <w:rsid w:val="00E6778B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6778B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6778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E6778B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E6778B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6778B"/>
    <w:pPr>
      <w:numPr>
        <w:ilvl w:val="1"/>
        <w:numId w:val="2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6778B"/>
    <w:pPr>
      <w:numPr>
        <w:numId w:val="2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E6778B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6778B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2D63CE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E677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778B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ifrc.org/PageFiles/94411/IFRC%20BCA%20Lesson%20Learned%20doc_final.pdf" TargetMode="External"/><Relationship Id="rId10" Type="http://schemas.openxmlformats.org/officeDocument/2006/relationships/hyperlink" Target="http://www.cashlearning.org/resources/library/28-communicating-cash-a-field-guide-to-beneficiary-communications-in-cash-transfer-programming-screen-vers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211</TotalTime>
  <Pages>7</Pages>
  <Words>2263</Words>
  <Characters>12904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50</cp:revision>
  <cp:lastPrinted>2015-09-17T01:54:00Z</cp:lastPrinted>
  <dcterms:created xsi:type="dcterms:W3CDTF">2015-09-11T10:38:00Z</dcterms:created>
  <dcterms:modified xsi:type="dcterms:W3CDTF">2017-04-04T17:47:00Z</dcterms:modified>
</cp:coreProperties>
</file>