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B99FA" w14:textId="179162BD" w:rsidR="00752615" w:rsidRPr="00744A84" w:rsidRDefault="00FA18F2" w:rsidP="008E5991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744A84">
        <w:rPr>
          <w:rFonts w:ascii="Times New Roman" w:hAnsi="Times New Roman"/>
          <w:sz w:val="36"/>
          <w:szCs w:val="36"/>
          <w:lang w:val="ru-RU"/>
        </w:rPr>
        <w:t>Дорожная карта по в</w:t>
      </w:r>
      <w:r w:rsidR="000D0C3F" w:rsidRPr="00744A84">
        <w:rPr>
          <w:rFonts w:ascii="Times New Roman" w:hAnsi="Times New Roman"/>
          <w:sz w:val="36"/>
          <w:szCs w:val="36"/>
          <w:lang w:val="ru-RU"/>
        </w:rPr>
        <w:t>о</w:t>
      </w:r>
      <w:r w:rsidRPr="00744A84">
        <w:rPr>
          <w:rFonts w:ascii="Times New Roman" w:hAnsi="Times New Roman"/>
          <w:sz w:val="36"/>
          <w:szCs w:val="36"/>
          <w:lang w:val="ru-RU"/>
        </w:rPr>
        <w:t>п</w:t>
      </w:r>
      <w:r w:rsidR="000D0C3F" w:rsidRPr="00744A84">
        <w:rPr>
          <w:rFonts w:ascii="Times New Roman" w:hAnsi="Times New Roman"/>
          <w:sz w:val="36"/>
          <w:szCs w:val="36"/>
          <w:lang w:val="ru-RU"/>
        </w:rPr>
        <w:t>росам анализа вариантов реагирования</w:t>
      </w:r>
    </w:p>
    <w:p w14:paraId="2F9E544A" w14:textId="77777777" w:rsidR="003179F0" w:rsidRPr="00744A84" w:rsidRDefault="003179F0" w:rsidP="008E5991">
      <w:pPr>
        <w:pStyle w:val="H1"/>
        <w:rPr>
          <w:rFonts w:ascii="Times New Roman" w:hAnsi="Times New Roman"/>
          <w:sz w:val="28"/>
          <w:szCs w:val="28"/>
          <w:lang w:val="ru-RU"/>
        </w:rPr>
      </w:pPr>
    </w:p>
    <w:p w14:paraId="0FCC425B" w14:textId="7A9AC56A" w:rsidR="007D1A58" w:rsidRPr="00744A84" w:rsidRDefault="000D0C3F" w:rsidP="008E5991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4A84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410D3614" w14:textId="1EA54A29" w:rsidR="000D0C3F" w:rsidRPr="00744A84" w:rsidRDefault="000D0C3F" w:rsidP="003179F0">
      <w:pPr>
        <w:rPr>
          <w:rFonts w:ascii="Times New Roman" w:hAnsi="Times New Roman"/>
          <w:sz w:val="28"/>
          <w:szCs w:val="28"/>
          <w:lang w:val="ru-RU"/>
        </w:rPr>
      </w:pPr>
      <w:r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Данная дорожная карта содержит руководящие указания по использованию материалов модуля, посвященного вопросам анализа вариантов реагирования. Анализ вариантов реагирования, как правило, </w:t>
      </w:r>
      <w:r w:rsidR="0048426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осуществляется</w:t>
      </w:r>
      <w:r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после проведения оценки исходной ситуации, в рамках которой </w:t>
      </w:r>
      <w:r w:rsidR="0048426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определяются</w:t>
      </w:r>
      <w:r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потребност</w:t>
      </w:r>
      <w:r w:rsidRPr="00744A84">
        <w:rPr>
          <w:rFonts w:ascii="Times New Roman" w:hAnsi="Times New Roman"/>
          <w:sz w:val="28"/>
          <w:szCs w:val="28"/>
          <w:lang w:val="ru-RU"/>
        </w:rPr>
        <w:t>и</w:t>
      </w:r>
      <w:r w:rsidR="006D3A93" w:rsidRPr="00744A84">
        <w:rPr>
          <w:rStyle w:val="af6"/>
          <w:rFonts w:ascii="Times New Roman" w:hAnsi="Times New Roman"/>
          <w:sz w:val="28"/>
          <w:szCs w:val="28"/>
          <w:lang w:val="ru-RU"/>
        </w:rPr>
        <w:footnoteReference w:id="1"/>
      </w:r>
      <w:r w:rsidRPr="00744A84">
        <w:rPr>
          <w:rFonts w:ascii="Times New Roman" w:hAnsi="Times New Roman"/>
          <w:sz w:val="28"/>
          <w:szCs w:val="28"/>
          <w:lang w:val="ru-RU"/>
        </w:rPr>
        <w:t xml:space="preserve"> пострадавших групп населения.</w:t>
      </w:r>
      <w:r w:rsidR="00EB1B45" w:rsidRPr="00744A84">
        <w:rPr>
          <w:rFonts w:ascii="Times New Roman" w:hAnsi="Times New Roman"/>
          <w:sz w:val="28"/>
          <w:szCs w:val="28"/>
          <w:lang w:val="ru-RU"/>
        </w:rPr>
        <w:t xml:space="preserve"> Процесс анализа вариантов реагирования поможет вам определить наиболее рентабельные и эффективные варианты реагирования с учетом намеченных целей по удовлетворению чрезвычайных потребностей.</w:t>
      </w:r>
    </w:p>
    <w:p w14:paraId="699F08F6" w14:textId="5A881C7A" w:rsidR="000D0C3F" w:rsidRPr="00744A84" w:rsidRDefault="00EB1B45" w:rsidP="003179F0">
      <w:pPr>
        <w:rPr>
          <w:rFonts w:ascii="Times New Roman" w:hAnsi="Times New Roman"/>
          <w:sz w:val="28"/>
          <w:szCs w:val="28"/>
          <w:lang w:val="ru-RU"/>
        </w:rPr>
      </w:pPr>
      <w:r w:rsidRPr="00744A84">
        <w:rPr>
          <w:rFonts w:ascii="Times New Roman" w:hAnsi="Times New Roman"/>
          <w:sz w:val="28"/>
          <w:szCs w:val="28"/>
          <w:lang w:val="ru-RU"/>
        </w:rPr>
        <w:t>В методол</w:t>
      </w:r>
      <w:r w:rsidR="00484269" w:rsidRPr="00744A84">
        <w:rPr>
          <w:rFonts w:ascii="Times New Roman" w:hAnsi="Times New Roman"/>
          <w:sz w:val="28"/>
          <w:szCs w:val="28"/>
          <w:lang w:val="ru-RU"/>
        </w:rPr>
        <w:t>огических целях процесс анализа</w:t>
      </w:r>
      <w:r w:rsidRPr="00744A84">
        <w:rPr>
          <w:rFonts w:ascii="Times New Roman" w:hAnsi="Times New Roman"/>
          <w:sz w:val="28"/>
          <w:szCs w:val="28"/>
          <w:lang w:val="ru-RU"/>
        </w:rPr>
        <w:t xml:space="preserve"> вариантов реа</w:t>
      </w:r>
      <w:r w:rsidR="00484269" w:rsidRPr="00744A84">
        <w:rPr>
          <w:rFonts w:ascii="Times New Roman" w:hAnsi="Times New Roman"/>
          <w:sz w:val="28"/>
          <w:szCs w:val="28"/>
          <w:lang w:val="ru-RU"/>
        </w:rPr>
        <w:t>гирования подразделяется на нес</w:t>
      </w:r>
      <w:r w:rsidRPr="00744A84">
        <w:rPr>
          <w:rFonts w:ascii="Times New Roman" w:hAnsi="Times New Roman"/>
          <w:sz w:val="28"/>
          <w:szCs w:val="28"/>
          <w:lang w:val="ru-RU"/>
        </w:rPr>
        <w:t xml:space="preserve">колько этапов. Для каждого из них предлагаются свои инструменты, которые необходимо </w:t>
      </w:r>
      <w:r w:rsidR="00484269" w:rsidRPr="00744A84">
        <w:rPr>
          <w:rFonts w:ascii="Times New Roman" w:hAnsi="Times New Roman"/>
          <w:sz w:val="28"/>
          <w:szCs w:val="28"/>
          <w:lang w:val="ru-RU"/>
        </w:rPr>
        <w:t>адаптировать</w:t>
      </w:r>
      <w:r w:rsidRPr="00744A84">
        <w:rPr>
          <w:rFonts w:ascii="Times New Roman" w:hAnsi="Times New Roman"/>
          <w:sz w:val="28"/>
          <w:szCs w:val="28"/>
          <w:lang w:val="ru-RU"/>
        </w:rPr>
        <w:t xml:space="preserve"> к местным условиям и </w:t>
      </w:r>
      <w:r w:rsidR="00484269" w:rsidRPr="00744A84">
        <w:rPr>
          <w:rFonts w:ascii="Times New Roman" w:hAnsi="Times New Roman"/>
          <w:sz w:val="28"/>
          <w:szCs w:val="28"/>
          <w:lang w:val="ru-RU"/>
        </w:rPr>
        <w:t>конкретным</w:t>
      </w:r>
      <w:r w:rsidRPr="00744A84">
        <w:rPr>
          <w:rFonts w:ascii="Times New Roman" w:hAnsi="Times New Roman"/>
          <w:sz w:val="28"/>
          <w:szCs w:val="28"/>
          <w:lang w:val="ru-RU"/>
        </w:rPr>
        <w:t xml:space="preserve"> программам денежных переводов и особенно</w:t>
      </w:r>
      <w:r w:rsidR="00484269" w:rsidRPr="00744A84">
        <w:rPr>
          <w:rFonts w:ascii="Times New Roman" w:hAnsi="Times New Roman"/>
          <w:sz w:val="28"/>
          <w:szCs w:val="28"/>
          <w:lang w:val="ru-RU"/>
        </w:rPr>
        <w:t xml:space="preserve">стям работы разных организаций. </w:t>
      </w:r>
      <w:r w:rsidR="0054765D" w:rsidRPr="00744A84">
        <w:rPr>
          <w:rFonts w:ascii="Times New Roman" w:hAnsi="Times New Roman"/>
          <w:sz w:val="28"/>
          <w:szCs w:val="28"/>
          <w:lang w:val="ru-RU"/>
        </w:rPr>
        <w:t>При адаптации инструментов следует руководствоваться справочными документами по организации анализа ва</w:t>
      </w:r>
      <w:r w:rsidR="00744A84">
        <w:rPr>
          <w:rFonts w:ascii="Times New Roman" w:hAnsi="Times New Roman"/>
          <w:sz w:val="28"/>
          <w:szCs w:val="28"/>
          <w:lang w:val="ru-RU"/>
        </w:rPr>
        <w:t>риантов реагирования, упомянутыми</w:t>
      </w:r>
      <w:r w:rsidR="0054765D" w:rsidRPr="00744A84">
        <w:rPr>
          <w:rFonts w:ascii="Times New Roman" w:hAnsi="Times New Roman"/>
          <w:sz w:val="28"/>
          <w:szCs w:val="28"/>
          <w:lang w:val="ru-RU"/>
        </w:rPr>
        <w:t xml:space="preserve"> на страницах данного модуля и его подразделов.</w:t>
      </w:r>
    </w:p>
    <w:p w14:paraId="1CC8CB4E" w14:textId="6ADAC269" w:rsidR="00140F31" w:rsidRPr="00744A84" w:rsidRDefault="0054765D" w:rsidP="00140F31">
      <w:pPr>
        <w:rPr>
          <w:rFonts w:ascii="Times New Roman" w:eastAsia="+mn-ea" w:hAnsi="Times New Roman"/>
          <w:iCs/>
          <w:kern w:val="24"/>
          <w:sz w:val="28"/>
          <w:szCs w:val="28"/>
          <w:lang w:val="ru-RU"/>
        </w:rPr>
      </w:pPr>
      <w:r w:rsidRPr="00744A84">
        <w:rPr>
          <w:rFonts w:ascii="Times New Roman" w:eastAsia="+mn-ea" w:hAnsi="Times New Roman"/>
          <w:iCs/>
          <w:kern w:val="24"/>
          <w:sz w:val="28"/>
          <w:szCs w:val="28"/>
          <w:lang w:val="ru-RU"/>
        </w:rPr>
        <w:t>Разделы и подразделы посвящены различным аспектам анализа. При этом, материал не все</w:t>
      </w:r>
      <w:r w:rsidR="00140F31" w:rsidRPr="00744A84">
        <w:rPr>
          <w:rFonts w:ascii="Times New Roman" w:eastAsia="+mn-ea" w:hAnsi="Times New Roman"/>
          <w:iCs/>
          <w:kern w:val="24"/>
          <w:sz w:val="28"/>
          <w:szCs w:val="28"/>
          <w:lang w:val="ru-RU"/>
        </w:rPr>
        <w:t xml:space="preserve">гда излагается последовательно. </w:t>
      </w:r>
      <w:r w:rsidR="00140F31" w:rsidRPr="00744A84">
        <w:rPr>
          <w:rFonts w:ascii="Times New Roman" w:hAnsi="Times New Roman"/>
          <w:sz w:val="28"/>
          <w:szCs w:val="28"/>
          <w:lang w:val="ru-RU"/>
        </w:rPr>
        <w:t xml:space="preserve">Информация по рассматриваемому вопросу разбросана по разным подразделам, в связи с чем у читателя может возникнуть необходимость выборочного изучения материала. Ввиду временных и ресурсных ограничений, характерных для многих </w:t>
      </w:r>
      <w:r w:rsidR="00564C19" w:rsidRPr="00744A84">
        <w:rPr>
          <w:rFonts w:ascii="Times New Roman" w:hAnsi="Times New Roman"/>
          <w:sz w:val="28"/>
          <w:szCs w:val="28"/>
          <w:lang w:val="ru-RU"/>
        </w:rPr>
        <w:t>чрезвычайных операций, какие-то этапы придется пропустить. В любом случае, рекомендуется, по крайней мере, соблюдать установленные минимал</w:t>
      </w:r>
      <w:r w:rsidR="00484269" w:rsidRPr="00744A84">
        <w:rPr>
          <w:rFonts w:ascii="Times New Roman" w:hAnsi="Times New Roman"/>
          <w:sz w:val="28"/>
          <w:szCs w:val="28"/>
          <w:lang w:val="ru-RU"/>
        </w:rPr>
        <w:t xml:space="preserve">ьные стандарты. Это поможет </w:t>
      </w:r>
      <w:r w:rsidR="00564C19" w:rsidRPr="00744A84">
        <w:rPr>
          <w:rFonts w:ascii="Times New Roman" w:hAnsi="Times New Roman"/>
          <w:sz w:val="28"/>
          <w:szCs w:val="28"/>
          <w:lang w:val="ru-RU"/>
        </w:rPr>
        <w:t>чет</w:t>
      </w:r>
      <w:r w:rsidR="00484269" w:rsidRPr="00744A84">
        <w:rPr>
          <w:rFonts w:ascii="Times New Roman" w:hAnsi="Times New Roman"/>
          <w:sz w:val="28"/>
          <w:szCs w:val="28"/>
          <w:lang w:val="ru-RU"/>
        </w:rPr>
        <w:t xml:space="preserve">ко расставить приоритеты в </w:t>
      </w:r>
      <w:r w:rsidR="00564C19" w:rsidRPr="00744A84">
        <w:rPr>
          <w:rFonts w:ascii="Times New Roman" w:hAnsi="Times New Roman"/>
          <w:sz w:val="28"/>
          <w:szCs w:val="28"/>
          <w:lang w:val="ru-RU"/>
        </w:rPr>
        <w:t xml:space="preserve"> работе.</w:t>
      </w:r>
    </w:p>
    <w:p w14:paraId="4B09DA59" w14:textId="11DDD5FB" w:rsidR="001B79C9" w:rsidRPr="00744A84" w:rsidRDefault="00564C19" w:rsidP="008E5991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4A84">
        <w:rPr>
          <w:rFonts w:ascii="Times New Roman" w:hAnsi="Times New Roman"/>
          <w:sz w:val="28"/>
          <w:szCs w:val="28"/>
          <w:lang w:val="ru-RU"/>
        </w:rPr>
        <w:lastRenderedPageBreak/>
        <w:t>минимальные стандарты</w:t>
      </w:r>
    </w:p>
    <w:p w14:paraId="506C4C97" w14:textId="65676887" w:rsidR="00F90F42" w:rsidRPr="00744A84" w:rsidRDefault="00564C19" w:rsidP="001B79C9">
      <w:pPr>
        <w:pStyle w:val="a3"/>
        <w:numPr>
          <w:ilvl w:val="0"/>
          <w:numId w:val="14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Процесс отбора практических механизмов для осуществления операций реагирования должен осуществляться при участии представителей департаментов логистики и финансов. </w:t>
      </w:r>
      <w:r w:rsidR="00F90F42"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40A7713" w14:textId="325DA14A" w:rsidR="00853516" w:rsidRPr="00744A84" w:rsidRDefault="00C72B7C" w:rsidP="001B79C9">
      <w:pPr>
        <w:pStyle w:val="a3"/>
        <w:numPr>
          <w:ilvl w:val="0"/>
          <w:numId w:val="14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 оценить рентабельность каждого потенциального практического механизма.</w:t>
      </w:r>
    </w:p>
    <w:p w14:paraId="3086FF93" w14:textId="47A75F7D" w:rsidR="001B79C9" w:rsidRPr="00744A84" w:rsidRDefault="00C72B7C" w:rsidP="001B79C9">
      <w:pPr>
        <w:pStyle w:val="a3"/>
        <w:numPr>
          <w:ilvl w:val="0"/>
          <w:numId w:val="14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Отбор практических механизмов реализации вариантов реагирования </w:t>
      </w:r>
      <w:r w:rsidR="00744A84"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основываться на сравнительном анализе, подразумевающем, по меньшей мере, оценку</w:t>
      </w:r>
      <w:r w:rsid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возможностей по снижению рисков</w:t>
      </w: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расходов.</w:t>
      </w:r>
    </w:p>
    <w:p w14:paraId="460784EA" w14:textId="14361DE5" w:rsidR="001B79C9" w:rsidRPr="00744A84" w:rsidRDefault="00775328" w:rsidP="001B79C9">
      <w:pPr>
        <w:pStyle w:val="a3"/>
        <w:numPr>
          <w:ilvl w:val="0"/>
          <w:numId w:val="14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 учитывать предпочтения бенефициаров и их возможности (например, по использованию технологий), а также возможные внутрисемейные проблемы</w:t>
      </w:r>
      <w:r w:rsidR="001B79C9"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982EF08" w14:textId="0017C97F" w:rsidR="00E01226" w:rsidRPr="00744A84" w:rsidRDefault="00775328" w:rsidP="00E01226">
      <w:pPr>
        <w:pStyle w:val="a3"/>
        <w:numPr>
          <w:ilvl w:val="0"/>
          <w:numId w:val="14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</w:t>
      </w:r>
      <w:r w:rsidR="002756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учитывать потенциал организаций/партнеров</w:t>
      </w: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обеспечивать доставку наличных денежных средств посредством выбранных практических механизмов</w:t>
      </w:r>
      <w:r w:rsidR="00E01226"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F18E092" w14:textId="1847A2E7" w:rsidR="00853516" w:rsidRPr="00744A84" w:rsidRDefault="00FE41B0" w:rsidP="00853516">
      <w:pPr>
        <w:pStyle w:val="a3"/>
        <w:numPr>
          <w:ilvl w:val="0"/>
          <w:numId w:val="14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Необходимо действовать с полном </w:t>
      </w:r>
      <w:r w:rsidR="00275625"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="006732FE"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установленным порядком и политикой местных органов власти и других государственных организаций.</w:t>
      </w:r>
    </w:p>
    <w:p w14:paraId="186C12A4" w14:textId="782E7CD4" w:rsidR="00527882" w:rsidRPr="00744A84" w:rsidRDefault="00110996" w:rsidP="00527882">
      <w:pPr>
        <w:pStyle w:val="a3"/>
        <w:numPr>
          <w:ilvl w:val="0"/>
          <w:numId w:val="16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Объемы денежных переводов и продолжительность </w:t>
      </w:r>
      <w:r w:rsidR="00C60E90"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программ ПДП </w:t>
      </w:r>
      <w:r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должны отражать потребности домохозяйств, удовлетворение которых необходимо для выполнения целей программы</w:t>
      </w:r>
      <w:r w:rsidR="00C60E90" w:rsidRPr="00744A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без использования негативных стратегий выживания. Объем денежных переводов необходимо согласовать с сообществом</w:t>
      </w:r>
      <w:r w:rsidR="00C60E90" w:rsidRPr="00744A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13C9A4" w14:textId="47566851" w:rsidR="001B79C9" w:rsidRPr="00744A84" w:rsidRDefault="003611E1" w:rsidP="001B79C9">
      <w:pPr>
        <w:pStyle w:val="a3"/>
        <w:numPr>
          <w:ilvl w:val="0"/>
          <w:numId w:val="16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Критерии отбора целевых групп должны соответствовать целям вмешательства, определяться положением местного населения и оперативными условиями и отвечать </w:t>
      </w:r>
      <w:r w:rsidR="00275625"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требованиям</w:t>
      </w: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рентабельности на </w:t>
      </w:r>
      <w:r w:rsidR="00275625"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имеющихся ресурсов</w:t>
      </w:r>
      <w:r w:rsidR="001B79C9"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42626F4" w14:textId="6E0B0B28" w:rsidR="005E22A2" w:rsidRPr="00744A84" w:rsidRDefault="005E22A2" w:rsidP="006D3A93">
      <w:pPr>
        <w:pStyle w:val="a3"/>
        <w:numPr>
          <w:ilvl w:val="0"/>
          <w:numId w:val="16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>Выбор механизмов определения целевых групп должен определяться величиной</w:t>
      </w:r>
      <w:r w:rsidR="00275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расходов, а также такими категориями как точность</w:t>
      </w: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>, рент</w:t>
      </w:r>
      <w:r w:rsidR="00275625">
        <w:rPr>
          <w:rFonts w:ascii="Times New Roman" w:eastAsia="Times New Roman" w:hAnsi="Times New Roman" w:cs="Times New Roman"/>
          <w:sz w:val="28"/>
          <w:szCs w:val="28"/>
          <w:lang w:val="ru-RU"/>
        </w:rPr>
        <w:t>абельность и оперативность</w:t>
      </w: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C234690" w14:textId="663A267A" w:rsidR="005E22A2" w:rsidRPr="00744A84" w:rsidRDefault="005E22A2" w:rsidP="006D3A93">
      <w:pPr>
        <w:pStyle w:val="a3"/>
        <w:numPr>
          <w:ilvl w:val="0"/>
          <w:numId w:val="16"/>
        </w:numPr>
        <w:spacing w:after="60"/>
        <w:contextualSpacing w:val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Варианты осуществления программ “Деньги за труд” должны рассматриваться при наличии необходимости </w:t>
      </w:r>
      <w:r w:rsidR="00275625">
        <w:rPr>
          <w:rFonts w:ascii="Times New Roman" w:eastAsia="Times New Roman" w:hAnsi="Times New Roman" w:cs="Times New Roman"/>
          <w:sz w:val="28"/>
          <w:szCs w:val="28"/>
          <w:lang w:val="ru-RU"/>
        </w:rPr>
        <w:t>в проведении общественных работ</w:t>
      </w: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возможностей и желания их выполнения местным </w:t>
      </w:r>
      <w:r w:rsidR="00275625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="00275625"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>елени</w:t>
      </w:r>
      <w:r w:rsidR="0027562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75625"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44A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При этом осуществление таких программ не должно нарушать привычного уклада жизни людей. </w:t>
      </w:r>
    </w:p>
    <w:p w14:paraId="6FDD8352" w14:textId="174871CC" w:rsidR="00D528AB" w:rsidRPr="00744A84" w:rsidRDefault="005E22A2" w:rsidP="008E5991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4A84">
        <w:rPr>
          <w:rFonts w:ascii="Times New Roman" w:hAnsi="Times New Roman"/>
          <w:sz w:val="28"/>
          <w:szCs w:val="28"/>
          <w:lang w:val="ru-RU"/>
        </w:rPr>
        <w:t>РАЗДЕЛЫ И ПОДРАЗДЕЛЫ</w:t>
      </w:r>
    </w:p>
    <w:p w14:paraId="2003C62B" w14:textId="4895611B" w:rsidR="004E5BB5" w:rsidRPr="00744A84" w:rsidRDefault="009652F7" w:rsidP="003179F0">
      <w:pPr>
        <w:rPr>
          <w:rFonts w:ascii="Times New Roman" w:hAnsi="Times New Roman"/>
          <w:sz w:val="28"/>
          <w:szCs w:val="28"/>
          <w:lang w:val="ru-RU"/>
        </w:rPr>
      </w:pPr>
      <w:r w:rsidRPr="00744A84">
        <w:rPr>
          <w:rFonts w:ascii="Times New Roman" w:hAnsi="Times New Roman"/>
          <w:sz w:val="28"/>
          <w:szCs w:val="28"/>
          <w:lang w:val="ru-RU"/>
        </w:rPr>
        <w:t xml:space="preserve">В соответствии с Методическими материалами по вопросам предоставления наличных денежных средств в условиях ЧС процесс выбора вариантов </w:t>
      </w:r>
      <w:r w:rsidRPr="00744A84">
        <w:rPr>
          <w:rFonts w:ascii="Times New Roman" w:hAnsi="Times New Roman"/>
          <w:sz w:val="28"/>
          <w:szCs w:val="28"/>
          <w:lang w:val="ru-RU"/>
        </w:rPr>
        <w:lastRenderedPageBreak/>
        <w:t>реагирования подразделяется на три этапа. Вниманию читателя предлагаются матери</w:t>
      </w:r>
      <w:r w:rsidR="004632EC" w:rsidRPr="00744A84">
        <w:rPr>
          <w:rFonts w:ascii="Times New Roman" w:hAnsi="Times New Roman"/>
          <w:sz w:val="28"/>
          <w:szCs w:val="28"/>
          <w:lang w:val="ru-RU"/>
        </w:rPr>
        <w:t>алы, которые помогут</w:t>
      </w:r>
      <w:r w:rsidR="00D712BF" w:rsidRPr="00744A84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68E3B5C0" w14:textId="3F46FA15" w:rsidR="009652F7" w:rsidRPr="00744A84" w:rsidRDefault="004632EC" w:rsidP="003179F0">
      <w:pPr>
        <w:rPr>
          <w:rFonts w:ascii="Times New Roman" w:hAnsi="Times New Roman"/>
          <w:b/>
          <w:sz w:val="28"/>
          <w:szCs w:val="28"/>
          <w:lang w:val="ru-RU"/>
        </w:rPr>
      </w:pPr>
      <w:r w:rsidRPr="00744A84">
        <w:rPr>
          <w:rFonts w:ascii="Times New Roman" w:hAnsi="Times New Roman"/>
          <w:b/>
          <w:sz w:val="28"/>
          <w:szCs w:val="28"/>
          <w:shd w:val="clear" w:color="auto" w:fill="FFFFFF"/>
          <w:lang w:val="ru-RU" w:eastAsia="it-IT"/>
        </w:rPr>
        <w:t>Осуществить в</w:t>
      </w:r>
      <w:r w:rsidR="009652F7" w:rsidRPr="00744A84">
        <w:rPr>
          <w:rFonts w:ascii="Times New Roman" w:hAnsi="Times New Roman"/>
          <w:b/>
          <w:sz w:val="28"/>
          <w:szCs w:val="28"/>
          <w:shd w:val="clear" w:color="auto" w:fill="FFFFFF"/>
          <w:lang w:val="ru-RU" w:eastAsia="it-IT"/>
        </w:rPr>
        <w:t xml:space="preserve">ыбор практических механизмов перевода денежных средств, </w:t>
      </w:r>
      <w:r w:rsidR="009652F7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которые в наибольшей мере отвечают потребностям пострадавшего населения, а также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целям</w:t>
      </w:r>
      <w:r w:rsidR="009652F7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вмешательства. Первым этапом этой работы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является</w:t>
      </w:r>
      <w:r w:rsidR="009652F7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изучение потенциальных вариантов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реагирования</w:t>
      </w:r>
      <w:r w:rsidR="009652F7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. Если рассматриваются варианты, подразумевающие предоставление бенефициарам наличных денежных средств, необходимо, прежде всего, удостовериться в 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их </w:t>
      </w:r>
      <w:r w:rsidR="009652F7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рента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бельности, приняв во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внимание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рыночные условия, организационные возможности, государственные политики и другие аспекты.  Итоговое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решение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</w:t>
      </w:r>
      <w:r w:rsidR="00BB70C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в 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отношении ПДП и других вариантов реагирования должно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основываться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на результатах сравнительного анализа, учитывающего, по меньшей мере</w:t>
      </w:r>
      <w:r w:rsidR="00BB70C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,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такие факторы, как: устойчивость целей вмешательства, потенциал организации в использовании разных практических механизмов, предпочтения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бенефициаров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,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имеющиеся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возможности, риски/возможности их смягчения и расходы. Выбор практических механизмов осуществления </w:t>
      </w:r>
      <w:r w:rsidR="00BB70C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программы </w:t>
      </w:r>
      <w:r w:rsidR="006125D9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денежных переводов должен осуществляться с участием представителей разных департаментов (по меньшей мере, депа</w:t>
      </w:r>
      <w:r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ртаментов логистики и финансов). Основные доводы, повлиявшие на выбор практических механизмов, должны быть доведены до сведения </w:t>
      </w:r>
      <w:r w:rsidR="00BB70C4"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>основных</w:t>
      </w:r>
      <w:r w:rsidRPr="00744A84">
        <w:rPr>
          <w:rFonts w:ascii="Times New Roman" w:hAnsi="Times New Roman"/>
          <w:sz w:val="28"/>
          <w:szCs w:val="28"/>
          <w:shd w:val="clear" w:color="auto" w:fill="FFFFFF"/>
          <w:lang w:val="ru-RU" w:eastAsia="it-IT"/>
        </w:rPr>
        <w:t xml:space="preserve"> заинтересованных сторон. </w:t>
      </w:r>
    </w:p>
    <w:p w14:paraId="73088550" w14:textId="74DC132A" w:rsidR="000F0CF2" w:rsidRPr="00744A84" w:rsidRDefault="00965D2E" w:rsidP="003179F0">
      <w:pPr>
        <w:rPr>
          <w:rFonts w:ascii="Times New Roman" w:hAnsi="Times New Roman"/>
          <w:sz w:val="28"/>
          <w:szCs w:val="28"/>
          <w:lang w:val="ru-RU"/>
        </w:rPr>
      </w:pPr>
      <w:r w:rsidRPr="00744A84">
        <w:rPr>
          <w:rFonts w:ascii="Times New Roman" w:hAnsi="Times New Roman"/>
          <w:b/>
          <w:sz w:val="28"/>
          <w:szCs w:val="28"/>
          <w:lang w:val="ru-RU"/>
        </w:rPr>
        <w:t>Принять решения в отношении перевода денежных средств</w:t>
      </w:r>
      <w:r w:rsidR="006C2161" w:rsidRPr="00744A84">
        <w:rPr>
          <w:rFonts w:ascii="Times New Roman" w:hAnsi="Times New Roman"/>
          <w:sz w:val="28"/>
          <w:szCs w:val="28"/>
          <w:lang w:val="ru-RU"/>
        </w:rPr>
        <w:t>,</w:t>
      </w:r>
      <w:r w:rsidRPr="00744A84">
        <w:rPr>
          <w:rFonts w:ascii="Times New Roman" w:hAnsi="Times New Roman"/>
          <w:sz w:val="28"/>
          <w:szCs w:val="28"/>
          <w:lang w:val="ru-RU"/>
        </w:rPr>
        <w:t xml:space="preserve"> и особенно в отношении объема и периодичности денежных переводов, а также того, следует ли учитывать численность семьи и изменение розничных цен при определении объемов переводимых средств. </w:t>
      </w:r>
    </w:p>
    <w:p w14:paraId="28EF51DD" w14:textId="58853871" w:rsidR="00D528AB" w:rsidRPr="00744A84" w:rsidRDefault="00965D2E" w:rsidP="00B73C75">
      <w:pPr>
        <w:spacing w:after="360"/>
        <w:rPr>
          <w:rFonts w:ascii="Times New Roman" w:hAnsi="Times New Roman"/>
          <w:sz w:val="28"/>
          <w:szCs w:val="28"/>
          <w:lang w:val="ru-RU"/>
        </w:rPr>
      </w:pPr>
      <w:r w:rsidRPr="00744A84">
        <w:rPr>
          <w:rFonts w:ascii="Times New Roman" w:hAnsi="Times New Roman"/>
          <w:b/>
          <w:sz w:val="28"/>
          <w:szCs w:val="28"/>
          <w:lang w:val="ru-RU"/>
        </w:rPr>
        <w:t>Принять решения по выбору целевых групп</w:t>
      </w:r>
      <w:r w:rsidR="00BB70C4">
        <w:rPr>
          <w:rFonts w:ascii="Times New Roman" w:hAnsi="Times New Roman"/>
          <w:sz w:val="28"/>
          <w:szCs w:val="28"/>
          <w:lang w:val="ru-RU"/>
        </w:rPr>
        <w:t>, начав с решения вопроса о том</w:t>
      </w:r>
      <w:r w:rsidR="00F43AE7" w:rsidRPr="00744A84">
        <w:rPr>
          <w:rFonts w:ascii="Times New Roman" w:hAnsi="Times New Roman"/>
          <w:sz w:val="28"/>
          <w:szCs w:val="28"/>
          <w:lang w:val="ru-RU"/>
        </w:rPr>
        <w:t xml:space="preserve">, следует ли </w:t>
      </w:r>
      <w:r w:rsidR="00BB70C4" w:rsidRPr="00744A84">
        <w:rPr>
          <w:rFonts w:ascii="Times New Roman" w:hAnsi="Times New Roman"/>
          <w:sz w:val="28"/>
          <w:szCs w:val="28"/>
          <w:lang w:val="ru-RU"/>
        </w:rPr>
        <w:t>оказывать</w:t>
      </w:r>
      <w:r w:rsidR="00F43AE7" w:rsidRPr="00744A84">
        <w:rPr>
          <w:rFonts w:ascii="Times New Roman" w:hAnsi="Times New Roman"/>
          <w:sz w:val="28"/>
          <w:szCs w:val="28"/>
          <w:lang w:val="ru-RU"/>
        </w:rPr>
        <w:t xml:space="preserve"> помощь всем пострадавшим или только наиболее уязвимым группам населения</w:t>
      </w:r>
      <w:r w:rsidR="006C2161" w:rsidRPr="00744A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43AE7" w:rsidRPr="00744A84">
        <w:rPr>
          <w:rFonts w:ascii="Times New Roman" w:hAnsi="Times New Roman"/>
          <w:sz w:val="28"/>
          <w:szCs w:val="28"/>
          <w:lang w:val="ru-RU"/>
        </w:rPr>
        <w:t>Подходы к определению целевых групп, как правило</w:t>
      </w:r>
      <w:r w:rsidR="00B578D2" w:rsidRPr="00744A84">
        <w:rPr>
          <w:rFonts w:ascii="Times New Roman" w:hAnsi="Times New Roman"/>
          <w:sz w:val="28"/>
          <w:szCs w:val="28"/>
          <w:lang w:val="ru-RU"/>
        </w:rPr>
        <w:t>,</w:t>
      </w:r>
      <w:r w:rsidR="00F43AE7" w:rsidRPr="00744A84">
        <w:rPr>
          <w:rFonts w:ascii="Times New Roman" w:hAnsi="Times New Roman"/>
          <w:sz w:val="28"/>
          <w:szCs w:val="28"/>
          <w:lang w:val="ru-RU"/>
        </w:rPr>
        <w:t xml:space="preserve"> основы</w:t>
      </w:r>
      <w:r w:rsidR="00BB70C4">
        <w:rPr>
          <w:rFonts w:ascii="Times New Roman" w:hAnsi="Times New Roman"/>
          <w:sz w:val="28"/>
          <w:szCs w:val="28"/>
          <w:lang w:val="ru-RU"/>
        </w:rPr>
        <w:t>ваются на географическом принципе</w:t>
      </w:r>
      <w:r w:rsidR="00F43AE7" w:rsidRPr="00744A84">
        <w:rPr>
          <w:rFonts w:ascii="Times New Roman" w:hAnsi="Times New Roman"/>
          <w:sz w:val="28"/>
          <w:szCs w:val="28"/>
          <w:lang w:val="ru-RU"/>
        </w:rPr>
        <w:t xml:space="preserve"> и критериях </w:t>
      </w:r>
      <w:r w:rsidR="00BB70C4">
        <w:rPr>
          <w:rFonts w:ascii="Times New Roman" w:hAnsi="Times New Roman"/>
          <w:sz w:val="28"/>
          <w:szCs w:val="28"/>
          <w:lang w:val="ru-RU"/>
        </w:rPr>
        <w:t>от</w:t>
      </w:r>
      <w:r w:rsidR="00B578D2" w:rsidRPr="00744A84">
        <w:rPr>
          <w:rFonts w:ascii="Times New Roman" w:hAnsi="Times New Roman"/>
          <w:sz w:val="28"/>
          <w:szCs w:val="28"/>
          <w:lang w:val="ru-RU"/>
        </w:rPr>
        <w:t>бора отдельных граждан и домохозяйств.</w:t>
      </w:r>
      <w:r w:rsidR="00F43AE7" w:rsidRPr="00744A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8D2" w:rsidRPr="00744A84">
        <w:rPr>
          <w:rFonts w:ascii="Times New Roman" w:hAnsi="Times New Roman"/>
          <w:sz w:val="28"/>
          <w:szCs w:val="28"/>
          <w:lang w:val="ru-RU"/>
        </w:rPr>
        <w:t xml:space="preserve">Решения по выбору целевых групп должны быть приняты на первоначальном этапе анализа вариантов реагирования, поскольку они влияют на выбор практических механизмов </w:t>
      </w:r>
      <w:r w:rsidR="00BB70C4" w:rsidRPr="00744A84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="00B578D2" w:rsidRPr="00744A84">
        <w:rPr>
          <w:rFonts w:ascii="Times New Roman" w:hAnsi="Times New Roman"/>
          <w:sz w:val="28"/>
          <w:szCs w:val="28"/>
          <w:lang w:val="ru-RU"/>
        </w:rPr>
        <w:t xml:space="preserve"> программ. Для </w:t>
      </w:r>
      <w:r w:rsidR="00BB70C4" w:rsidRPr="00744A84">
        <w:rPr>
          <w:rFonts w:ascii="Times New Roman" w:hAnsi="Times New Roman"/>
          <w:sz w:val="28"/>
          <w:szCs w:val="28"/>
          <w:lang w:val="ru-RU"/>
        </w:rPr>
        <w:t>определения</w:t>
      </w:r>
      <w:r w:rsidR="00B578D2" w:rsidRPr="00744A84">
        <w:rPr>
          <w:rFonts w:ascii="Times New Roman" w:hAnsi="Times New Roman"/>
          <w:sz w:val="28"/>
          <w:szCs w:val="28"/>
          <w:lang w:val="ru-RU"/>
        </w:rPr>
        <w:t xml:space="preserve"> целевых групп следует сначала определить критерии</w:t>
      </w:r>
      <w:r w:rsidR="00BB70C4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B578D2" w:rsidRPr="00744A84">
        <w:rPr>
          <w:rFonts w:ascii="Times New Roman" w:hAnsi="Times New Roman"/>
          <w:sz w:val="28"/>
          <w:szCs w:val="28"/>
          <w:lang w:val="ru-RU"/>
        </w:rPr>
        <w:t xml:space="preserve">бора (как правило, </w:t>
      </w:r>
      <w:r w:rsidR="00BB70C4" w:rsidRPr="00744A84">
        <w:rPr>
          <w:rFonts w:ascii="Times New Roman" w:hAnsi="Times New Roman"/>
          <w:sz w:val="28"/>
          <w:szCs w:val="28"/>
          <w:lang w:val="ru-RU"/>
        </w:rPr>
        <w:t>основывающиеся</w:t>
      </w:r>
      <w:r w:rsidR="00B578D2" w:rsidRPr="00744A84">
        <w:rPr>
          <w:rFonts w:ascii="Times New Roman" w:hAnsi="Times New Roman"/>
          <w:sz w:val="28"/>
          <w:szCs w:val="28"/>
          <w:lang w:val="ru-RU"/>
        </w:rPr>
        <w:t xml:space="preserve"> на индикаторах уязвимости). </w:t>
      </w:r>
      <w:r w:rsidR="00794853" w:rsidRPr="00744A84">
        <w:rPr>
          <w:rFonts w:ascii="Times New Roman" w:hAnsi="Times New Roman"/>
          <w:sz w:val="28"/>
          <w:szCs w:val="28"/>
          <w:lang w:val="ru-RU"/>
        </w:rPr>
        <w:t xml:space="preserve">Опыт показывает, что к </w:t>
      </w:r>
      <w:r w:rsidR="00BB70C4" w:rsidRPr="00744A84">
        <w:rPr>
          <w:rFonts w:ascii="Times New Roman" w:hAnsi="Times New Roman"/>
          <w:sz w:val="28"/>
          <w:szCs w:val="28"/>
          <w:lang w:val="ru-RU"/>
        </w:rPr>
        <w:t>определению</w:t>
      </w:r>
      <w:r w:rsidR="00BB70C4">
        <w:rPr>
          <w:rFonts w:ascii="Times New Roman" w:hAnsi="Times New Roman"/>
          <w:sz w:val="28"/>
          <w:szCs w:val="28"/>
          <w:lang w:val="ru-RU"/>
        </w:rPr>
        <w:t xml:space="preserve"> критериев от</w:t>
      </w:r>
      <w:r w:rsidR="00794853" w:rsidRPr="00744A84">
        <w:rPr>
          <w:rFonts w:ascii="Times New Roman" w:hAnsi="Times New Roman"/>
          <w:sz w:val="28"/>
          <w:szCs w:val="28"/>
          <w:lang w:val="ru-RU"/>
        </w:rPr>
        <w:t xml:space="preserve">бора целевых групп целесообразно привлекать местное население. Выбор механизмов определения целевых групп  - это всегда результат </w:t>
      </w:r>
      <w:r w:rsidR="00BB70C4" w:rsidRPr="00744A84">
        <w:rPr>
          <w:rFonts w:ascii="Times New Roman" w:hAnsi="Times New Roman"/>
          <w:sz w:val="28"/>
          <w:szCs w:val="28"/>
          <w:lang w:val="ru-RU"/>
        </w:rPr>
        <w:t>компромисса</w:t>
      </w:r>
      <w:r w:rsidR="00BB70C4">
        <w:rPr>
          <w:rFonts w:ascii="Times New Roman" w:hAnsi="Times New Roman"/>
          <w:sz w:val="28"/>
          <w:szCs w:val="28"/>
          <w:lang w:val="ru-RU"/>
        </w:rPr>
        <w:t xml:space="preserve"> по итогам</w:t>
      </w:r>
      <w:r w:rsidR="00794853" w:rsidRPr="00744A84">
        <w:rPr>
          <w:rFonts w:ascii="Times New Roman" w:hAnsi="Times New Roman"/>
          <w:sz w:val="28"/>
          <w:szCs w:val="28"/>
          <w:lang w:val="ru-RU"/>
        </w:rPr>
        <w:t xml:space="preserve"> анализа </w:t>
      </w:r>
      <w:r w:rsidR="00D077E9">
        <w:rPr>
          <w:rFonts w:ascii="Times New Roman" w:hAnsi="Times New Roman"/>
          <w:sz w:val="28"/>
          <w:szCs w:val="28"/>
          <w:lang w:val="ru-RU"/>
        </w:rPr>
        <w:t xml:space="preserve">сопряженных </w:t>
      </w:r>
      <w:r w:rsidR="00794853" w:rsidRPr="00744A84">
        <w:rPr>
          <w:rFonts w:ascii="Times New Roman" w:hAnsi="Times New Roman"/>
          <w:sz w:val="28"/>
          <w:szCs w:val="28"/>
          <w:lang w:val="ru-RU"/>
        </w:rPr>
        <w:t>расходов, точности</w:t>
      </w:r>
      <w:r w:rsidR="00D077E9">
        <w:rPr>
          <w:rFonts w:ascii="Times New Roman" w:hAnsi="Times New Roman"/>
          <w:sz w:val="28"/>
          <w:szCs w:val="28"/>
          <w:lang w:val="ru-RU"/>
        </w:rPr>
        <w:t xml:space="preserve"> критериев </w:t>
      </w:r>
      <w:r w:rsidR="00794853" w:rsidRPr="00744A84">
        <w:rPr>
          <w:rFonts w:ascii="Times New Roman" w:hAnsi="Times New Roman"/>
          <w:sz w:val="28"/>
          <w:szCs w:val="28"/>
          <w:lang w:val="ru-RU"/>
        </w:rPr>
        <w:t>и</w:t>
      </w:r>
      <w:r w:rsidR="00D077E9">
        <w:rPr>
          <w:rFonts w:ascii="Times New Roman" w:hAnsi="Times New Roman"/>
          <w:sz w:val="28"/>
          <w:szCs w:val="28"/>
          <w:lang w:val="ru-RU"/>
        </w:rPr>
        <w:t xml:space="preserve"> различных аспектов</w:t>
      </w:r>
      <w:r w:rsidR="00794853" w:rsidRPr="00744A84">
        <w:rPr>
          <w:rFonts w:ascii="Times New Roman" w:hAnsi="Times New Roman"/>
          <w:sz w:val="28"/>
          <w:szCs w:val="28"/>
          <w:lang w:val="ru-RU"/>
        </w:rPr>
        <w:t xml:space="preserve"> рентабельности</w:t>
      </w:r>
      <w:r w:rsidR="005C5DFE" w:rsidRPr="00744A84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F0472" w:rsidRPr="00744A84" w14:paraId="138210F7" w14:textId="77777777" w:rsidTr="001F0472">
        <w:tc>
          <w:tcPr>
            <w:tcW w:w="9848" w:type="dxa"/>
          </w:tcPr>
          <w:p w14:paraId="41A03945" w14:textId="5CAEC908" w:rsidR="001F0472" w:rsidRPr="00744A84" w:rsidRDefault="00660B9B" w:rsidP="008B0593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ДОКУМЕНТЫ</w:t>
            </w:r>
          </w:p>
          <w:p w14:paraId="3AC1DD4A" w14:textId="4B885FD0" w:rsidR="001F0472" w:rsidRPr="00744A84" w:rsidRDefault="00660B9B" w:rsidP="008B0593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>Максвел</w:t>
            </w:r>
            <w:r w:rsidR="005C585D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 и др</w:t>
            </w:r>
            <w:r w:rsidR="001F0472"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(2013) "Анализ вариантов реагирования </w:t>
            </w:r>
            <w:r w:rsidR="00AD1E2C"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5C585D" w:rsidRPr="00744A84">
              <w:rPr>
                <w:rFonts w:ascii="Times New Roman" w:hAnsi="Times New Roman"/>
                <w:sz w:val="28"/>
                <w:szCs w:val="28"/>
                <w:lang w:val="ru-RU"/>
              </w:rPr>
              <w:t>различные</w:t>
            </w:r>
            <w:r w:rsidR="00AD1E2C"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аспекты выбора в условиях продовольственного кризиса: дорожная карта</w:t>
            </w:r>
            <w:r w:rsidR="001F0472"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="001F0472" w:rsidRPr="00744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Humanitarian</w:t>
            </w:r>
            <w:proofErr w:type="spellEnd"/>
            <w:r w:rsidR="001F0472" w:rsidRPr="00744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F0472" w:rsidRPr="00744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Practice</w:t>
            </w:r>
            <w:proofErr w:type="spellEnd"/>
            <w:r w:rsidR="001F0472" w:rsidRPr="00744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F0472" w:rsidRPr="00744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Network</w:t>
            </w:r>
            <w:proofErr w:type="spellEnd"/>
            <w:r w:rsidR="001F0472" w:rsidRPr="00744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ODI</w:t>
            </w:r>
            <w:r w:rsidR="008B0593" w:rsidRPr="00744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hyperlink r:id="rId8" w:history="1">
              <w:r w:rsidR="001F0472" w:rsidRPr="00744A84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(http://www.odihpn.org/hpn-resources/network-papers/response-analysis-and-response-choice-in-food-security-crises-a-roadmap)</w:t>
              </w:r>
            </w:hyperlink>
          </w:p>
          <w:p w14:paraId="3A5335D4" w14:textId="0A9E09FD" w:rsidR="001F0472" w:rsidRPr="00744A84" w:rsidRDefault="00AD1E2C" w:rsidP="008B0593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>Харвей</w:t>
            </w:r>
            <w:proofErr w:type="spellEnd"/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П., </w:t>
            </w:r>
            <w:proofErr w:type="spellStart"/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>Бейлей</w:t>
            </w:r>
            <w:proofErr w:type="spellEnd"/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С., (2011) Программы денежных переводов в условиях ЧС. Обзор примеров передового опыта</w:t>
            </w:r>
            <w:r w:rsidR="008B0593" w:rsidRPr="00744A8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1F0472" w:rsidRPr="00744A84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hyperlink r:id="rId9" w:history="1">
              <w:r w:rsidR="001F0472" w:rsidRPr="00744A84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http://www.odihpn.org/documents%2Fgpr11.pdf)</w:t>
              </w:r>
            </w:hyperlink>
          </w:p>
          <w:p w14:paraId="2544C69B" w14:textId="38C3D3E8" w:rsidR="001F0472" w:rsidRPr="00744A84" w:rsidRDefault="00AD1E2C" w:rsidP="008B0593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Международное движение Красного Креста и Красного Полумесяца (2007) Руководящие указания по осуществлению ПДП</w:t>
            </w:r>
            <w:r w:rsidR="008B0593" w:rsidRPr="00744A8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0" w:history="1">
              <w:r w:rsidR="001F0472" w:rsidRPr="00744A84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(http://www.ifrc.org/Global/Publications/disasters/finance/cash-guidelines-en.pdf)</w:t>
              </w:r>
            </w:hyperlink>
          </w:p>
          <w:p w14:paraId="5A83F1D0" w14:textId="3A2BB771" w:rsidR="001F0472" w:rsidRPr="00744A84" w:rsidRDefault="001F0472" w:rsidP="008B0593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A8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ACF</w:t>
            </w:r>
            <w:r w:rsidR="00034AA1"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(2007) Осуществление вмешательств, подразумевающих предоставление </w:t>
            </w:r>
            <w:r w:rsidR="005C585D" w:rsidRPr="00744A84">
              <w:rPr>
                <w:rFonts w:ascii="Times New Roman" w:hAnsi="Times New Roman"/>
                <w:sz w:val="28"/>
                <w:szCs w:val="28"/>
                <w:lang w:val="ru-RU"/>
              </w:rPr>
              <w:t>бенефициарам</w:t>
            </w:r>
            <w:bookmarkStart w:id="0" w:name="_GoBack"/>
            <w:bookmarkEnd w:id="0"/>
            <w:r w:rsidR="00034AA1"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наличных денежных средств</w:t>
            </w: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034AA1" w:rsidRPr="00744A84">
              <w:rPr>
                <w:rFonts w:ascii="Times New Roman" w:hAnsi="Times New Roman"/>
                <w:sz w:val="28"/>
                <w:szCs w:val="28"/>
                <w:lang w:val="ru-RU"/>
              </w:rPr>
              <w:t>Стр.</w:t>
            </w: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69-75.</w:t>
            </w:r>
            <w:r w:rsidR="008B0593" w:rsidRPr="00744A8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1" w:history="1">
              <w:r w:rsidRPr="00744A84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(http://www.actionagainsthunger.org/publication/2007/10/implementing-cash-based-interventions-guideline-aid-workers)</w:t>
              </w:r>
            </w:hyperlink>
          </w:p>
          <w:p w14:paraId="647C66D6" w14:textId="76488E37" w:rsidR="001F0472" w:rsidRPr="00744A84" w:rsidRDefault="001F0472" w:rsidP="008B0593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>EMMA (</w:t>
            </w:r>
            <w:r w:rsidR="00470002" w:rsidRPr="00744A84">
              <w:rPr>
                <w:rFonts w:ascii="Times New Roman" w:hAnsi="Times New Roman"/>
                <w:sz w:val="28"/>
                <w:szCs w:val="28"/>
                <w:lang w:val="ru-RU"/>
              </w:rPr>
              <w:t>Анализ и составление карт рынков в условиях ЧС</w:t>
            </w:r>
            <w:r w:rsidRPr="00744A84">
              <w:rPr>
                <w:rFonts w:ascii="Times New Roman" w:hAnsi="Times New Roman"/>
                <w:sz w:val="28"/>
                <w:szCs w:val="28"/>
                <w:lang w:val="ru-RU"/>
              </w:rPr>
              <w:t>) </w:t>
            </w:r>
            <w:r w:rsidR="008B0593" w:rsidRPr="00744A8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2" w:history="1">
              <w:r w:rsidRPr="00744A84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(http://www.emma-toolkit.org/)</w:t>
              </w:r>
            </w:hyperlink>
          </w:p>
        </w:tc>
      </w:tr>
    </w:tbl>
    <w:p w14:paraId="0C73EEE4" w14:textId="77777777" w:rsidR="00D16AA1" w:rsidRPr="00744A84" w:rsidRDefault="00D16AA1" w:rsidP="006642BE">
      <w:pPr>
        <w:rPr>
          <w:rFonts w:ascii="Times New Roman" w:hAnsi="Times New Roman"/>
          <w:sz w:val="28"/>
          <w:szCs w:val="28"/>
          <w:lang w:val="ru-RU"/>
        </w:rPr>
      </w:pPr>
    </w:p>
    <w:sectPr w:rsidR="00D16AA1" w:rsidRPr="00744A84" w:rsidSect="008E599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61A577" w15:done="0"/>
  <w15:commentEx w15:paraId="59159DAC" w15:done="0"/>
  <w15:commentEx w15:paraId="16734231" w15:done="0"/>
  <w15:commentEx w15:paraId="0906D31B" w15:done="0"/>
  <w15:commentEx w15:paraId="2D6BEAB5" w15:done="0"/>
  <w15:commentEx w15:paraId="433DE970" w15:done="0"/>
  <w15:commentEx w15:paraId="7A076536" w15:done="0"/>
  <w15:commentEx w15:paraId="075F0418" w15:done="0"/>
  <w15:commentEx w15:paraId="6ACAB7D9" w15:done="0"/>
  <w15:commentEx w15:paraId="5768CFFB" w15:done="0"/>
  <w15:commentEx w15:paraId="3E83B5B3" w15:done="0"/>
  <w15:commentEx w15:paraId="0A72C92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AD991" w14:textId="77777777" w:rsidR="00660B9B" w:rsidRDefault="00660B9B" w:rsidP="00752615">
      <w:pPr>
        <w:spacing w:after="0"/>
      </w:pPr>
      <w:r>
        <w:separator/>
      </w:r>
    </w:p>
  </w:endnote>
  <w:endnote w:type="continuationSeparator" w:id="0">
    <w:p w14:paraId="2B094460" w14:textId="77777777" w:rsidR="00660B9B" w:rsidRDefault="00660B9B" w:rsidP="00752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472EC" w14:textId="77777777" w:rsidR="00660B9B" w:rsidRDefault="00660B9B" w:rsidP="0075261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26975E5" w14:textId="77777777" w:rsidR="00660B9B" w:rsidRDefault="00660B9B" w:rsidP="00752615">
    <w:pPr>
      <w:pStyle w:val="a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60ECE" w14:textId="77777777" w:rsidR="00660B9B" w:rsidRPr="00B45C74" w:rsidRDefault="00660B9B" w:rsidP="0054765D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C585D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BE2C874" w14:textId="5E9C7950" w:rsidR="00660B9B" w:rsidRPr="005C585D" w:rsidRDefault="005C585D" w:rsidP="0054765D">
    <w:pPr>
      <w:pStyle w:val="ad"/>
      <w:rPr>
        <w:lang w:val="ru-RU"/>
      </w:rPr>
    </w:pPr>
    <w:r w:rsidRPr="005C585D">
      <w:rPr>
        <w:b/>
        <w:lang w:val="ru-RU"/>
      </w:rPr>
      <w:t>Модуль</w:t>
    </w:r>
    <w:r w:rsidR="00660B9B" w:rsidRPr="005C585D">
      <w:rPr>
        <w:b/>
        <w:lang w:val="ru-RU"/>
      </w:rPr>
      <w:t xml:space="preserve"> 3.</w:t>
    </w:r>
    <w:r w:rsidRPr="005C585D">
      <w:rPr>
        <w:lang w:val="ru-RU"/>
      </w:rPr>
      <w:t xml:space="preserve"> Дорожная карта по вопросам анализа вариантов реагирования</w:t>
    </w:r>
    <w:r w:rsidR="00660B9B" w:rsidRPr="005C585D">
      <w:rPr>
        <w:lang w:val="ru-RU"/>
      </w:rPr>
      <w:t xml:space="preserve"> </w:t>
    </w:r>
    <w:r w:rsidR="00660B9B" w:rsidRPr="005C585D">
      <w:rPr>
        <w:i/>
        <w:lang w:val="ru-RU"/>
      </w:rPr>
      <w:fldChar w:fldCharType="begin"/>
    </w:r>
    <w:r w:rsidR="00660B9B" w:rsidRPr="005C585D">
      <w:rPr>
        <w:i/>
        <w:lang w:val="ru-RU"/>
      </w:rPr>
      <w:instrText xml:space="preserve"> STYLEREF  H1 \t  \* MERGEFORMAT </w:instrText>
    </w:r>
    <w:r w:rsidR="00660B9B" w:rsidRPr="005C585D">
      <w:rPr>
        <w:i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A33FD" w14:textId="77777777" w:rsidR="00660B9B" w:rsidRPr="00B45C74" w:rsidRDefault="00660B9B" w:rsidP="0054765D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C585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9E96340" w14:textId="22DF266F" w:rsidR="00660B9B" w:rsidRPr="003A3500" w:rsidRDefault="00660B9B" w:rsidP="0054765D">
    <w:pPr>
      <w:pStyle w:val="ad"/>
    </w:pPr>
    <w:r w:rsidRPr="00107E15">
      <w:rPr>
        <w:b/>
      </w:rPr>
      <w:t>Module 3.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5C585D">
      <w:rPr>
        <w:i/>
        <w:noProof/>
      </w:rPr>
      <w:t>Дорожная карта по вопросам анализа вариантов реагирования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F5604" w14:textId="77777777" w:rsidR="00660B9B" w:rsidRDefault="00660B9B" w:rsidP="00752615">
      <w:pPr>
        <w:spacing w:after="0"/>
      </w:pPr>
      <w:r>
        <w:separator/>
      </w:r>
    </w:p>
  </w:footnote>
  <w:footnote w:type="continuationSeparator" w:id="0">
    <w:p w14:paraId="2EEF3F02" w14:textId="77777777" w:rsidR="00660B9B" w:rsidRDefault="00660B9B" w:rsidP="00752615">
      <w:pPr>
        <w:spacing w:after="0"/>
      </w:pPr>
      <w:r>
        <w:continuationSeparator/>
      </w:r>
    </w:p>
  </w:footnote>
  <w:footnote w:id="1">
    <w:p w14:paraId="7B379AD7" w14:textId="07D6E5AD" w:rsidR="00660B9B" w:rsidRPr="00B73C75" w:rsidRDefault="00660B9B">
      <w:pPr>
        <w:pStyle w:val="af4"/>
        <w:rPr>
          <w:rFonts w:cs="Arial"/>
          <w:szCs w:val="16"/>
        </w:rPr>
      </w:pPr>
      <w:r w:rsidRPr="00B73C75">
        <w:rPr>
          <w:rStyle w:val="af6"/>
          <w:rFonts w:cs="Arial"/>
          <w:szCs w:val="16"/>
        </w:rPr>
        <w:footnoteRef/>
      </w:r>
      <w:r w:rsidR="00484269">
        <w:rPr>
          <w:rFonts w:cs="Arial"/>
          <w:szCs w:val="16"/>
        </w:rPr>
        <w:t xml:space="preserve"> </w:t>
      </w:r>
      <w:r w:rsidR="00484269" w:rsidRPr="00484269">
        <w:rPr>
          <w:rFonts w:cs="Arial"/>
          <w:szCs w:val="16"/>
          <w:lang w:val="ru-RU"/>
        </w:rPr>
        <w:t>Продовольственная безопасность</w:t>
      </w:r>
      <w:r w:rsidRPr="00484269">
        <w:rPr>
          <w:rFonts w:cs="Arial"/>
          <w:szCs w:val="16"/>
          <w:lang w:val="ru-RU"/>
        </w:rPr>
        <w:t xml:space="preserve">, </w:t>
      </w:r>
      <w:r w:rsidR="00484269" w:rsidRPr="00484269">
        <w:rPr>
          <w:rFonts w:cs="Arial"/>
          <w:szCs w:val="16"/>
          <w:lang w:val="ru-RU"/>
        </w:rPr>
        <w:t>средства к существованию</w:t>
      </w:r>
      <w:r w:rsidRPr="00484269">
        <w:rPr>
          <w:rFonts w:cs="Arial"/>
          <w:szCs w:val="16"/>
          <w:lang w:val="ru-RU"/>
        </w:rPr>
        <w:t>,</w:t>
      </w:r>
      <w:r w:rsidR="00484269" w:rsidRPr="00484269">
        <w:rPr>
          <w:rFonts w:cs="Arial"/>
          <w:szCs w:val="16"/>
          <w:lang w:val="ru-RU"/>
        </w:rPr>
        <w:t xml:space="preserve"> предоставление крова, здравоохранение, водоснабжение и санитарные условия, и </w:t>
      </w:r>
      <w:proofErr w:type="spellStart"/>
      <w:r w:rsidR="00484269" w:rsidRPr="00484269">
        <w:rPr>
          <w:rFonts w:cs="Arial"/>
          <w:szCs w:val="16"/>
          <w:lang w:val="ru-RU"/>
        </w:rPr>
        <w:t>т.д</w:t>
      </w:r>
      <w:proofErr w:type="spellEnd"/>
      <w:r w:rsidR="00484269" w:rsidRPr="00484269">
        <w:rPr>
          <w:rFonts w:cs="Arial"/>
          <w:szCs w:val="16"/>
          <w:lang w:val="ru-RU"/>
        </w:rPr>
        <w:t xml:space="preserve"> или </w:t>
      </w:r>
      <w:proofErr w:type="spellStart"/>
      <w:r w:rsidR="00484269" w:rsidRPr="00484269">
        <w:rPr>
          <w:rFonts w:cs="Arial"/>
          <w:szCs w:val="16"/>
          <w:lang w:val="ru-RU"/>
        </w:rPr>
        <w:t>мультисекторальные</w:t>
      </w:r>
      <w:proofErr w:type="spellEnd"/>
      <w:r w:rsidRPr="00484269">
        <w:rPr>
          <w:rFonts w:cs="Arial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5CAD" w14:textId="77777777" w:rsidR="00660B9B" w:rsidRPr="00074036" w:rsidRDefault="00660B9B" w:rsidP="0054765D">
    <w:pPr>
      <w:pStyle w:val="af0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"/>
        <w:bCs/>
        <w:szCs w:val="16"/>
      </w:rPr>
      <w:t>I</w:t>
    </w:r>
    <w:r w:rsidRPr="009F6986">
      <w:rPr>
        <w:rStyle w:val="af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BFC0" w14:textId="77777777" w:rsidR="00660B9B" w:rsidRDefault="00660B9B" w:rsidP="0054765D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8C8E554" wp14:editId="7E12C59E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D0B94" w14:textId="77777777" w:rsidR="00660B9B" w:rsidRDefault="00660B9B" w:rsidP="0054765D">
    <w:pPr>
      <w:pStyle w:val="Header1"/>
    </w:pPr>
  </w:p>
  <w:p w14:paraId="77221D01" w14:textId="77777777" w:rsidR="00660B9B" w:rsidRDefault="00660B9B" w:rsidP="0054765D">
    <w:pPr>
      <w:pStyle w:val="af0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1343323" wp14:editId="3A9A9F68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FB34F" w14:textId="77777777" w:rsidR="00660B9B" w:rsidRDefault="00660B9B" w:rsidP="0054765D">
    <w:pPr>
      <w:pStyle w:val="af0"/>
      <w:spacing w:line="240" w:lineRule="auto"/>
      <w:rPr>
        <w:b/>
        <w:color w:val="DC281E"/>
        <w:sz w:val="24"/>
        <w:szCs w:val="24"/>
      </w:rPr>
    </w:pPr>
  </w:p>
  <w:p w14:paraId="4EE60133" w14:textId="120F68BD" w:rsidR="00660B9B" w:rsidRDefault="00660B9B" w:rsidP="0054765D">
    <w:pPr>
      <w:pStyle w:val="Header1"/>
      <w:rPr>
        <w:color w:val="DC281E"/>
        <w:lang w:val="ru-RU"/>
      </w:rPr>
    </w:pPr>
    <w:r>
      <w:rPr>
        <w:color w:val="DC281E"/>
        <w:lang w:val="ru-RU"/>
      </w:rPr>
      <w:t>Методические материалы по вопросам предоставления наличных денежных средств в условиях ЧС</w:t>
    </w:r>
  </w:p>
  <w:p w14:paraId="68655233" w14:textId="77777777" w:rsidR="00660B9B" w:rsidRPr="000D0C3F" w:rsidRDefault="00660B9B" w:rsidP="0054765D">
    <w:pPr>
      <w:pStyle w:val="Header1"/>
      <w:rPr>
        <w:rFonts w:ascii="Arial Bold" w:hAnsi="Arial Bold"/>
        <w:color w:val="DC281E"/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0"/>
  </w:num>
  <w:num w:numId="7">
    <w:abstractNumId w:val="14"/>
  </w:num>
  <w:num w:numId="8">
    <w:abstractNumId w:val="6"/>
  </w:num>
  <w:num w:numId="9">
    <w:abstractNumId w:val="27"/>
  </w:num>
  <w:num w:numId="10">
    <w:abstractNumId w:val="17"/>
  </w:num>
  <w:num w:numId="11">
    <w:abstractNumId w:val="18"/>
  </w:num>
  <w:num w:numId="12">
    <w:abstractNumId w:val="22"/>
  </w:num>
  <w:num w:numId="13">
    <w:abstractNumId w:val="24"/>
  </w:num>
  <w:num w:numId="14">
    <w:abstractNumId w:val="5"/>
  </w:num>
  <w:num w:numId="15">
    <w:abstractNumId w:val="23"/>
  </w:num>
  <w:num w:numId="16">
    <w:abstractNumId w:val="2"/>
  </w:num>
  <w:num w:numId="17">
    <w:abstractNumId w:val="1"/>
  </w:num>
  <w:num w:numId="18">
    <w:abstractNumId w:val="26"/>
  </w:num>
  <w:num w:numId="19">
    <w:abstractNumId w:val="13"/>
  </w:num>
  <w:num w:numId="20">
    <w:abstractNumId w:val="7"/>
  </w:num>
  <w:num w:numId="21">
    <w:abstractNumId w:val="4"/>
  </w:num>
  <w:num w:numId="22">
    <w:abstractNumId w:val="8"/>
  </w:num>
  <w:num w:numId="23">
    <w:abstractNumId w:val="12"/>
  </w:num>
  <w:num w:numId="24">
    <w:abstractNumId w:val="0"/>
  </w:num>
  <w:num w:numId="25">
    <w:abstractNumId w:val="15"/>
  </w:num>
  <w:num w:numId="26">
    <w:abstractNumId w:val="19"/>
  </w:num>
  <w:num w:numId="27">
    <w:abstractNumId w:val="21"/>
  </w:num>
  <w:num w:numId="2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  <w15:person w15:author="Jules Kagwahabi Amoti">
    <w15:presenceInfo w15:providerId="AD" w15:userId="S-1-5-21-2160216369-3329932071-3968528880-72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40"/>
    <w:rsid w:val="0000574A"/>
    <w:rsid w:val="00023DF1"/>
    <w:rsid w:val="00034AA1"/>
    <w:rsid w:val="00046C14"/>
    <w:rsid w:val="000A1118"/>
    <w:rsid w:val="000B1137"/>
    <w:rsid w:val="000D0C3F"/>
    <w:rsid w:val="000D763F"/>
    <w:rsid w:val="000E5E71"/>
    <w:rsid w:val="000F0CF2"/>
    <w:rsid w:val="00100957"/>
    <w:rsid w:val="00110996"/>
    <w:rsid w:val="00132856"/>
    <w:rsid w:val="00140F31"/>
    <w:rsid w:val="001B79C9"/>
    <w:rsid w:val="001C34F7"/>
    <w:rsid w:val="001F0472"/>
    <w:rsid w:val="001F6441"/>
    <w:rsid w:val="0022429E"/>
    <w:rsid w:val="00256A0A"/>
    <w:rsid w:val="00275625"/>
    <w:rsid w:val="0028721B"/>
    <w:rsid w:val="002A2669"/>
    <w:rsid w:val="002F689F"/>
    <w:rsid w:val="003179F0"/>
    <w:rsid w:val="00325F32"/>
    <w:rsid w:val="00333EA9"/>
    <w:rsid w:val="00335875"/>
    <w:rsid w:val="00347951"/>
    <w:rsid w:val="00357105"/>
    <w:rsid w:val="003611E1"/>
    <w:rsid w:val="0038755F"/>
    <w:rsid w:val="003C21FE"/>
    <w:rsid w:val="003F3116"/>
    <w:rsid w:val="003F6211"/>
    <w:rsid w:val="003F7843"/>
    <w:rsid w:val="00423BB6"/>
    <w:rsid w:val="004632EC"/>
    <w:rsid w:val="00470002"/>
    <w:rsid w:val="00484269"/>
    <w:rsid w:val="00487D04"/>
    <w:rsid w:val="004E5BB5"/>
    <w:rsid w:val="004F3661"/>
    <w:rsid w:val="00527882"/>
    <w:rsid w:val="0053299D"/>
    <w:rsid w:val="00532CB0"/>
    <w:rsid w:val="0054765D"/>
    <w:rsid w:val="00564C19"/>
    <w:rsid w:val="005838FA"/>
    <w:rsid w:val="005A3216"/>
    <w:rsid w:val="005C585D"/>
    <w:rsid w:val="005C5DFE"/>
    <w:rsid w:val="005E22A2"/>
    <w:rsid w:val="005E59F5"/>
    <w:rsid w:val="005F2CFA"/>
    <w:rsid w:val="006125D9"/>
    <w:rsid w:val="0062030E"/>
    <w:rsid w:val="00660B9B"/>
    <w:rsid w:val="006642BE"/>
    <w:rsid w:val="006732FE"/>
    <w:rsid w:val="006C2161"/>
    <w:rsid w:val="006C7742"/>
    <w:rsid w:val="006D3A93"/>
    <w:rsid w:val="00714746"/>
    <w:rsid w:val="00744A84"/>
    <w:rsid w:val="00752615"/>
    <w:rsid w:val="00775328"/>
    <w:rsid w:val="00786964"/>
    <w:rsid w:val="00794853"/>
    <w:rsid w:val="00794A5B"/>
    <w:rsid w:val="007D1A58"/>
    <w:rsid w:val="007E02EA"/>
    <w:rsid w:val="008233E8"/>
    <w:rsid w:val="00853516"/>
    <w:rsid w:val="00875D8F"/>
    <w:rsid w:val="0088306F"/>
    <w:rsid w:val="008A4726"/>
    <w:rsid w:val="008B0593"/>
    <w:rsid w:val="008E1351"/>
    <w:rsid w:val="008E5991"/>
    <w:rsid w:val="008F402F"/>
    <w:rsid w:val="00906ED2"/>
    <w:rsid w:val="00914A39"/>
    <w:rsid w:val="009652F7"/>
    <w:rsid w:val="00965D2E"/>
    <w:rsid w:val="00996780"/>
    <w:rsid w:val="00996BB9"/>
    <w:rsid w:val="009B0C51"/>
    <w:rsid w:val="009D3D80"/>
    <w:rsid w:val="00A324E8"/>
    <w:rsid w:val="00A60850"/>
    <w:rsid w:val="00A60BE5"/>
    <w:rsid w:val="00A902C1"/>
    <w:rsid w:val="00A92250"/>
    <w:rsid w:val="00AD1E2C"/>
    <w:rsid w:val="00AF7E37"/>
    <w:rsid w:val="00B0620E"/>
    <w:rsid w:val="00B267F4"/>
    <w:rsid w:val="00B43740"/>
    <w:rsid w:val="00B578D2"/>
    <w:rsid w:val="00B7000E"/>
    <w:rsid w:val="00B7112C"/>
    <w:rsid w:val="00B73C75"/>
    <w:rsid w:val="00B7622A"/>
    <w:rsid w:val="00BB70C4"/>
    <w:rsid w:val="00C458D3"/>
    <w:rsid w:val="00C60E90"/>
    <w:rsid w:val="00C72B7C"/>
    <w:rsid w:val="00CC068F"/>
    <w:rsid w:val="00CD7216"/>
    <w:rsid w:val="00D077E9"/>
    <w:rsid w:val="00D16AA1"/>
    <w:rsid w:val="00D436BF"/>
    <w:rsid w:val="00D528AB"/>
    <w:rsid w:val="00D62AC5"/>
    <w:rsid w:val="00D712BF"/>
    <w:rsid w:val="00DC1372"/>
    <w:rsid w:val="00DD1804"/>
    <w:rsid w:val="00DD662A"/>
    <w:rsid w:val="00DE13F0"/>
    <w:rsid w:val="00E01226"/>
    <w:rsid w:val="00E12B9C"/>
    <w:rsid w:val="00E32DE2"/>
    <w:rsid w:val="00E77E9D"/>
    <w:rsid w:val="00EB1B45"/>
    <w:rsid w:val="00F03F89"/>
    <w:rsid w:val="00F43AE7"/>
    <w:rsid w:val="00F80A2D"/>
    <w:rsid w:val="00F90F42"/>
    <w:rsid w:val="00FA16A0"/>
    <w:rsid w:val="00FA18F2"/>
    <w:rsid w:val="00FD32D1"/>
    <w:rsid w:val="00FE41B0"/>
    <w:rsid w:val="00FE5C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CB8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9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2A2669"/>
  </w:style>
  <w:style w:type="paragraph" w:styleId="2">
    <w:name w:val="heading 2"/>
    <w:basedOn w:val="a"/>
    <w:next w:val="a"/>
    <w:link w:val="20"/>
    <w:uiPriority w:val="9"/>
    <w:unhideWhenUsed/>
    <w:qFormat/>
    <w:rsid w:val="002A26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26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266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2A2669"/>
    <w:rPr>
      <w:rFonts w:ascii="Arial" w:eastAsiaTheme="minorHAnsi" w:hAnsi="Arial" w:cstheme="minorBidi"/>
      <w:szCs w:val="22"/>
    </w:rPr>
  </w:style>
  <w:style w:type="table" w:styleId="a5">
    <w:name w:val="Table Grid"/>
    <w:basedOn w:val="a1"/>
    <w:uiPriority w:val="59"/>
    <w:rsid w:val="002A2669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6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A266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75DB8"/>
    <w:rPr>
      <w:sz w:val="24"/>
      <w:szCs w:val="24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E75DB8"/>
    <w:rPr>
      <w:sz w:val="24"/>
      <w:szCs w:val="24"/>
      <w:lang w:val="en-GB"/>
    </w:rPr>
  </w:style>
  <w:style w:type="paragraph" w:styleId="a9">
    <w:name w:val="annotation subject"/>
    <w:basedOn w:val="a"/>
    <w:link w:val="aa"/>
    <w:uiPriority w:val="99"/>
    <w:semiHidden/>
    <w:unhideWhenUsed/>
    <w:rsid w:val="002A2669"/>
    <w:rPr>
      <w:b/>
      <w:bCs/>
    </w:rPr>
  </w:style>
  <w:style w:type="character" w:customStyle="1" w:styleId="aa">
    <w:name w:val="Тема примечания Знак"/>
    <w:basedOn w:val="a0"/>
    <w:link w:val="a9"/>
    <w:uiPriority w:val="99"/>
    <w:semiHidden/>
    <w:rsid w:val="002A2669"/>
    <w:rPr>
      <w:rFonts w:ascii="Arial" w:hAnsi="Arial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A26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669"/>
    <w:rPr>
      <w:rFonts w:ascii="Lucida Grande" w:hAnsi="Lucida Grande" w:cs="Lucida Grande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A2669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2A2669"/>
    <w:rPr>
      <w:rFonts w:ascii="Arial" w:hAnsi="Arial" w:cs="Times New Roman"/>
      <w:sz w:val="16"/>
      <w:szCs w:val="18"/>
    </w:rPr>
  </w:style>
  <w:style w:type="character" w:styleId="af">
    <w:name w:val="page number"/>
    <w:basedOn w:val="a0"/>
    <w:uiPriority w:val="99"/>
    <w:unhideWhenUsed/>
    <w:rsid w:val="002A2669"/>
    <w:rPr>
      <w:b/>
    </w:rPr>
  </w:style>
  <w:style w:type="paragraph" w:styleId="af0">
    <w:name w:val="header"/>
    <w:basedOn w:val="a"/>
    <w:link w:val="af1"/>
    <w:uiPriority w:val="99"/>
    <w:unhideWhenUsed/>
    <w:rsid w:val="002A2669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2A2669"/>
    <w:rPr>
      <w:rFonts w:ascii="Arial" w:hAnsi="Arial" w:cs="Times New Roman"/>
      <w:sz w:val="16"/>
    </w:rPr>
  </w:style>
  <w:style w:type="character" w:styleId="af2">
    <w:name w:val="Hyperlink"/>
    <w:basedOn w:val="a0"/>
    <w:uiPriority w:val="99"/>
    <w:unhideWhenUsed/>
    <w:rsid w:val="002A266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A2669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2A2669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2A2669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2A2669"/>
    <w:rPr>
      <w:vertAlign w:val="superscript"/>
    </w:rPr>
  </w:style>
  <w:style w:type="character" w:customStyle="1" w:styleId="aak">
    <w:name w:val="aak"/>
    <w:basedOn w:val="a0"/>
    <w:rsid w:val="00D16AA1"/>
  </w:style>
  <w:style w:type="character" w:customStyle="1" w:styleId="apple-converted-space">
    <w:name w:val="apple-converted-space"/>
    <w:basedOn w:val="a0"/>
    <w:rsid w:val="00D16AA1"/>
  </w:style>
  <w:style w:type="character" w:customStyle="1" w:styleId="10">
    <w:name w:val="Заголовок 1 Знак"/>
    <w:basedOn w:val="a0"/>
    <w:link w:val="1"/>
    <w:uiPriority w:val="9"/>
    <w:rsid w:val="002A2669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2A2669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A2669"/>
    <w:rPr>
      <w:rFonts w:ascii="Arial" w:hAnsi="Arial" w:cs="Times New Roman"/>
      <w:b/>
      <w:sz w:val="22"/>
      <w:szCs w:val="24"/>
    </w:rPr>
  </w:style>
  <w:style w:type="paragraph" w:styleId="af7">
    <w:name w:val="Revision"/>
    <w:hidden/>
    <w:uiPriority w:val="99"/>
    <w:semiHidden/>
    <w:rsid w:val="002A2669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2A26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2A26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2A2669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2A26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2A26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0"/>
    <w:rsid w:val="002A266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2A266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2A2669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2A2669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2A2669"/>
    <w:pPr>
      <w:numPr>
        <w:numId w:val="2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2A2669"/>
    <w:pPr>
      <w:numPr>
        <w:ilvl w:val="1"/>
        <w:numId w:val="2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2A2669"/>
    <w:pPr>
      <w:numPr>
        <w:numId w:val="25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2A2669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2A266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2A26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A2669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9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2A2669"/>
  </w:style>
  <w:style w:type="paragraph" w:styleId="2">
    <w:name w:val="heading 2"/>
    <w:basedOn w:val="a"/>
    <w:next w:val="a"/>
    <w:link w:val="20"/>
    <w:uiPriority w:val="9"/>
    <w:unhideWhenUsed/>
    <w:qFormat/>
    <w:rsid w:val="002A26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26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266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2A2669"/>
    <w:rPr>
      <w:rFonts w:ascii="Arial" w:eastAsiaTheme="minorHAnsi" w:hAnsi="Arial" w:cstheme="minorBidi"/>
      <w:szCs w:val="22"/>
    </w:rPr>
  </w:style>
  <w:style w:type="table" w:styleId="a5">
    <w:name w:val="Table Grid"/>
    <w:basedOn w:val="a1"/>
    <w:uiPriority w:val="59"/>
    <w:rsid w:val="002A2669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6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A266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75DB8"/>
    <w:rPr>
      <w:sz w:val="24"/>
      <w:szCs w:val="24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E75DB8"/>
    <w:rPr>
      <w:sz w:val="24"/>
      <w:szCs w:val="24"/>
      <w:lang w:val="en-GB"/>
    </w:rPr>
  </w:style>
  <w:style w:type="paragraph" w:styleId="a9">
    <w:name w:val="annotation subject"/>
    <w:basedOn w:val="a"/>
    <w:link w:val="aa"/>
    <w:uiPriority w:val="99"/>
    <w:semiHidden/>
    <w:unhideWhenUsed/>
    <w:rsid w:val="002A2669"/>
    <w:rPr>
      <w:b/>
      <w:bCs/>
    </w:rPr>
  </w:style>
  <w:style w:type="character" w:customStyle="1" w:styleId="aa">
    <w:name w:val="Тема примечания Знак"/>
    <w:basedOn w:val="a0"/>
    <w:link w:val="a9"/>
    <w:uiPriority w:val="99"/>
    <w:semiHidden/>
    <w:rsid w:val="002A2669"/>
    <w:rPr>
      <w:rFonts w:ascii="Arial" w:hAnsi="Arial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A26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669"/>
    <w:rPr>
      <w:rFonts w:ascii="Lucida Grande" w:hAnsi="Lucida Grande" w:cs="Lucida Grande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A2669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2A2669"/>
    <w:rPr>
      <w:rFonts w:ascii="Arial" w:hAnsi="Arial" w:cs="Times New Roman"/>
      <w:sz w:val="16"/>
      <w:szCs w:val="18"/>
    </w:rPr>
  </w:style>
  <w:style w:type="character" w:styleId="af">
    <w:name w:val="page number"/>
    <w:basedOn w:val="a0"/>
    <w:uiPriority w:val="99"/>
    <w:unhideWhenUsed/>
    <w:rsid w:val="002A2669"/>
    <w:rPr>
      <w:b/>
    </w:rPr>
  </w:style>
  <w:style w:type="paragraph" w:styleId="af0">
    <w:name w:val="header"/>
    <w:basedOn w:val="a"/>
    <w:link w:val="af1"/>
    <w:uiPriority w:val="99"/>
    <w:unhideWhenUsed/>
    <w:rsid w:val="002A2669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2A2669"/>
    <w:rPr>
      <w:rFonts w:ascii="Arial" w:hAnsi="Arial" w:cs="Times New Roman"/>
      <w:sz w:val="16"/>
    </w:rPr>
  </w:style>
  <w:style w:type="character" w:styleId="af2">
    <w:name w:val="Hyperlink"/>
    <w:basedOn w:val="a0"/>
    <w:uiPriority w:val="99"/>
    <w:unhideWhenUsed/>
    <w:rsid w:val="002A266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A2669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2A2669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2A2669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2A2669"/>
    <w:rPr>
      <w:vertAlign w:val="superscript"/>
    </w:rPr>
  </w:style>
  <w:style w:type="character" w:customStyle="1" w:styleId="aak">
    <w:name w:val="aak"/>
    <w:basedOn w:val="a0"/>
    <w:rsid w:val="00D16AA1"/>
  </w:style>
  <w:style w:type="character" w:customStyle="1" w:styleId="apple-converted-space">
    <w:name w:val="apple-converted-space"/>
    <w:basedOn w:val="a0"/>
    <w:rsid w:val="00D16AA1"/>
  </w:style>
  <w:style w:type="character" w:customStyle="1" w:styleId="10">
    <w:name w:val="Заголовок 1 Знак"/>
    <w:basedOn w:val="a0"/>
    <w:link w:val="1"/>
    <w:uiPriority w:val="9"/>
    <w:rsid w:val="002A2669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2A2669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A2669"/>
    <w:rPr>
      <w:rFonts w:ascii="Arial" w:hAnsi="Arial" w:cs="Times New Roman"/>
      <w:b/>
      <w:sz w:val="22"/>
      <w:szCs w:val="24"/>
    </w:rPr>
  </w:style>
  <w:style w:type="paragraph" w:styleId="af7">
    <w:name w:val="Revision"/>
    <w:hidden/>
    <w:uiPriority w:val="99"/>
    <w:semiHidden/>
    <w:rsid w:val="002A2669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2A26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2A26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2A2669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2A26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2A26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0"/>
    <w:rsid w:val="002A266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2A266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2A2669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2A2669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2A2669"/>
    <w:pPr>
      <w:numPr>
        <w:numId w:val="2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2A2669"/>
    <w:pPr>
      <w:numPr>
        <w:ilvl w:val="1"/>
        <w:numId w:val="2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2A2669"/>
    <w:pPr>
      <w:numPr>
        <w:numId w:val="25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2A2669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2A266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2A26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A2669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dihpn.org/documents%2Fgpr11.pdf" TargetMode="External"/><Relationship Id="rId20" Type="http://schemas.microsoft.com/office/2011/relationships/people" Target="people.xml"/><Relationship Id="rId21" Type="http://schemas.microsoft.com/office/2011/relationships/commentsExtended" Target="commentsExtended.xml"/><Relationship Id="rId10" Type="http://schemas.openxmlformats.org/officeDocument/2006/relationships/hyperlink" Target="http://www.ifrc.org/Global/Publications/disasters/finance/cash-guidelines-en.pdf" TargetMode="External"/><Relationship Id="rId11" Type="http://schemas.openxmlformats.org/officeDocument/2006/relationships/hyperlink" Target="http://www.actionagainsthunger.org/publication/2007/10/implementing-cash-based-interventions-guideline-aid-workers" TargetMode="External"/><Relationship Id="rId12" Type="http://schemas.openxmlformats.org/officeDocument/2006/relationships/hyperlink" Target="http://www.emma-toolkit.org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dihpn.org/hpn-resources/network-papers/response-analysis-and-response-choice-in-food-security-crises-a-roadma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79</TotalTime>
  <Pages>4</Pages>
  <Words>954</Words>
  <Characters>6568</Characters>
  <Application>Microsoft Macintosh Word</Application>
  <DocSecurity>0</DocSecurity>
  <Lines>364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31</cp:revision>
  <cp:lastPrinted>2015-09-25T19:19:00Z</cp:lastPrinted>
  <dcterms:created xsi:type="dcterms:W3CDTF">2015-10-07T09:59:00Z</dcterms:created>
  <dcterms:modified xsi:type="dcterms:W3CDTF">2017-04-12T16:25:00Z</dcterms:modified>
</cp:coreProperties>
</file>