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96AE2" w14:textId="7E83E861" w:rsidR="00A03445" w:rsidRPr="00A76FE8" w:rsidRDefault="002B4618" w:rsidP="00C1316D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Дорожная карта по вопросам анализа, обучения и совершенствования </w:t>
      </w:r>
    </w:p>
    <w:p w14:paraId="6A9BFD9B" w14:textId="4E1C8971" w:rsidR="003A66D4" w:rsidRPr="00A76FE8" w:rsidRDefault="006D428E" w:rsidP="006D6B0C">
      <w:pPr>
        <w:pStyle w:val="H1"/>
        <w:ind w:left="-170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pict w14:anchorId="72C34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249.7pt;mso-position-vertical:absolute">
            <v:imagedata r:id="rId8" o:title="01-Preparedness-rodmap-EN3"/>
          </v:shape>
        </w:pict>
      </w:r>
    </w:p>
    <w:p w14:paraId="6B2161C8" w14:textId="574590B7" w:rsidR="00A03445" w:rsidRPr="00A76FE8" w:rsidRDefault="002B4618" w:rsidP="00C1316D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7AB1144A" w14:textId="2DD79976" w:rsidR="00A03445" w:rsidRPr="00A76FE8" w:rsidRDefault="00A76FE8" w:rsidP="00764A0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того, чтобы после чрезвычайных ситуаций</w:t>
      </w:r>
      <w:r w:rsidR="002B4618" w:rsidRPr="00A76FE8">
        <w:rPr>
          <w:rFonts w:ascii="Times New Roman" w:hAnsi="Times New Roman"/>
          <w:sz w:val="28"/>
          <w:szCs w:val="28"/>
          <w:lang w:val="ru-RU"/>
        </w:rPr>
        <w:t xml:space="preserve"> своевременно и полномасштабно осуществлять операции реагирования, в рамках которых бенефициарам предоставляются наличные денежные средства,</w:t>
      </w:r>
      <w:r w:rsidR="00020C96" w:rsidRPr="00A76FE8">
        <w:rPr>
          <w:rFonts w:ascii="Times New Roman" w:hAnsi="Times New Roman"/>
          <w:sz w:val="28"/>
          <w:szCs w:val="28"/>
          <w:lang w:val="ru-RU"/>
        </w:rPr>
        <w:t xml:space="preserve"> все аспекты</w:t>
      </w:r>
      <w:r w:rsidR="002B4618" w:rsidRPr="00A76FE8">
        <w:rPr>
          <w:rFonts w:ascii="Times New Roman" w:hAnsi="Times New Roman"/>
          <w:sz w:val="28"/>
          <w:szCs w:val="28"/>
          <w:lang w:val="ru-RU"/>
        </w:rPr>
        <w:t xml:space="preserve">, связанные с работой с наличными денежными средствами </w:t>
      </w:r>
      <w:r w:rsidR="00020C96" w:rsidRPr="00A76FE8">
        <w:rPr>
          <w:rFonts w:ascii="Times New Roman" w:hAnsi="Times New Roman"/>
          <w:sz w:val="28"/>
          <w:szCs w:val="28"/>
          <w:lang w:val="ru-RU"/>
        </w:rPr>
        <w:t>необходимо учитывать на протяжении всего процесса подготовки. Данная дорожная карта</w:t>
      </w:r>
      <w:r w:rsidR="00721926" w:rsidRPr="00A76FE8">
        <w:rPr>
          <w:rFonts w:ascii="Times New Roman" w:hAnsi="Times New Roman"/>
          <w:sz w:val="28"/>
          <w:szCs w:val="28"/>
          <w:lang w:val="ru-RU"/>
        </w:rPr>
        <w:t xml:space="preserve"> посвящена вопросам оценки готовности к </w:t>
      </w:r>
      <w:r w:rsidRPr="00A76FE8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="00721926" w:rsidRPr="00A76FE8">
        <w:rPr>
          <w:rFonts w:ascii="Times New Roman" w:hAnsi="Times New Roman"/>
          <w:sz w:val="28"/>
          <w:szCs w:val="28"/>
          <w:lang w:val="ru-RU"/>
        </w:rPr>
        <w:t xml:space="preserve"> ПДП, анализа операций в рамках ПДП</w:t>
      </w:r>
      <w:r>
        <w:rPr>
          <w:rFonts w:ascii="Times New Roman" w:hAnsi="Times New Roman"/>
          <w:sz w:val="28"/>
          <w:szCs w:val="28"/>
          <w:lang w:val="ru-RU"/>
        </w:rPr>
        <w:t xml:space="preserve"> и документирования полученного</w:t>
      </w:r>
      <w:r w:rsidR="00721926" w:rsidRPr="00A76FE8">
        <w:rPr>
          <w:rFonts w:ascii="Times New Roman" w:hAnsi="Times New Roman"/>
          <w:sz w:val="28"/>
          <w:szCs w:val="28"/>
          <w:lang w:val="ru-RU"/>
        </w:rPr>
        <w:t xml:space="preserve"> опыта с целью расширения масштабов уже накопленных знаний по ПДП. Структура дорожной карты отражает структуру раздела “Анализ, обучение и </w:t>
      </w:r>
      <w:r w:rsidRPr="00A76FE8">
        <w:rPr>
          <w:rFonts w:ascii="Times New Roman" w:hAnsi="Times New Roman"/>
          <w:sz w:val="28"/>
          <w:szCs w:val="28"/>
          <w:lang w:val="ru-RU"/>
        </w:rPr>
        <w:t>совершенствование</w:t>
      </w:r>
      <w:r w:rsidR="00721926" w:rsidRPr="00A76FE8">
        <w:rPr>
          <w:rFonts w:ascii="Times New Roman" w:hAnsi="Times New Roman"/>
          <w:sz w:val="28"/>
          <w:szCs w:val="28"/>
          <w:lang w:val="ru-RU"/>
        </w:rPr>
        <w:t xml:space="preserve">” </w:t>
      </w:r>
      <w:r w:rsidR="00721926" w:rsidRPr="00A76FE8">
        <w:rPr>
          <w:rFonts w:ascii="Times New Roman" w:hAnsi="Times New Roman"/>
          <w:i/>
          <w:sz w:val="28"/>
          <w:szCs w:val="28"/>
          <w:lang w:val="ru-RU"/>
        </w:rPr>
        <w:t>Руководящих указания по внедрению ПДП и обеспечению готовности к ним</w:t>
      </w:r>
      <w:r w:rsidR="00721926" w:rsidRPr="00A76FE8">
        <w:rPr>
          <w:rFonts w:ascii="Times New Roman" w:hAnsi="Times New Roman"/>
          <w:sz w:val="28"/>
          <w:szCs w:val="28"/>
          <w:lang w:val="ru-RU"/>
        </w:rPr>
        <w:t>, подготовленных Международным движением Красного Креста и Красного Полумесяца</w:t>
      </w:r>
      <w:r w:rsidR="00116612" w:rsidRPr="00A76FE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14:paraId="40D24FC7" w14:textId="2F4B30B1" w:rsidR="00544533" w:rsidRPr="00A76FE8" w:rsidRDefault="00721926" w:rsidP="00544533">
      <w:pPr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Предлагаемые </w:t>
      </w:r>
      <w:r w:rsidR="00544533" w:rsidRPr="00A76FE8">
        <w:rPr>
          <w:rFonts w:ascii="Times New Roman" w:hAnsi="Times New Roman"/>
          <w:sz w:val="28"/>
          <w:szCs w:val="28"/>
          <w:lang w:val="ru-RU"/>
        </w:rPr>
        <w:t xml:space="preserve">шаги </w:t>
      </w:r>
      <w:r w:rsidRPr="00A76FE8">
        <w:rPr>
          <w:rFonts w:ascii="Times New Roman" w:hAnsi="Times New Roman"/>
          <w:sz w:val="28"/>
          <w:szCs w:val="28"/>
          <w:lang w:val="ru-RU"/>
        </w:rPr>
        <w:t>не всегда изложены в логической последовательности</w:t>
      </w:r>
      <w:r w:rsidR="00544533" w:rsidRPr="00A76FE8">
        <w:rPr>
          <w:rFonts w:ascii="Times New Roman" w:hAnsi="Times New Roman"/>
          <w:sz w:val="28"/>
          <w:szCs w:val="28"/>
          <w:lang w:val="ru-RU"/>
        </w:rPr>
        <w:t>. Наряду с этим, некоторые из них следует осуществлять одновременно. Для каждого этапа предлагают</w:t>
      </w:r>
      <w:r w:rsidR="00A76FE8">
        <w:rPr>
          <w:rFonts w:ascii="Times New Roman" w:hAnsi="Times New Roman"/>
          <w:sz w:val="28"/>
          <w:szCs w:val="28"/>
          <w:lang w:val="ru-RU"/>
        </w:rPr>
        <w:t>ся</w:t>
      </w:r>
      <w:r w:rsidR="00544533" w:rsidRPr="00A76FE8">
        <w:rPr>
          <w:rFonts w:ascii="Times New Roman" w:hAnsi="Times New Roman"/>
          <w:sz w:val="28"/>
          <w:szCs w:val="28"/>
          <w:lang w:val="ru-RU"/>
        </w:rPr>
        <w:t xml:space="preserve"> свои инструменты, которые могут быть очень полезны в практической работе. 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4533" w:rsidRPr="00A76FE8">
        <w:rPr>
          <w:rFonts w:ascii="Times New Roman" w:hAnsi="Times New Roman"/>
          <w:sz w:val="28"/>
          <w:szCs w:val="28"/>
          <w:lang w:val="ru-RU"/>
        </w:rPr>
        <w:t xml:space="preserve">Может случиться так, что вам не удастся использовать все предлагаемые инструменты. В таком случае следует, по </w:t>
      </w:r>
      <w:r w:rsidR="00544533" w:rsidRPr="00A76FE8">
        <w:rPr>
          <w:rFonts w:ascii="Times New Roman" w:hAnsi="Times New Roman"/>
          <w:sz w:val="28"/>
          <w:szCs w:val="28"/>
          <w:lang w:val="ru-RU"/>
        </w:rPr>
        <w:lastRenderedPageBreak/>
        <w:t>меньшей мере,</w:t>
      </w:r>
      <w:r w:rsidR="00A76FE8">
        <w:rPr>
          <w:rFonts w:ascii="Times New Roman" w:hAnsi="Times New Roman"/>
          <w:sz w:val="28"/>
          <w:szCs w:val="28"/>
          <w:lang w:val="ru-RU"/>
        </w:rPr>
        <w:t xml:space="preserve"> обеспечить соблюдение </w:t>
      </w:r>
      <w:r w:rsidR="00544533" w:rsidRPr="00A76FE8">
        <w:rPr>
          <w:rFonts w:ascii="Times New Roman" w:hAnsi="Times New Roman"/>
          <w:sz w:val="28"/>
          <w:szCs w:val="28"/>
          <w:lang w:val="ru-RU"/>
        </w:rPr>
        <w:t xml:space="preserve">минимальных стандартов, установленных для каждого этапа программы. </w:t>
      </w:r>
    </w:p>
    <w:p w14:paraId="51915116" w14:textId="67FCD3F3" w:rsidR="00721926" w:rsidRPr="00A76FE8" w:rsidRDefault="00721926" w:rsidP="00764A04">
      <w:pPr>
        <w:rPr>
          <w:rFonts w:ascii="Times New Roman" w:hAnsi="Times New Roman"/>
          <w:sz w:val="28"/>
          <w:szCs w:val="28"/>
          <w:lang w:val="ru-RU"/>
        </w:rPr>
      </w:pPr>
    </w:p>
    <w:p w14:paraId="0C95E746" w14:textId="2C23245C" w:rsidR="00A03445" w:rsidRPr="00A76FE8" w:rsidRDefault="00544533" w:rsidP="00C1316D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16E1C0CD" w14:textId="4927348B" w:rsidR="00116612" w:rsidRPr="00A76FE8" w:rsidRDefault="00544533" w:rsidP="00764A04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План действий по обеспечению готовности к ПДП должен включать в себя конкретные шаги и ресурсы для осуществления анализа и оценки.  </w:t>
      </w:r>
    </w:p>
    <w:p w14:paraId="6DAE3A55" w14:textId="4B369318" w:rsidR="00116612" w:rsidRPr="00A76FE8" w:rsidRDefault="00544533" w:rsidP="00764A04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Техническое задание для руководителя координационной группы по ПДП национального общества и Технической </w:t>
      </w:r>
      <w:r w:rsidR="00CC4684" w:rsidRPr="00A76FE8">
        <w:rPr>
          <w:rFonts w:ascii="Times New Roman" w:hAnsi="Times New Roman"/>
          <w:sz w:val="28"/>
          <w:szCs w:val="28"/>
          <w:lang w:val="ru-RU"/>
        </w:rPr>
        <w:t>рабочей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группы должно включать в себя задачи и </w:t>
      </w:r>
      <w:r w:rsidR="00CC4684" w:rsidRPr="00A76FE8">
        <w:rPr>
          <w:rFonts w:ascii="Times New Roman" w:hAnsi="Times New Roman"/>
          <w:sz w:val="28"/>
          <w:szCs w:val="28"/>
          <w:lang w:val="ru-RU"/>
        </w:rPr>
        <w:t>обязанности</w:t>
      </w:r>
      <w:r w:rsidR="00CC4684">
        <w:rPr>
          <w:rFonts w:ascii="Times New Roman" w:hAnsi="Times New Roman"/>
          <w:sz w:val="28"/>
          <w:szCs w:val="28"/>
          <w:lang w:val="ru-RU"/>
        </w:rPr>
        <w:t xml:space="preserve"> по обеспечению готовности к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ПДП и проведению мониторинга и оценки. </w:t>
      </w:r>
      <w:r w:rsidR="00116612" w:rsidRPr="00A76FE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000C21E" w14:textId="3C382CFB" w:rsidR="00116612" w:rsidRPr="00A76FE8" w:rsidRDefault="00544533" w:rsidP="00764A04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Уровень готовности к ПДП должен оцениваться на протяжении в</w:t>
      </w:r>
      <w:r w:rsidR="00CC4684">
        <w:rPr>
          <w:rFonts w:ascii="Times New Roman" w:hAnsi="Times New Roman"/>
          <w:sz w:val="28"/>
          <w:szCs w:val="28"/>
          <w:lang w:val="ru-RU"/>
        </w:rPr>
        <w:t>с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его процесса внутренней оценки, осуществляемой координатором координационной группы по ПДП и </w:t>
      </w:r>
      <w:r w:rsidR="00CC4684" w:rsidRPr="00A76FE8">
        <w:rPr>
          <w:rFonts w:ascii="Times New Roman" w:hAnsi="Times New Roman"/>
          <w:sz w:val="28"/>
          <w:szCs w:val="28"/>
          <w:lang w:val="ru-RU"/>
        </w:rPr>
        <w:t>Технической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рабочей группой</w:t>
      </w:r>
      <w:r w:rsidR="00116612" w:rsidRPr="00A76FE8">
        <w:rPr>
          <w:rFonts w:ascii="Times New Roman" w:hAnsi="Times New Roman"/>
          <w:sz w:val="28"/>
          <w:szCs w:val="28"/>
          <w:lang w:val="ru-RU"/>
        </w:rPr>
        <w:t>.</w:t>
      </w:r>
    </w:p>
    <w:p w14:paraId="4823E0D3" w14:textId="31BF2DF1" w:rsidR="00116612" w:rsidRPr="00A76FE8" w:rsidRDefault="00544533" w:rsidP="00BC1F3F">
      <w:pPr>
        <w:pStyle w:val="Bullet1"/>
        <w:keepNext/>
        <w:keepLines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Процесс обеспечения готовности к ПДП и </w:t>
      </w:r>
      <w:r w:rsidR="00CC4684" w:rsidRPr="00A76FE8">
        <w:rPr>
          <w:rFonts w:ascii="Times New Roman" w:hAnsi="Times New Roman"/>
          <w:sz w:val="28"/>
          <w:szCs w:val="28"/>
          <w:lang w:val="ru-RU"/>
        </w:rPr>
        <w:t>соответствующие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инструменты должны быть проверены на </w:t>
      </w:r>
      <w:r w:rsidR="00CC4684" w:rsidRPr="00A76FE8">
        <w:rPr>
          <w:rFonts w:ascii="Times New Roman" w:hAnsi="Times New Roman"/>
          <w:sz w:val="28"/>
          <w:szCs w:val="28"/>
          <w:lang w:val="ru-RU"/>
        </w:rPr>
        <w:t>практике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и адаптированы к оперативным условиям</w:t>
      </w:r>
      <w:r w:rsidR="00116612" w:rsidRPr="00A76FE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374D605" w14:textId="75342110" w:rsidR="00116612" w:rsidRPr="00A76FE8" w:rsidRDefault="00EB0115" w:rsidP="00BC1F3F">
      <w:pPr>
        <w:pStyle w:val="Bullet1"/>
        <w:keepNext/>
        <w:keepLines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Оценку операций в рамках ПДП должен проводить внешний консультант/группа экспертов</w:t>
      </w:r>
      <w:r w:rsidR="00116612" w:rsidRPr="00A76FE8">
        <w:rPr>
          <w:rFonts w:ascii="Times New Roman" w:hAnsi="Times New Roman"/>
          <w:sz w:val="28"/>
          <w:szCs w:val="28"/>
          <w:lang w:val="ru-RU"/>
        </w:rPr>
        <w:t>.</w:t>
      </w:r>
    </w:p>
    <w:p w14:paraId="54434FB6" w14:textId="0C8F187D" w:rsidR="00116612" w:rsidRPr="00A76FE8" w:rsidRDefault="00EB0115" w:rsidP="00764A04">
      <w:pPr>
        <w:pStyle w:val="Bullet1"/>
        <w:rPr>
          <w:rFonts w:ascii="Times New Roman" w:hAnsi="Times New Roman"/>
          <w:b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Оценочные отчеты, предметные исследования и информационные бюллетени должны быть направлен</w:t>
      </w:r>
      <w:r w:rsidR="00CC4684">
        <w:rPr>
          <w:rFonts w:ascii="Times New Roman" w:hAnsi="Times New Roman"/>
          <w:sz w:val="28"/>
          <w:szCs w:val="28"/>
          <w:lang w:val="ru-RU"/>
        </w:rPr>
        <w:t>ы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партнерам по </w:t>
      </w:r>
      <w:r w:rsidR="00CC4684" w:rsidRPr="00A76FE8">
        <w:rPr>
          <w:rFonts w:ascii="Times New Roman" w:hAnsi="Times New Roman"/>
          <w:sz w:val="28"/>
          <w:szCs w:val="28"/>
          <w:lang w:val="ru-RU"/>
        </w:rPr>
        <w:t>Движению</w:t>
      </w:r>
      <w:r w:rsidRPr="00A76FE8">
        <w:rPr>
          <w:rFonts w:ascii="Times New Roman" w:hAnsi="Times New Roman"/>
          <w:sz w:val="28"/>
          <w:szCs w:val="28"/>
          <w:lang w:val="ru-RU"/>
        </w:rPr>
        <w:t>, а также внешним заинтересованным сторонам и сетевым организациям</w:t>
      </w:r>
      <w:r w:rsidR="00116612" w:rsidRPr="00A76FE8">
        <w:rPr>
          <w:rFonts w:ascii="Times New Roman" w:hAnsi="Times New Roman"/>
          <w:sz w:val="28"/>
          <w:szCs w:val="28"/>
          <w:lang w:val="ru-RU"/>
        </w:rPr>
        <w:t>.</w:t>
      </w:r>
    </w:p>
    <w:p w14:paraId="0BEBC6E5" w14:textId="7D6AF258" w:rsidR="00A03445" w:rsidRPr="00A76FE8" w:rsidRDefault="005C6C32" w:rsidP="00C1316D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</w:p>
    <w:p w14:paraId="6F39F07E" w14:textId="52309D8A" w:rsidR="00346889" w:rsidRPr="00A76FE8" w:rsidRDefault="005C6C32" w:rsidP="00C1316D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Создание обучающей среды</w:t>
      </w:r>
    </w:p>
    <w:p w14:paraId="1CCBFF8C" w14:textId="4DDCE9AF" w:rsidR="008C2AFA" w:rsidRPr="00A76FE8" w:rsidRDefault="005C6C32" w:rsidP="00764A04">
      <w:pPr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Руководитель координационной группы по ПДП и Техническая рабочая группа должны </w:t>
      </w:r>
      <w:r w:rsidR="009E3E56" w:rsidRPr="00A76FE8">
        <w:rPr>
          <w:rFonts w:ascii="Times New Roman" w:hAnsi="Times New Roman"/>
          <w:sz w:val="28"/>
          <w:szCs w:val="28"/>
          <w:lang w:val="ru-RU"/>
        </w:rPr>
        <w:t>взя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>ть на себя задачу по разработке</w:t>
      </w:r>
      <w:r w:rsidR="009E3E56" w:rsidRPr="00A76FE8">
        <w:rPr>
          <w:rFonts w:ascii="Times New Roman" w:hAnsi="Times New Roman"/>
          <w:sz w:val="28"/>
          <w:szCs w:val="28"/>
          <w:lang w:val="ru-RU"/>
        </w:rPr>
        <w:t xml:space="preserve"> систем мониторинга и оценки уровня готовности к 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>осуществлению ПДП,</w:t>
      </w:r>
      <w:r w:rsidR="001A4EF7">
        <w:rPr>
          <w:rFonts w:ascii="Times New Roman" w:hAnsi="Times New Roman"/>
          <w:sz w:val="28"/>
          <w:szCs w:val="28"/>
          <w:lang w:val="ru-RU"/>
        </w:rPr>
        <w:t xml:space="preserve"> а также содействию непрерывному обучению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 сотрудников </w:t>
      </w:r>
      <w:r w:rsidR="001A4EF7" w:rsidRPr="00A76FE8">
        <w:rPr>
          <w:rFonts w:ascii="Times New Roman" w:hAnsi="Times New Roman"/>
          <w:sz w:val="28"/>
          <w:szCs w:val="28"/>
          <w:lang w:val="ru-RU"/>
        </w:rPr>
        <w:t>разных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 департаментов. Они должны планировать и </w:t>
      </w:r>
      <w:r w:rsidR="001A4EF7" w:rsidRPr="00A76FE8">
        <w:rPr>
          <w:rFonts w:ascii="Times New Roman" w:hAnsi="Times New Roman"/>
          <w:sz w:val="28"/>
          <w:szCs w:val="28"/>
          <w:lang w:val="ru-RU"/>
        </w:rPr>
        <w:t>осуществлять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 работу по анализу Плана действий по обеспечению готовности к ПДП и </w:t>
      </w:r>
      <w:r w:rsidR="001A4EF7" w:rsidRPr="00A76FE8">
        <w:rPr>
          <w:rFonts w:ascii="Times New Roman" w:hAnsi="Times New Roman"/>
          <w:sz w:val="28"/>
          <w:szCs w:val="28"/>
          <w:lang w:val="ru-RU"/>
        </w:rPr>
        <w:t>соответствующи</w:t>
      </w:r>
      <w:r w:rsidR="001A4EF7">
        <w:rPr>
          <w:rFonts w:ascii="Times New Roman" w:hAnsi="Times New Roman"/>
          <w:sz w:val="28"/>
          <w:szCs w:val="28"/>
          <w:lang w:val="ru-RU"/>
        </w:rPr>
        <w:t>х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 систем и инструментов.  В числе предлагаемых инструментов – шаблон ежемесячного отчет, который поможет руководителю координационной группы по ПДП и </w:t>
      </w:r>
      <w:r w:rsidR="001A4EF7">
        <w:rPr>
          <w:rFonts w:ascii="Times New Roman" w:hAnsi="Times New Roman"/>
          <w:sz w:val="28"/>
          <w:szCs w:val="28"/>
          <w:lang w:val="ru-RU"/>
        </w:rPr>
        <w:t>Технической рабочей группе соб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рать информацию по разным секторам и информировать руководство и партнеров по </w:t>
      </w:r>
      <w:r w:rsidR="00882A4B">
        <w:rPr>
          <w:rFonts w:ascii="Times New Roman" w:hAnsi="Times New Roman"/>
          <w:sz w:val="28"/>
          <w:szCs w:val="28"/>
          <w:lang w:val="ru-RU"/>
        </w:rPr>
        <w:t>Движению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 об успехах в </w:t>
      </w:r>
      <w:r w:rsidR="00882A4B" w:rsidRPr="00A76FE8">
        <w:rPr>
          <w:rFonts w:ascii="Times New Roman" w:hAnsi="Times New Roman"/>
          <w:sz w:val="28"/>
          <w:szCs w:val="28"/>
          <w:lang w:val="ru-RU"/>
        </w:rPr>
        <w:t>реализации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A4B">
        <w:rPr>
          <w:rFonts w:ascii="Times New Roman" w:hAnsi="Times New Roman"/>
          <w:sz w:val="28"/>
          <w:szCs w:val="28"/>
          <w:lang w:val="ru-RU"/>
        </w:rPr>
        <w:t>П</w:t>
      </w:r>
      <w:r w:rsidR="00882A4B" w:rsidRPr="00A76FE8">
        <w:rPr>
          <w:rFonts w:ascii="Times New Roman" w:hAnsi="Times New Roman"/>
          <w:sz w:val="28"/>
          <w:szCs w:val="28"/>
          <w:lang w:val="ru-RU"/>
        </w:rPr>
        <w:t>лана</w:t>
      </w:r>
      <w:r w:rsidR="00D94088" w:rsidRPr="00A76FE8">
        <w:rPr>
          <w:rFonts w:ascii="Times New Roman" w:hAnsi="Times New Roman"/>
          <w:sz w:val="28"/>
          <w:szCs w:val="28"/>
          <w:lang w:val="ru-RU"/>
        </w:rPr>
        <w:t xml:space="preserve"> действий. </w:t>
      </w:r>
    </w:p>
    <w:p w14:paraId="57A74DEF" w14:textId="1C72A3DB" w:rsidR="00417D24" w:rsidRPr="00A76FE8" w:rsidRDefault="00D94088" w:rsidP="00C1316D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Внутренний анализ оперативной деятельности в </w:t>
      </w:r>
      <w:r w:rsidR="005444E6" w:rsidRPr="00A76FE8">
        <w:rPr>
          <w:rFonts w:ascii="Times New Roman" w:hAnsi="Times New Roman"/>
          <w:sz w:val="28"/>
          <w:szCs w:val="28"/>
          <w:lang w:val="ru-RU"/>
        </w:rPr>
        <w:t>рамках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ПДП </w:t>
      </w:r>
    </w:p>
    <w:p w14:paraId="7932CB40" w14:textId="7C177BB7" w:rsidR="00354E84" w:rsidRPr="00A76FE8" w:rsidRDefault="00D94088" w:rsidP="00764A04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Оценка процесса готовности к осуществлению ПДП позволит выявить важнейшие успехи в реализации планов, зафиксировать примеры передового опыта и разработать рекомендации по обеспечению более </w:t>
      </w:r>
      <w:r w:rsidR="005444E6" w:rsidRPr="00A76FE8">
        <w:rPr>
          <w:rFonts w:ascii="Times New Roman" w:hAnsi="Times New Roman"/>
          <w:sz w:val="28"/>
          <w:szCs w:val="28"/>
          <w:lang w:val="ru-RU"/>
        </w:rPr>
        <w:t>эффективных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FE8">
        <w:rPr>
          <w:rFonts w:ascii="Times New Roman" w:hAnsi="Times New Roman"/>
          <w:sz w:val="28"/>
          <w:szCs w:val="28"/>
          <w:lang w:val="ru-RU"/>
        </w:rPr>
        <w:lastRenderedPageBreak/>
        <w:t xml:space="preserve">результатов. Проведение однодневного или двухдневного тематического семинара </w:t>
      </w:r>
      <w:r w:rsidR="005444E6">
        <w:rPr>
          <w:rFonts w:ascii="Times New Roman" w:hAnsi="Times New Roman"/>
          <w:bCs/>
          <w:iCs/>
          <w:sz w:val="28"/>
          <w:szCs w:val="28"/>
          <w:lang w:val="ru-RU"/>
        </w:rPr>
        <w:t>может</w:t>
      </w:r>
      <w:r w:rsidR="00354E84" w:rsidRPr="00A76FE8">
        <w:rPr>
          <w:rFonts w:ascii="Times New Roman" w:hAnsi="Times New Roman"/>
          <w:bCs/>
          <w:iCs/>
          <w:sz w:val="28"/>
          <w:szCs w:val="28"/>
          <w:lang w:val="ru-RU"/>
        </w:rPr>
        <w:t xml:space="preserve"> быть полезным в целях понимания основных достижений и извлеченных уроков и разработки рекомендаций. Предлагаемый подход и </w:t>
      </w:r>
      <w:r w:rsidR="005444E6" w:rsidRPr="00A76FE8">
        <w:rPr>
          <w:rFonts w:ascii="Times New Roman" w:hAnsi="Times New Roman"/>
          <w:bCs/>
          <w:iCs/>
          <w:sz w:val="28"/>
          <w:szCs w:val="28"/>
          <w:lang w:val="ru-RU"/>
        </w:rPr>
        <w:t>инструменты</w:t>
      </w:r>
      <w:r w:rsidR="00354E84" w:rsidRPr="00A76FE8">
        <w:rPr>
          <w:rFonts w:ascii="Times New Roman" w:hAnsi="Times New Roman"/>
          <w:bCs/>
          <w:iCs/>
          <w:sz w:val="28"/>
          <w:szCs w:val="28"/>
          <w:lang w:val="ru-RU"/>
        </w:rPr>
        <w:t xml:space="preserve"> аналогичны тем, что использовались в рамках семинара по вопросам первичной готовности. </w:t>
      </w:r>
      <w:r w:rsidR="005444E6" w:rsidRPr="00A76FE8">
        <w:rPr>
          <w:rFonts w:ascii="Times New Roman" w:hAnsi="Times New Roman"/>
          <w:bCs/>
          <w:iCs/>
          <w:sz w:val="28"/>
          <w:szCs w:val="28"/>
          <w:lang w:val="ru-RU"/>
        </w:rPr>
        <w:t>Инструменты</w:t>
      </w:r>
      <w:r w:rsidR="00354E84" w:rsidRPr="00A76FE8">
        <w:rPr>
          <w:rFonts w:ascii="Times New Roman" w:hAnsi="Times New Roman"/>
          <w:bCs/>
          <w:iCs/>
          <w:sz w:val="28"/>
          <w:szCs w:val="28"/>
          <w:lang w:val="ru-RU"/>
        </w:rPr>
        <w:t xml:space="preserve"> для проведения анализа сильных/слабых сторон, возможностей и угроз, а также самооценки можно переработать и </w:t>
      </w:r>
      <w:r w:rsidR="00C37328" w:rsidRPr="00A76FE8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="00354E84" w:rsidRPr="00A76FE8">
        <w:rPr>
          <w:rFonts w:ascii="Times New Roman" w:hAnsi="Times New Roman"/>
          <w:bCs/>
          <w:iCs/>
          <w:sz w:val="28"/>
          <w:szCs w:val="28"/>
          <w:lang w:val="ru-RU"/>
        </w:rPr>
        <w:t xml:space="preserve">спользовать для осуществления процесса оценки. </w:t>
      </w:r>
      <w:r w:rsidR="00C37328" w:rsidRPr="00A76FE8">
        <w:rPr>
          <w:rFonts w:ascii="Times New Roman" w:hAnsi="Times New Roman"/>
          <w:bCs/>
          <w:iCs/>
          <w:sz w:val="28"/>
          <w:szCs w:val="28"/>
          <w:lang w:val="ru-RU"/>
        </w:rPr>
        <w:t xml:space="preserve">В числе предлагаемых инструментов можно найти шаблоны для оценки готовности к осуществлению ПДП, шаблоны технических заданий и отчетов, а также краткие </w:t>
      </w:r>
      <w:r w:rsidR="005444E6">
        <w:rPr>
          <w:rFonts w:ascii="Times New Roman" w:hAnsi="Times New Roman"/>
          <w:bCs/>
          <w:iCs/>
          <w:sz w:val="28"/>
          <w:szCs w:val="28"/>
          <w:lang w:val="ru-RU"/>
        </w:rPr>
        <w:t>руководящие</w:t>
      </w:r>
      <w:r w:rsidR="00C37328" w:rsidRPr="00A76FE8">
        <w:rPr>
          <w:rFonts w:ascii="Times New Roman" w:hAnsi="Times New Roman"/>
          <w:bCs/>
          <w:iCs/>
          <w:sz w:val="28"/>
          <w:szCs w:val="28"/>
          <w:lang w:val="ru-RU"/>
        </w:rPr>
        <w:t xml:space="preserve"> указания по организации обучающих семинаров. </w:t>
      </w:r>
    </w:p>
    <w:p w14:paraId="2A44B50E" w14:textId="7F53FA64" w:rsidR="00C37328" w:rsidRPr="00A76FE8" w:rsidRDefault="00C37328" w:rsidP="00C37328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 xml:space="preserve">Внешняя оценка оперативной деятельности в </w:t>
      </w:r>
      <w:r w:rsidR="005444E6" w:rsidRPr="00A76FE8">
        <w:rPr>
          <w:rFonts w:ascii="Times New Roman" w:hAnsi="Times New Roman"/>
          <w:sz w:val="28"/>
          <w:szCs w:val="28"/>
          <w:lang w:val="ru-RU"/>
        </w:rPr>
        <w:t>рамках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ПДП </w:t>
      </w:r>
    </w:p>
    <w:p w14:paraId="148AB231" w14:textId="654AF7E0" w:rsidR="006D074D" w:rsidRPr="00A76FE8" w:rsidRDefault="00C37328" w:rsidP="00764A04">
      <w:pPr>
        <w:rPr>
          <w:rFonts w:ascii="Times New Roman" w:hAnsi="Times New Roman"/>
          <w:sz w:val="28"/>
          <w:szCs w:val="28"/>
          <w:lang w:val="ru-RU" w:eastAsia="en-GB"/>
        </w:rPr>
      </w:pP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По завершении ПДП в рамках операций экстренного реагирования </w:t>
      </w:r>
      <w:r w:rsidR="005444E6" w:rsidRPr="00A76FE8">
        <w:rPr>
          <w:rFonts w:ascii="Times New Roman" w:hAnsi="Times New Roman"/>
          <w:sz w:val="28"/>
          <w:szCs w:val="28"/>
          <w:lang w:val="ru-RU" w:eastAsia="en-GB"/>
        </w:rPr>
        <w:t>необходимо</w:t>
      </w: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 провести </w:t>
      </w:r>
      <w:r w:rsidRPr="00A76FE8">
        <w:rPr>
          <w:rFonts w:ascii="Times New Roman" w:hAnsi="Times New Roman"/>
          <w:b/>
          <w:i/>
          <w:sz w:val="28"/>
          <w:szCs w:val="28"/>
          <w:lang w:val="ru-RU" w:eastAsia="en-GB"/>
        </w:rPr>
        <w:t>внешнюю оценку</w:t>
      </w: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, чтобы беспристрастным и всеобъемлющим образом оценить все преимущества и </w:t>
      </w:r>
      <w:r w:rsidR="005444E6">
        <w:rPr>
          <w:rFonts w:ascii="Times New Roman" w:hAnsi="Times New Roman"/>
          <w:sz w:val="28"/>
          <w:szCs w:val="28"/>
          <w:lang w:val="ru-RU" w:eastAsia="en-GB"/>
        </w:rPr>
        <w:t>недостатки</w:t>
      </w: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 проделанной работы.</w:t>
      </w:r>
      <w:r w:rsidR="005D0958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В рамках оценки </w:t>
      </w:r>
      <w:r w:rsidR="005444E6" w:rsidRPr="00A76FE8">
        <w:rPr>
          <w:rFonts w:ascii="Times New Roman" w:hAnsi="Times New Roman"/>
          <w:sz w:val="28"/>
          <w:szCs w:val="28"/>
          <w:lang w:val="ru-RU" w:eastAsia="en-GB"/>
        </w:rPr>
        <w:t>необходим</w:t>
      </w:r>
      <w:r w:rsidR="005444E6" w:rsidRPr="00A76FE8">
        <w:rPr>
          <w:rFonts w:ascii="Times New Roman" w:hAnsi="Times New Roman" w:hint="eastAsia"/>
          <w:sz w:val="28"/>
          <w:szCs w:val="28"/>
          <w:lang w:val="ru-RU" w:eastAsia="en-GB"/>
        </w:rPr>
        <w:t>о</w:t>
      </w:r>
      <w:r w:rsidR="005D0958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зафиксировать извлеченные уроки и подготовить рекомендации по совершенствованию используемых методов работы. </w:t>
      </w:r>
      <w:r w:rsidR="00513E9F" w:rsidRPr="00A76FE8">
        <w:rPr>
          <w:rFonts w:ascii="Times New Roman" w:hAnsi="Times New Roman"/>
          <w:sz w:val="28"/>
          <w:szCs w:val="28"/>
          <w:lang w:val="ru-RU" w:eastAsia="en-GB"/>
        </w:rPr>
        <w:t xml:space="preserve">Процесс оценки должен охватывать такие аспекты деятельности как  методы работы, структура проекта, промежуточные и итоговые результаты (включая выделенные и потраченные ресурсы), достигнутые на этапе обеспечения готовности к ПДП. План </w:t>
      </w:r>
      <w:r w:rsidR="002D2E9C" w:rsidRPr="00A76FE8">
        <w:rPr>
          <w:rFonts w:ascii="Times New Roman" w:hAnsi="Times New Roman"/>
          <w:sz w:val="28"/>
          <w:szCs w:val="28"/>
          <w:lang w:val="ru-RU" w:eastAsia="en-GB"/>
        </w:rPr>
        <w:t>действий</w:t>
      </w:r>
      <w:r w:rsidR="00513E9F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по обеспечению готовности к </w:t>
      </w:r>
      <w:r w:rsidR="002D2E9C">
        <w:rPr>
          <w:rFonts w:ascii="Times New Roman" w:hAnsi="Times New Roman"/>
          <w:sz w:val="28"/>
          <w:szCs w:val="28"/>
          <w:lang w:val="ru-RU" w:eastAsia="en-GB"/>
        </w:rPr>
        <w:t>осуществлению</w:t>
      </w:r>
      <w:r w:rsidR="00513E9F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ПДП должен включать в себя шаги по</w:t>
      </w:r>
      <w:r w:rsidR="00C92B78">
        <w:rPr>
          <w:rFonts w:ascii="Times New Roman" w:hAnsi="Times New Roman"/>
          <w:sz w:val="28"/>
          <w:szCs w:val="28"/>
          <w:lang w:val="ru-RU" w:eastAsia="en-GB"/>
        </w:rPr>
        <w:t xml:space="preserve"> оценке деятельности и образовательные</w:t>
      </w:r>
      <w:r w:rsidR="00513E9F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мероприятия. В данном подразделе читателю будет предложено познакомиться с дорожной картой по </w:t>
      </w:r>
      <w:r w:rsidR="00BB30E1" w:rsidRPr="00A76FE8">
        <w:rPr>
          <w:rFonts w:ascii="Times New Roman" w:hAnsi="Times New Roman"/>
          <w:sz w:val="28"/>
          <w:szCs w:val="28"/>
          <w:lang w:val="ru-RU" w:eastAsia="en-GB"/>
        </w:rPr>
        <w:t>вопросам</w:t>
      </w:r>
      <w:r w:rsidR="00513E9F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оценки ПДП</w:t>
      </w:r>
      <w:r w:rsidR="009D4BE1" w:rsidRPr="00A76FE8">
        <w:rPr>
          <w:rFonts w:ascii="Times New Roman" w:hAnsi="Times New Roman"/>
          <w:sz w:val="28"/>
          <w:szCs w:val="28"/>
          <w:lang w:val="ru-RU" w:eastAsia="en-GB"/>
        </w:rPr>
        <w:t>.</w:t>
      </w:r>
    </w:p>
    <w:p w14:paraId="78F0C60B" w14:textId="7B09A7E6" w:rsidR="00513E9F" w:rsidRPr="00A76FE8" w:rsidRDefault="00513E9F" w:rsidP="00764A04">
      <w:pPr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b/>
          <w:i/>
          <w:sz w:val="28"/>
          <w:szCs w:val="28"/>
          <w:lang w:val="ru-RU"/>
        </w:rPr>
        <w:t>Предметные исследования,</w:t>
      </w:r>
      <w:r w:rsidR="006D074D" w:rsidRPr="00A76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0E1">
        <w:rPr>
          <w:rFonts w:ascii="Times New Roman" w:hAnsi="Times New Roman"/>
          <w:sz w:val="28"/>
          <w:szCs w:val="28"/>
          <w:lang w:val="ru-RU"/>
        </w:rPr>
        <w:t>осуществляемые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внешними экспертами – еще один интересный метод фиксировать преимущества и </w:t>
      </w:r>
      <w:r w:rsidR="00BB30E1">
        <w:rPr>
          <w:rFonts w:ascii="Times New Roman" w:hAnsi="Times New Roman"/>
          <w:sz w:val="28"/>
          <w:szCs w:val="28"/>
          <w:lang w:val="ru-RU"/>
        </w:rPr>
        <w:t>недостатки используемых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методов работы, а также проблемы и решения, найденные в ходе реализации ПДП. Полученные данные могут использоваться в целях </w:t>
      </w:r>
      <w:r w:rsidR="00BB30E1" w:rsidRPr="00A76FE8">
        <w:rPr>
          <w:rFonts w:ascii="Times New Roman" w:hAnsi="Times New Roman"/>
          <w:sz w:val="28"/>
          <w:szCs w:val="28"/>
          <w:lang w:val="ru-RU"/>
        </w:rPr>
        <w:t>поддержки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694" w:rsidRPr="00A76FE8">
        <w:rPr>
          <w:rFonts w:ascii="Times New Roman" w:hAnsi="Times New Roman"/>
          <w:sz w:val="28"/>
          <w:szCs w:val="28"/>
          <w:lang w:val="ru-RU"/>
        </w:rPr>
        <w:t xml:space="preserve">усилий по мобилизации ресурсов и развитию потенциала. 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376FFD7F" w14:textId="5A16C80D" w:rsidR="005C6F57" w:rsidRPr="00A76FE8" w:rsidRDefault="00C004BF" w:rsidP="00C1316D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/>
        </w:rPr>
        <w:t>Докум</w:t>
      </w:r>
      <w:r w:rsidR="00BB30E1">
        <w:rPr>
          <w:rFonts w:ascii="Times New Roman" w:hAnsi="Times New Roman"/>
          <w:sz w:val="28"/>
          <w:szCs w:val="28"/>
          <w:lang w:val="ru-RU"/>
        </w:rPr>
        <w:t>ентация и распространение полученного опыта</w:t>
      </w:r>
      <w:r w:rsidR="007369B7" w:rsidRPr="00A76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FE8">
        <w:rPr>
          <w:rFonts w:ascii="Times New Roman" w:hAnsi="Times New Roman"/>
          <w:sz w:val="28"/>
          <w:szCs w:val="28"/>
          <w:lang w:val="ru-RU"/>
        </w:rPr>
        <w:t xml:space="preserve">с целью расширения масштабов накопленных знаний по ПДП  </w:t>
      </w:r>
    </w:p>
    <w:p w14:paraId="702CA94C" w14:textId="48235C3B" w:rsidR="00C004BF" w:rsidRPr="00A76FE8" w:rsidRDefault="00C004BF" w:rsidP="00764A04">
      <w:pPr>
        <w:spacing w:after="240"/>
        <w:rPr>
          <w:rFonts w:ascii="Times New Roman" w:hAnsi="Times New Roman"/>
          <w:sz w:val="28"/>
          <w:szCs w:val="28"/>
          <w:lang w:val="ru-RU" w:eastAsia="en-GB"/>
        </w:rPr>
      </w:pP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Важно распространять примеры передового опыта, накопленного в рамках осуществления ПДП, как среди партнеров по Движению, так и среди внешних заинтересованных сторон и сетевых </w:t>
      </w:r>
      <w:r w:rsidR="00BB30E1" w:rsidRPr="00A76FE8">
        <w:rPr>
          <w:rFonts w:ascii="Times New Roman" w:hAnsi="Times New Roman"/>
          <w:sz w:val="28"/>
          <w:szCs w:val="28"/>
          <w:lang w:val="ru-RU" w:eastAsia="en-GB"/>
        </w:rPr>
        <w:t>организаций</w:t>
      </w: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. </w:t>
      </w:r>
      <w:r w:rsidR="00BB30E1">
        <w:rPr>
          <w:rFonts w:ascii="Times New Roman" w:hAnsi="Times New Roman"/>
          <w:sz w:val="28"/>
          <w:szCs w:val="28"/>
          <w:lang w:val="ru-RU" w:eastAsia="en-GB"/>
        </w:rPr>
        <w:t>Распространение</w:t>
      </w: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 инструментов и предметных исследований, а также новостей и аудио-видео материалов может способствовать 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повышению </w:t>
      </w:r>
      <w:r w:rsidR="00BB30E1">
        <w:rPr>
          <w:rFonts w:ascii="Times New Roman" w:hAnsi="Times New Roman"/>
          <w:sz w:val="28"/>
          <w:szCs w:val="28"/>
          <w:lang w:val="ru-RU" w:eastAsia="en-GB"/>
        </w:rPr>
        <w:t>эффективности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 работы НО и явиться важным вкладом в развитие гуманитарного сектора в целом. </w:t>
      </w:r>
      <w:r w:rsidRPr="00A76FE8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>Нацио</w:t>
      </w:r>
      <w:r w:rsidR="00BB30E1">
        <w:rPr>
          <w:rFonts w:ascii="Times New Roman" w:hAnsi="Times New Roman"/>
          <w:sz w:val="28"/>
          <w:szCs w:val="28"/>
          <w:lang w:val="ru-RU" w:eastAsia="en-GB"/>
        </w:rPr>
        <w:t>нальное общество должно стремиться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предоставить техническую </w:t>
      </w:r>
      <w:r w:rsidR="00BB30E1" w:rsidRPr="00A76FE8">
        <w:rPr>
          <w:rFonts w:ascii="Times New Roman" w:hAnsi="Times New Roman"/>
          <w:sz w:val="28"/>
          <w:szCs w:val="28"/>
          <w:lang w:val="ru-RU" w:eastAsia="en-GB"/>
        </w:rPr>
        <w:t>поддержку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другим национальным обществам</w:t>
      </w:r>
      <w:r w:rsidR="00BB30E1">
        <w:rPr>
          <w:rFonts w:ascii="Times New Roman" w:hAnsi="Times New Roman"/>
          <w:sz w:val="28"/>
          <w:szCs w:val="28"/>
          <w:lang w:val="ru-RU" w:eastAsia="en-GB"/>
        </w:rPr>
        <w:t>,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которые осуществляют аналогичные инициативы. В числе предлагаемых на данном этапе </w:t>
      </w:r>
      <w:r w:rsidR="008A5699" w:rsidRPr="00A76FE8">
        <w:rPr>
          <w:rFonts w:ascii="Times New Roman" w:hAnsi="Times New Roman"/>
          <w:sz w:val="28"/>
          <w:szCs w:val="28"/>
          <w:lang w:val="ru-RU" w:eastAsia="en-GB"/>
        </w:rPr>
        <w:t>инструментов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 – шаб</w:t>
      </w:r>
      <w:r w:rsidR="008A5699">
        <w:rPr>
          <w:rFonts w:ascii="Times New Roman" w:hAnsi="Times New Roman"/>
          <w:sz w:val="28"/>
          <w:szCs w:val="28"/>
          <w:lang w:val="ru-RU" w:eastAsia="en-GB"/>
        </w:rPr>
        <w:t>лон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ы для разработки предметных исследований и подготовки </w:t>
      </w:r>
      <w:r w:rsidR="008A5699" w:rsidRPr="00A76FE8">
        <w:rPr>
          <w:rFonts w:ascii="Times New Roman" w:hAnsi="Times New Roman"/>
          <w:sz w:val="28"/>
          <w:szCs w:val="28"/>
          <w:lang w:val="ru-RU" w:eastAsia="en-GB"/>
        </w:rPr>
        <w:t>информационных</w:t>
      </w:r>
      <w:r w:rsidR="00D36CA1" w:rsidRPr="00A76FE8">
        <w:rPr>
          <w:rFonts w:ascii="Times New Roman" w:hAnsi="Times New Roman"/>
          <w:sz w:val="28"/>
          <w:szCs w:val="28"/>
          <w:lang w:val="ru-RU" w:eastAsia="en-GB"/>
        </w:rPr>
        <w:t xml:space="preserve"> бюллетеней. </w:t>
      </w:r>
    </w:p>
    <w:p w14:paraId="6D8BA4C6" w14:textId="53D36C72" w:rsidR="00595CF6" w:rsidRPr="00A76FE8" w:rsidRDefault="006D074D" w:rsidP="00764A04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A76FE8">
        <w:rPr>
          <w:rFonts w:ascii="Times New Roman" w:hAnsi="Times New Roman"/>
          <w:sz w:val="28"/>
          <w:szCs w:val="28"/>
          <w:lang w:val="ru-RU" w:eastAsia="en-GB"/>
        </w:rPr>
        <w:lastRenderedPageBreak/>
        <w:t xml:space="preserve"> </w:t>
      </w: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706"/>
      </w:tblGrid>
      <w:tr w:rsidR="00764A04" w:rsidRPr="00A76FE8" w14:paraId="3AE6A4F9" w14:textId="77777777" w:rsidTr="00764A04">
        <w:tc>
          <w:tcPr>
            <w:tcW w:w="9706" w:type="dxa"/>
          </w:tcPr>
          <w:p w14:paraId="263CA58C" w14:textId="632EE2A5" w:rsidR="00764A04" w:rsidRPr="00A76FE8" w:rsidRDefault="00D36CA1" w:rsidP="00764A04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6FE8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7FA7B0B7" w14:textId="1A4D41C3" w:rsidR="00764A04" w:rsidRPr="00A76FE8" w:rsidRDefault="00D36CA1" w:rsidP="00764A04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6FE8">
              <w:rPr>
                <w:rFonts w:ascii="Times New Roman" w:hAnsi="Times New Roman"/>
                <w:sz w:val="28"/>
                <w:szCs w:val="28"/>
                <w:lang w:val="ru-RU"/>
              </w:rPr>
              <w:t>МФОККиКП</w:t>
            </w:r>
            <w:r w:rsidR="00764A04" w:rsidRPr="00A76F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A76FE8">
              <w:rPr>
                <w:rFonts w:ascii="Times New Roman" w:hAnsi="Times New Roman"/>
                <w:sz w:val="28"/>
                <w:szCs w:val="28"/>
                <w:lang w:val="ru-RU"/>
              </w:rPr>
              <w:t>2012) Руководящие указания по вопросам планирования на случай ЧС</w:t>
            </w:r>
            <w:r w:rsidR="00764A04" w:rsidRPr="00A76F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F3359E9" w14:textId="637D060C" w:rsidR="00764A04" w:rsidRPr="00A76FE8" w:rsidRDefault="00D36CA1" w:rsidP="00764A04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6FE8">
              <w:rPr>
                <w:rFonts w:ascii="Times New Roman" w:hAnsi="Times New Roman"/>
                <w:sz w:val="28"/>
                <w:szCs w:val="28"/>
                <w:lang w:val="ru-RU"/>
              </w:rPr>
              <w:t>МФОККиКП (2015) Руководящие указания и шаблоны документов для проведения учений</w:t>
            </w:r>
          </w:p>
          <w:p w14:paraId="500D1C08" w14:textId="6FA8E5F2" w:rsidR="00764A04" w:rsidRPr="00A76FE8" w:rsidRDefault="00D36CA1" w:rsidP="00764A04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6FE8">
              <w:rPr>
                <w:rFonts w:ascii="Times New Roman" w:hAnsi="Times New Roman"/>
                <w:sz w:val="28"/>
                <w:szCs w:val="28"/>
                <w:lang w:val="ru-RU"/>
              </w:rPr>
              <w:t>Обзор примеров передового оп</w:t>
            </w:r>
            <w:bookmarkStart w:id="0" w:name="_GoBack"/>
            <w:bookmarkEnd w:id="0"/>
            <w:r w:rsidRPr="00A76FE8">
              <w:rPr>
                <w:rFonts w:ascii="Times New Roman" w:hAnsi="Times New Roman"/>
                <w:sz w:val="28"/>
                <w:szCs w:val="28"/>
                <w:lang w:val="ru-RU"/>
              </w:rPr>
              <w:t>ыта: программы денежных переводов в условиях ЧС</w:t>
            </w:r>
            <w:r w:rsidR="00764A04" w:rsidRPr="00A76F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64A04" w:rsidRPr="00A76FE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Humanitarian</w:t>
            </w:r>
            <w:proofErr w:type="spellEnd"/>
            <w:r w:rsidR="00764A04" w:rsidRPr="00A76FE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64A04" w:rsidRPr="00A76FE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Practice</w:t>
            </w:r>
            <w:proofErr w:type="spellEnd"/>
            <w:r w:rsidR="00764A04" w:rsidRPr="00A76FE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64A04" w:rsidRPr="00A76FE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Network</w:t>
            </w:r>
            <w:proofErr w:type="spellEnd"/>
            <w:r w:rsidR="00764A04" w:rsidRPr="00A76F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(2011) </w:t>
            </w:r>
            <w:hyperlink r:id="rId9" w:history="1">
              <w:r w:rsidR="00764A04" w:rsidRPr="00A76FE8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http://www.odihpn.org/documents%2Fgpr11.pdf</w:t>
              </w:r>
            </w:hyperlink>
          </w:p>
          <w:p w14:paraId="08E456E8" w14:textId="374B340C" w:rsidR="00764A04" w:rsidRPr="00A76FE8" w:rsidRDefault="00D36CA1" w:rsidP="00D36CA1">
            <w:pPr>
              <w:pStyle w:val="RefItem1"/>
              <w:rPr>
                <w:rFonts w:ascii="Times New Roman" w:hAnsi="Times New Roman"/>
                <w:w w:val="102"/>
                <w:sz w:val="28"/>
                <w:szCs w:val="28"/>
                <w:lang w:val="ru-RU"/>
              </w:rPr>
            </w:pPr>
            <w:r w:rsidRPr="00A76FE8">
              <w:rPr>
                <w:rFonts w:ascii="Times New Roman" w:hAnsi="Times New Roman"/>
                <w:sz w:val="28"/>
                <w:szCs w:val="28"/>
                <w:lang w:val="ru-RU"/>
              </w:rPr>
              <w:t>Оценка гуманитарной деятельности с использованием критериев OECD-DAC</w:t>
            </w:r>
            <w:r w:rsidR="00764A04" w:rsidRPr="00A76F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64A04" w:rsidRPr="006D428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ALNAP </w:t>
            </w:r>
            <w:r w:rsidR="00764A04" w:rsidRPr="00A76FE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0" w:history="1">
              <w:r w:rsidR="00764A04" w:rsidRPr="00A76FE8">
                <w:rPr>
                  <w:rStyle w:val="af2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http://www.alnap.org/resource/5253</w:t>
              </w:r>
            </w:hyperlink>
          </w:p>
        </w:tc>
      </w:tr>
    </w:tbl>
    <w:p w14:paraId="582479E1" w14:textId="77777777" w:rsidR="00764A04" w:rsidRPr="00A76FE8" w:rsidRDefault="00764A04" w:rsidP="00764A04">
      <w:pPr>
        <w:rPr>
          <w:rFonts w:ascii="Times New Roman" w:hAnsi="Times New Roman"/>
          <w:w w:val="102"/>
          <w:sz w:val="28"/>
          <w:szCs w:val="28"/>
          <w:lang w:val="ru-RU"/>
        </w:rPr>
      </w:pPr>
    </w:p>
    <w:sectPr w:rsidR="00764A04" w:rsidRPr="00A76FE8" w:rsidSect="00C1316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0D1BC7" w15:done="0"/>
  <w15:commentEx w15:paraId="71BB97E7" w15:done="0"/>
  <w15:commentEx w15:paraId="5F933B8A" w15:done="0"/>
  <w15:commentEx w15:paraId="383EA59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F4487" w14:textId="77777777" w:rsidR="00513E9F" w:rsidRDefault="00513E9F" w:rsidP="00E1143F">
      <w:r>
        <w:separator/>
      </w:r>
    </w:p>
  </w:endnote>
  <w:endnote w:type="continuationSeparator" w:id="0">
    <w:p w14:paraId="6E2C1A9E" w14:textId="77777777" w:rsidR="00513E9F" w:rsidRDefault="00513E9F" w:rsidP="00E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07C3F" w14:textId="6654746A" w:rsidR="00513E9F" w:rsidRDefault="00513E9F">
    <w:pPr>
      <w:pStyle w:val="a9"/>
    </w:pPr>
    <w:proofErr w:type="spellStart"/>
    <w:r>
      <w:t>Модуль</w:t>
    </w:r>
    <w:proofErr w:type="spellEnd"/>
    <w:r>
      <w:t xml:space="preserve"> 1. </w:t>
    </w:r>
    <w:proofErr w:type="spellStart"/>
    <w:r>
      <w:t>Раздел</w:t>
    </w:r>
    <w:proofErr w:type="spellEnd"/>
    <w:r>
      <w:t xml:space="preserve"> 3. </w:t>
    </w:r>
    <w:proofErr w:type="spellStart"/>
    <w:r>
      <w:t>Дорожная</w:t>
    </w:r>
    <w:proofErr w:type="spellEnd"/>
    <w:r>
      <w:t xml:space="preserve"> </w:t>
    </w:r>
    <w:proofErr w:type="spellStart"/>
    <w:r>
      <w:t>карта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вопросам</w:t>
    </w:r>
    <w:proofErr w:type="spellEnd"/>
    <w:r>
      <w:t xml:space="preserve"> </w:t>
    </w:r>
    <w:proofErr w:type="spellStart"/>
    <w:r>
      <w:t>анализа</w:t>
    </w:r>
    <w:proofErr w:type="spellEnd"/>
    <w:r>
      <w:t xml:space="preserve">, </w:t>
    </w:r>
    <w:proofErr w:type="spellStart"/>
    <w:r>
      <w:t>обучения</w:t>
    </w:r>
    <w:proofErr w:type="spellEnd"/>
    <w:r>
      <w:t xml:space="preserve"> и </w:t>
    </w:r>
    <w:proofErr w:type="spellStart"/>
    <w:r>
      <w:t>совершенствования</w:t>
    </w:r>
    <w:proofErr w:type="spellEnd"/>
    <w:r>
      <w:t xml:space="preserve">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F7FB" w14:textId="77777777" w:rsidR="00513E9F" w:rsidRPr="00B45C74" w:rsidRDefault="00513E9F" w:rsidP="005C6C32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76FE8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3CC2091" w14:textId="13346D80" w:rsidR="00513E9F" w:rsidRPr="003A3500" w:rsidRDefault="00513E9F" w:rsidP="005C6C32">
    <w:pPr>
      <w:pStyle w:val="a9"/>
    </w:pPr>
    <w:r w:rsidRPr="00107E15">
      <w:rPr>
        <w:b/>
      </w:rPr>
      <w:t xml:space="preserve">Module </w:t>
    </w:r>
    <w:r>
      <w:rPr>
        <w:b/>
      </w:rPr>
      <w:t>1</w:t>
    </w:r>
    <w:r w:rsidRPr="00107E15">
      <w:rPr>
        <w:b/>
      </w:rPr>
      <w:t>.</w:t>
    </w:r>
    <w:r w:rsidRPr="00107E15">
      <w:t xml:space="preserve"> Step </w:t>
    </w:r>
    <w:r>
      <w:t xml:space="preserve">3 </w:t>
    </w:r>
    <w:r w:rsidRPr="00C1316D">
      <w:rPr>
        <w:b/>
      </w:rPr>
      <w:fldChar w:fldCharType="begin"/>
    </w:r>
    <w:r w:rsidRPr="00C1316D">
      <w:rPr>
        <w:b/>
      </w:rPr>
      <w:instrText xml:space="preserve"> STYLEREF  H1 \t  \* MERGEFORMAT </w:instrText>
    </w:r>
    <w:r w:rsidRPr="00C1316D">
      <w:rPr>
        <w:b/>
      </w:rPr>
      <w:fldChar w:fldCharType="separate"/>
    </w:r>
    <w:r w:rsidR="00A76FE8" w:rsidRPr="00A76FE8">
      <w:rPr>
        <w:rFonts w:hint="eastAsia"/>
        <w:bCs/>
        <w:noProof/>
      </w:rPr>
      <w:t>Дорожная</w:t>
    </w:r>
    <w:r w:rsidR="00A76FE8" w:rsidRPr="00A76FE8">
      <w:rPr>
        <w:rFonts w:hint="eastAsia"/>
        <w:bCs/>
        <w:noProof/>
      </w:rPr>
      <w:t xml:space="preserve"> </w:t>
    </w:r>
    <w:r w:rsidR="00A76FE8" w:rsidRPr="00A76FE8">
      <w:rPr>
        <w:rFonts w:hint="eastAsia"/>
        <w:bCs/>
        <w:noProof/>
      </w:rPr>
      <w:t>карта</w:t>
    </w:r>
    <w:r w:rsidR="00A76FE8" w:rsidRPr="00A76FE8">
      <w:rPr>
        <w:rFonts w:hint="eastAsia"/>
        <w:bCs/>
        <w:noProof/>
      </w:rPr>
      <w:t xml:space="preserve"> </w:t>
    </w:r>
    <w:r w:rsidR="00A76FE8" w:rsidRPr="00A76FE8">
      <w:rPr>
        <w:rFonts w:hint="eastAsia"/>
        <w:bCs/>
        <w:noProof/>
      </w:rPr>
      <w:t>по</w:t>
    </w:r>
    <w:r w:rsidR="00A76FE8" w:rsidRPr="00A76FE8">
      <w:rPr>
        <w:rFonts w:hint="eastAsia"/>
        <w:bCs/>
        <w:noProof/>
      </w:rPr>
      <w:t xml:space="preserve"> </w:t>
    </w:r>
    <w:r w:rsidR="00A76FE8" w:rsidRPr="00A76FE8">
      <w:rPr>
        <w:rFonts w:hint="eastAsia"/>
        <w:bCs/>
        <w:noProof/>
      </w:rPr>
      <w:t>вопросам</w:t>
    </w:r>
    <w:r w:rsidR="00A76FE8" w:rsidRPr="00A76FE8">
      <w:rPr>
        <w:rFonts w:hint="eastAsia"/>
        <w:bCs/>
        <w:noProof/>
      </w:rPr>
      <w:t xml:space="preserve"> </w:t>
    </w:r>
    <w:r w:rsidR="00A76FE8">
      <w:rPr>
        <w:rFonts w:hint="eastAsia"/>
        <w:b/>
        <w:noProof/>
      </w:rPr>
      <w:t>анализа</w:t>
    </w:r>
    <w:r w:rsidR="00A76FE8">
      <w:rPr>
        <w:rFonts w:hint="eastAsia"/>
        <w:b/>
        <w:noProof/>
      </w:rPr>
      <w:t xml:space="preserve">, </w:t>
    </w:r>
    <w:r w:rsidR="00A76FE8">
      <w:rPr>
        <w:rFonts w:hint="eastAsia"/>
        <w:b/>
        <w:noProof/>
      </w:rPr>
      <w:t>обучения</w:t>
    </w:r>
    <w:r w:rsidR="00A76FE8">
      <w:rPr>
        <w:rFonts w:hint="eastAsia"/>
        <w:b/>
        <w:noProof/>
      </w:rPr>
      <w:t xml:space="preserve"> </w:t>
    </w:r>
    <w:r w:rsidR="00A76FE8">
      <w:rPr>
        <w:rFonts w:hint="eastAsia"/>
        <w:b/>
        <w:noProof/>
      </w:rPr>
      <w:t>и</w:t>
    </w:r>
    <w:r w:rsidR="00A76FE8">
      <w:rPr>
        <w:rFonts w:hint="eastAsia"/>
        <w:b/>
        <w:noProof/>
      </w:rPr>
      <w:t xml:space="preserve"> </w:t>
    </w:r>
    <w:r w:rsidR="00A76FE8">
      <w:rPr>
        <w:rFonts w:hint="eastAsia"/>
        <w:b/>
        <w:noProof/>
      </w:rPr>
      <w:t>совершенствования</w:t>
    </w:r>
    <w:r w:rsidRPr="00C1316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FAFED" w14:textId="77777777" w:rsidR="00513E9F" w:rsidRDefault="00513E9F" w:rsidP="00E1143F">
      <w:r>
        <w:separator/>
      </w:r>
    </w:p>
  </w:footnote>
  <w:footnote w:type="continuationSeparator" w:id="0">
    <w:p w14:paraId="2FCD405D" w14:textId="77777777" w:rsidR="00513E9F" w:rsidRDefault="00513E9F" w:rsidP="00E114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CC24" w14:textId="77777777" w:rsidR="00513E9F" w:rsidRPr="00074036" w:rsidRDefault="00513E9F" w:rsidP="005C6C32">
    <w:pPr>
      <w:pStyle w:val="a7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3"/>
        <w:bCs/>
        <w:szCs w:val="16"/>
      </w:rPr>
      <w:t>I</w:t>
    </w:r>
    <w:r w:rsidRPr="009F6986">
      <w:rPr>
        <w:rStyle w:val="af3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41F6" w14:textId="77777777" w:rsidR="00513E9F" w:rsidRDefault="00513E9F" w:rsidP="005C6C32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9537B36" wp14:editId="42AAB8CF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06751" w14:textId="77777777" w:rsidR="00513E9F" w:rsidRDefault="00513E9F" w:rsidP="005C6C32">
    <w:pPr>
      <w:pStyle w:val="Header1"/>
    </w:pPr>
  </w:p>
  <w:p w14:paraId="667845F2" w14:textId="77777777" w:rsidR="00513E9F" w:rsidRPr="007563A1" w:rsidRDefault="00513E9F" w:rsidP="005C6C32">
    <w:pPr>
      <w:pStyle w:val="a7"/>
      <w:rPr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A80B025" wp14:editId="25F25834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0459C" w14:textId="77777777" w:rsidR="00513E9F" w:rsidRPr="007563A1" w:rsidRDefault="00513E9F" w:rsidP="005C6C32">
    <w:pPr>
      <w:pStyle w:val="a7"/>
      <w:spacing w:line="240" w:lineRule="auto"/>
      <w:rPr>
        <w:b/>
        <w:sz w:val="24"/>
        <w:szCs w:val="24"/>
      </w:rPr>
    </w:pPr>
  </w:p>
  <w:p w14:paraId="041B2C58" w14:textId="77777777" w:rsidR="00513E9F" w:rsidRPr="007563A1" w:rsidRDefault="00513E9F" w:rsidP="005C6C32">
    <w:pPr>
      <w:pStyle w:val="a7"/>
      <w:spacing w:line="240" w:lineRule="auto"/>
      <w:rPr>
        <w:b/>
        <w:sz w:val="24"/>
        <w:szCs w:val="24"/>
      </w:rPr>
    </w:pPr>
  </w:p>
  <w:p w14:paraId="2180E810" w14:textId="605933A7" w:rsidR="00513E9F" w:rsidRPr="00A76FE8" w:rsidRDefault="00A76FE8" w:rsidP="005C6C32">
    <w:pPr>
      <w:pStyle w:val="Header1"/>
      <w:rPr>
        <w:rStyle w:val="Pantone485"/>
        <w:lang w:val="ru-RU"/>
      </w:rPr>
    </w:pPr>
    <w:r w:rsidRPr="00A76FE8">
      <w:rPr>
        <w:rStyle w:val="Pantone485"/>
        <w:lang w:val="ru-RU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45"/>
    <w:rsid w:val="00020C96"/>
    <w:rsid w:val="00032CA8"/>
    <w:rsid w:val="00036113"/>
    <w:rsid w:val="000A7CE8"/>
    <w:rsid w:val="000C5626"/>
    <w:rsid w:val="00116612"/>
    <w:rsid w:val="001247C1"/>
    <w:rsid w:val="00134C8E"/>
    <w:rsid w:val="001800BC"/>
    <w:rsid w:val="001A4EF7"/>
    <w:rsid w:val="001D1AB3"/>
    <w:rsid w:val="001D62D6"/>
    <w:rsid w:val="00287871"/>
    <w:rsid w:val="002919E8"/>
    <w:rsid w:val="002B4618"/>
    <w:rsid w:val="002D2E9C"/>
    <w:rsid w:val="002D4571"/>
    <w:rsid w:val="00346889"/>
    <w:rsid w:val="00354E84"/>
    <w:rsid w:val="003A66D4"/>
    <w:rsid w:val="0041027B"/>
    <w:rsid w:val="00417D24"/>
    <w:rsid w:val="004C151C"/>
    <w:rsid w:val="004E0D0B"/>
    <w:rsid w:val="004E4858"/>
    <w:rsid w:val="00513E9F"/>
    <w:rsid w:val="005444E6"/>
    <w:rsid w:val="00544533"/>
    <w:rsid w:val="00595CF6"/>
    <w:rsid w:val="005A56D7"/>
    <w:rsid w:val="005C6C32"/>
    <w:rsid w:val="005C6F57"/>
    <w:rsid w:val="005D0958"/>
    <w:rsid w:val="005E4694"/>
    <w:rsid w:val="0066332E"/>
    <w:rsid w:val="006D074D"/>
    <w:rsid w:val="006D428E"/>
    <w:rsid w:val="006D6B0C"/>
    <w:rsid w:val="00721926"/>
    <w:rsid w:val="00734FEC"/>
    <w:rsid w:val="007369B7"/>
    <w:rsid w:val="007563A1"/>
    <w:rsid w:val="007629A4"/>
    <w:rsid w:val="00764A04"/>
    <w:rsid w:val="00797AA8"/>
    <w:rsid w:val="007B57DE"/>
    <w:rsid w:val="007F3211"/>
    <w:rsid w:val="00806021"/>
    <w:rsid w:val="00882A4B"/>
    <w:rsid w:val="0089205B"/>
    <w:rsid w:val="008A0153"/>
    <w:rsid w:val="008A5699"/>
    <w:rsid w:val="008B26E5"/>
    <w:rsid w:val="008B2E2D"/>
    <w:rsid w:val="008C2AFA"/>
    <w:rsid w:val="009012EA"/>
    <w:rsid w:val="00925B66"/>
    <w:rsid w:val="009613B1"/>
    <w:rsid w:val="009658F2"/>
    <w:rsid w:val="00970FF7"/>
    <w:rsid w:val="00973754"/>
    <w:rsid w:val="00975F3C"/>
    <w:rsid w:val="009777FB"/>
    <w:rsid w:val="009D4BE1"/>
    <w:rsid w:val="009D6B80"/>
    <w:rsid w:val="009E3E56"/>
    <w:rsid w:val="00A03445"/>
    <w:rsid w:val="00A062A2"/>
    <w:rsid w:val="00A16B47"/>
    <w:rsid w:val="00A76FE8"/>
    <w:rsid w:val="00A9099D"/>
    <w:rsid w:val="00AC6BD6"/>
    <w:rsid w:val="00AD4918"/>
    <w:rsid w:val="00AF585F"/>
    <w:rsid w:val="00B3194A"/>
    <w:rsid w:val="00B66301"/>
    <w:rsid w:val="00BB30E1"/>
    <w:rsid w:val="00BC1F3F"/>
    <w:rsid w:val="00C004BF"/>
    <w:rsid w:val="00C1316D"/>
    <w:rsid w:val="00C37328"/>
    <w:rsid w:val="00C92B78"/>
    <w:rsid w:val="00CB00D3"/>
    <w:rsid w:val="00CB4893"/>
    <w:rsid w:val="00CC4684"/>
    <w:rsid w:val="00CD7151"/>
    <w:rsid w:val="00D36CA1"/>
    <w:rsid w:val="00D94088"/>
    <w:rsid w:val="00E1143F"/>
    <w:rsid w:val="00E33D8D"/>
    <w:rsid w:val="00E56E59"/>
    <w:rsid w:val="00E60C6A"/>
    <w:rsid w:val="00E75BC3"/>
    <w:rsid w:val="00EA1D87"/>
    <w:rsid w:val="00EB0115"/>
    <w:rsid w:val="00EB1049"/>
    <w:rsid w:val="00ED70D0"/>
    <w:rsid w:val="00F41AE7"/>
    <w:rsid w:val="00F54D17"/>
    <w:rsid w:val="00F649D1"/>
    <w:rsid w:val="00F825E1"/>
    <w:rsid w:val="00FC5161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7D6A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0C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6D6B0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D6B0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6B0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6B0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6D6B0C"/>
    <w:rPr>
      <w:rFonts w:ascii="Arial" w:eastAsiaTheme="minorHAnsi" w:hAnsi="Arial" w:cstheme="minorBidi"/>
      <w:color w:val="auto"/>
      <w:sz w:val="20"/>
    </w:rPr>
  </w:style>
  <w:style w:type="table" w:styleId="a5">
    <w:name w:val="Table Grid"/>
    <w:basedOn w:val="a1"/>
    <w:uiPriority w:val="59"/>
    <w:rsid w:val="006D6B0C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FC5161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B0C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6D6B0C"/>
    <w:rPr>
      <w:rFonts w:ascii="Arial" w:hAnsi="Arial"/>
      <w:color w:val="auto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6D6B0C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6D6B0C"/>
    <w:rPr>
      <w:rFonts w:ascii="Arial" w:hAnsi="Arial"/>
      <w:color w:val="auto"/>
      <w:sz w:val="16"/>
      <w:szCs w:val="18"/>
    </w:rPr>
  </w:style>
  <w:style w:type="character" w:styleId="ab">
    <w:name w:val="annotation reference"/>
    <w:basedOn w:val="a0"/>
    <w:uiPriority w:val="99"/>
    <w:semiHidden/>
    <w:unhideWhenUsed/>
    <w:rsid w:val="006D6B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13B1"/>
  </w:style>
  <w:style w:type="character" w:customStyle="1" w:styleId="ad">
    <w:name w:val="Текст комментария Знак"/>
    <w:basedOn w:val="a0"/>
    <w:link w:val="ac"/>
    <w:uiPriority w:val="99"/>
    <w:semiHidden/>
    <w:rsid w:val="009613B1"/>
    <w:rPr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6D6B0C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6D6B0C"/>
    <w:rPr>
      <w:rFonts w:ascii="Arial" w:hAnsi="Arial"/>
      <w:b/>
      <w:bCs/>
      <w:color w:val="auto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D6B0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6B0C"/>
    <w:rPr>
      <w:rFonts w:ascii="Lucida Grande" w:hAnsi="Lucida Grande" w:cs="Lucida Grande"/>
      <w:color w:val="auto"/>
      <w:sz w:val="18"/>
      <w:szCs w:val="18"/>
    </w:rPr>
  </w:style>
  <w:style w:type="character" w:styleId="af2">
    <w:name w:val="Hyperlink"/>
    <w:basedOn w:val="a0"/>
    <w:uiPriority w:val="99"/>
    <w:unhideWhenUsed/>
    <w:rsid w:val="006D6B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6B0C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6D6B0C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D6B0C"/>
    <w:rPr>
      <w:rFonts w:ascii="Arial" w:hAnsi="Arial"/>
      <w:b/>
      <w:color w:val="auto"/>
      <w:szCs w:val="24"/>
    </w:rPr>
  </w:style>
  <w:style w:type="paragraph" w:customStyle="1" w:styleId="Default">
    <w:name w:val="Default"/>
    <w:rsid w:val="006D6B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uiPriority w:val="99"/>
    <w:unhideWhenUsed/>
    <w:rsid w:val="006D6B0C"/>
    <w:rPr>
      <w:b/>
    </w:rPr>
  </w:style>
  <w:style w:type="character" w:styleId="af4">
    <w:name w:val="FollowedHyperlink"/>
    <w:basedOn w:val="a0"/>
    <w:uiPriority w:val="99"/>
    <w:semiHidden/>
    <w:unhideWhenUsed/>
    <w:rsid w:val="006D6B0C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6D6B0C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6D6B0C"/>
    <w:rPr>
      <w:rFonts w:ascii="Arial" w:hAnsi="Arial"/>
      <w:color w:val="auto"/>
      <w:sz w:val="16"/>
    </w:rPr>
  </w:style>
  <w:style w:type="character" w:styleId="af7">
    <w:name w:val="footnote reference"/>
    <w:basedOn w:val="a0"/>
    <w:uiPriority w:val="99"/>
    <w:unhideWhenUsed/>
    <w:rsid w:val="006D6B0C"/>
    <w:rPr>
      <w:vertAlign w:val="superscript"/>
    </w:rPr>
  </w:style>
  <w:style w:type="paragraph" w:styleId="af8">
    <w:name w:val="Revision"/>
    <w:hidden/>
    <w:uiPriority w:val="99"/>
    <w:semiHidden/>
    <w:rsid w:val="006D6B0C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6D6B0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6D6B0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6D6B0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6D6B0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6D6B0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6D6B0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6D6B0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6D6B0C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6D6B0C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6D6B0C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6D6B0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6D6B0C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6D6B0C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6D6B0C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7563A1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6D6B0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D6B0C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0C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6D6B0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D6B0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6B0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6B0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6D6B0C"/>
    <w:rPr>
      <w:rFonts w:ascii="Arial" w:eastAsiaTheme="minorHAnsi" w:hAnsi="Arial" w:cstheme="minorBidi"/>
      <w:color w:val="auto"/>
      <w:sz w:val="20"/>
    </w:rPr>
  </w:style>
  <w:style w:type="table" w:styleId="a5">
    <w:name w:val="Table Grid"/>
    <w:basedOn w:val="a1"/>
    <w:uiPriority w:val="59"/>
    <w:rsid w:val="006D6B0C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FC5161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B0C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6D6B0C"/>
    <w:rPr>
      <w:rFonts w:ascii="Arial" w:hAnsi="Arial"/>
      <w:color w:val="auto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6D6B0C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6D6B0C"/>
    <w:rPr>
      <w:rFonts w:ascii="Arial" w:hAnsi="Arial"/>
      <w:color w:val="auto"/>
      <w:sz w:val="16"/>
      <w:szCs w:val="18"/>
    </w:rPr>
  </w:style>
  <w:style w:type="character" w:styleId="ab">
    <w:name w:val="annotation reference"/>
    <w:basedOn w:val="a0"/>
    <w:uiPriority w:val="99"/>
    <w:semiHidden/>
    <w:unhideWhenUsed/>
    <w:rsid w:val="006D6B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13B1"/>
  </w:style>
  <w:style w:type="character" w:customStyle="1" w:styleId="ad">
    <w:name w:val="Текст комментария Знак"/>
    <w:basedOn w:val="a0"/>
    <w:link w:val="ac"/>
    <w:uiPriority w:val="99"/>
    <w:semiHidden/>
    <w:rsid w:val="009613B1"/>
    <w:rPr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6D6B0C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6D6B0C"/>
    <w:rPr>
      <w:rFonts w:ascii="Arial" w:hAnsi="Arial"/>
      <w:b/>
      <w:bCs/>
      <w:color w:val="auto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D6B0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6B0C"/>
    <w:rPr>
      <w:rFonts w:ascii="Lucida Grande" w:hAnsi="Lucida Grande" w:cs="Lucida Grande"/>
      <w:color w:val="auto"/>
      <w:sz w:val="18"/>
      <w:szCs w:val="18"/>
    </w:rPr>
  </w:style>
  <w:style w:type="character" w:styleId="af2">
    <w:name w:val="Hyperlink"/>
    <w:basedOn w:val="a0"/>
    <w:uiPriority w:val="99"/>
    <w:unhideWhenUsed/>
    <w:rsid w:val="006D6B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6B0C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6D6B0C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D6B0C"/>
    <w:rPr>
      <w:rFonts w:ascii="Arial" w:hAnsi="Arial"/>
      <w:b/>
      <w:color w:val="auto"/>
      <w:szCs w:val="24"/>
    </w:rPr>
  </w:style>
  <w:style w:type="paragraph" w:customStyle="1" w:styleId="Default">
    <w:name w:val="Default"/>
    <w:rsid w:val="006D6B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uiPriority w:val="99"/>
    <w:unhideWhenUsed/>
    <w:rsid w:val="006D6B0C"/>
    <w:rPr>
      <w:b/>
    </w:rPr>
  </w:style>
  <w:style w:type="character" w:styleId="af4">
    <w:name w:val="FollowedHyperlink"/>
    <w:basedOn w:val="a0"/>
    <w:uiPriority w:val="99"/>
    <w:semiHidden/>
    <w:unhideWhenUsed/>
    <w:rsid w:val="006D6B0C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6D6B0C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6D6B0C"/>
    <w:rPr>
      <w:rFonts w:ascii="Arial" w:hAnsi="Arial"/>
      <w:color w:val="auto"/>
      <w:sz w:val="16"/>
    </w:rPr>
  </w:style>
  <w:style w:type="character" w:styleId="af7">
    <w:name w:val="footnote reference"/>
    <w:basedOn w:val="a0"/>
    <w:uiPriority w:val="99"/>
    <w:unhideWhenUsed/>
    <w:rsid w:val="006D6B0C"/>
    <w:rPr>
      <w:vertAlign w:val="superscript"/>
    </w:rPr>
  </w:style>
  <w:style w:type="paragraph" w:styleId="af8">
    <w:name w:val="Revision"/>
    <w:hidden/>
    <w:uiPriority w:val="99"/>
    <w:semiHidden/>
    <w:rsid w:val="006D6B0C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6D6B0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6D6B0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6D6B0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6D6B0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6D6B0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6D6B0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6D6B0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6D6B0C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6D6B0C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6D6B0C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6D6B0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6D6B0C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6D6B0C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6D6B0C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7563A1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6D6B0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D6B0C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odihpn.org/documents%2Fgpr11.pdf" TargetMode="External"/><Relationship Id="rId10" Type="http://schemas.openxmlformats.org/officeDocument/2006/relationships/hyperlink" Target="http://www.alnap.org/resource/525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73</TotalTime>
  <Pages>4</Pages>
  <Words>970</Words>
  <Characters>5535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16</cp:revision>
  <cp:lastPrinted>2015-09-17T15:29:00Z</cp:lastPrinted>
  <dcterms:created xsi:type="dcterms:W3CDTF">2017-03-30T17:02:00Z</dcterms:created>
  <dcterms:modified xsi:type="dcterms:W3CDTF">2017-04-01T07:11:00Z</dcterms:modified>
</cp:coreProperties>
</file>