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BFEA" w14:textId="5F12A98D" w:rsidR="00310F7F" w:rsidRPr="00693613" w:rsidRDefault="003D668E" w:rsidP="00C40D97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693613">
        <w:rPr>
          <w:rFonts w:ascii="Times New Roman" w:hAnsi="Times New Roman"/>
          <w:sz w:val="36"/>
          <w:szCs w:val="36"/>
          <w:lang w:val="ru-RU"/>
        </w:rPr>
        <w:t xml:space="preserve">Дорожная карта по вопросам анализа поставщиков услуг, организационных возможностей и рисков </w:t>
      </w:r>
      <w:r w:rsidR="00551FBB" w:rsidRPr="00693613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0D3251E5" w14:textId="4767A080" w:rsidR="00E66A9A" w:rsidRPr="00693613" w:rsidRDefault="00E2049B" w:rsidP="00C40D97">
      <w:pPr>
        <w:ind w:left="-170"/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pict w14:anchorId="50A9F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249.8pt">
            <v:imagedata r:id="rId9" o:title="02-Assessment-rodmap-EN4"/>
          </v:shape>
        </w:pict>
      </w:r>
    </w:p>
    <w:p w14:paraId="49B0E027" w14:textId="309E0FAE" w:rsidR="00C83F9A" w:rsidRPr="00693613" w:rsidRDefault="003878C0" w:rsidP="006607B1">
      <w:pPr>
        <w:pStyle w:val="2"/>
        <w:spacing w:before="480"/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049831F7" w14:textId="20AEAABF" w:rsidR="006327BB" w:rsidRPr="00693613" w:rsidRDefault="003878C0" w:rsidP="006607B1">
      <w:pPr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Пр</w:t>
      </w:r>
      <w:r w:rsidR="00693613">
        <w:rPr>
          <w:rFonts w:ascii="Times New Roman" w:hAnsi="Times New Roman"/>
          <w:sz w:val="28"/>
          <w:szCs w:val="28"/>
          <w:lang w:val="ru-RU"/>
        </w:rPr>
        <w:t>и осуществлении оценки ситуации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важно понимать имеющиеся возможности</w:t>
      </w:r>
      <w:r w:rsidR="00693613">
        <w:rPr>
          <w:rFonts w:ascii="Times New Roman" w:hAnsi="Times New Roman"/>
          <w:sz w:val="28"/>
          <w:szCs w:val="28"/>
          <w:lang w:val="ru-RU"/>
        </w:rPr>
        <w:t xml:space="preserve"> для реализации</w:t>
      </w:r>
      <w:r w:rsidR="00722EC8" w:rsidRPr="00693613">
        <w:rPr>
          <w:rFonts w:ascii="Times New Roman" w:hAnsi="Times New Roman"/>
          <w:sz w:val="28"/>
          <w:szCs w:val="28"/>
          <w:lang w:val="ru-RU"/>
        </w:rPr>
        <w:t xml:space="preserve"> вмешательств, подразумевающих </w:t>
      </w:r>
      <w:r w:rsidR="00693613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="00722EC8" w:rsidRPr="00693613">
        <w:rPr>
          <w:rFonts w:ascii="Times New Roman" w:hAnsi="Times New Roman"/>
          <w:sz w:val="28"/>
          <w:szCs w:val="28"/>
          <w:lang w:val="ru-RU"/>
        </w:rPr>
        <w:t xml:space="preserve"> наличных денежных средств, а также риски, связанные с таким типом </w:t>
      </w:r>
      <w:r w:rsidR="00693613" w:rsidRPr="00693613">
        <w:rPr>
          <w:rFonts w:ascii="Times New Roman" w:hAnsi="Times New Roman"/>
          <w:sz w:val="28"/>
          <w:szCs w:val="28"/>
          <w:lang w:val="ru-RU"/>
        </w:rPr>
        <w:t>реагирования</w:t>
      </w:r>
      <w:r w:rsidR="00722EC8" w:rsidRPr="00693613">
        <w:rPr>
          <w:rFonts w:ascii="Times New Roman" w:hAnsi="Times New Roman"/>
          <w:sz w:val="28"/>
          <w:szCs w:val="28"/>
          <w:lang w:val="ru-RU"/>
        </w:rPr>
        <w:t>. Это подразумевает расширение масштабов оценки так</w:t>
      </w:r>
      <w:r w:rsidR="00693613">
        <w:rPr>
          <w:rFonts w:ascii="Times New Roman" w:hAnsi="Times New Roman"/>
          <w:sz w:val="28"/>
          <w:szCs w:val="28"/>
          <w:lang w:val="ru-RU"/>
        </w:rPr>
        <w:t>им образом</w:t>
      </w:r>
      <w:r w:rsidR="00722EC8" w:rsidRPr="00693613">
        <w:rPr>
          <w:rFonts w:ascii="Times New Roman" w:hAnsi="Times New Roman"/>
          <w:sz w:val="28"/>
          <w:szCs w:val="28"/>
          <w:lang w:val="ru-RU"/>
        </w:rPr>
        <w:t>, чт</w:t>
      </w:r>
      <w:r w:rsidR="00693613">
        <w:rPr>
          <w:rFonts w:ascii="Times New Roman" w:hAnsi="Times New Roman"/>
          <w:sz w:val="28"/>
          <w:szCs w:val="28"/>
          <w:lang w:val="ru-RU"/>
        </w:rPr>
        <w:t>обы она включала в себя все эти аспекты</w:t>
      </w:r>
      <w:r w:rsidR="00722EC8" w:rsidRPr="006936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и, когда необходимо, проведение отдельной оценки потенци</w:t>
      </w:r>
      <w:r w:rsidR="00693613">
        <w:rPr>
          <w:rFonts w:ascii="Times New Roman" w:hAnsi="Times New Roman"/>
          <w:sz w:val="28"/>
          <w:szCs w:val="28"/>
          <w:lang w:val="ru-RU"/>
        </w:rPr>
        <w:t>ала. На данном этапе может пригодиться общая тематическая инфо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р</w:t>
      </w:r>
      <w:r w:rsidR="00693613">
        <w:rPr>
          <w:rFonts w:ascii="Times New Roman" w:hAnsi="Times New Roman"/>
          <w:sz w:val="28"/>
          <w:szCs w:val="28"/>
          <w:lang w:val="ru-RU"/>
        </w:rPr>
        <w:t>м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аци</w:t>
      </w:r>
      <w:r w:rsidR="00693613">
        <w:rPr>
          <w:rFonts w:ascii="Times New Roman" w:hAnsi="Times New Roman"/>
          <w:sz w:val="28"/>
          <w:szCs w:val="28"/>
          <w:lang w:val="ru-RU"/>
        </w:rPr>
        <w:t>я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, собранная на этапе </w:t>
      </w:r>
      <w:r w:rsidR="00693613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готовности,</w:t>
      </w:r>
      <w:r w:rsidR="00693613">
        <w:rPr>
          <w:rFonts w:ascii="Times New Roman" w:hAnsi="Times New Roman"/>
          <w:sz w:val="28"/>
          <w:szCs w:val="28"/>
          <w:lang w:val="ru-RU"/>
        </w:rPr>
        <w:t xml:space="preserve"> тем не менее 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ее необхо</w:t>
      </w:r>
      <w:r w:rsidR="00693613">
        <w:rPr>
          <w:rFonts w:ascii="Times New Roman" w:hAnsi="Times New Roman"/>
          <w:sz w:val="28"/>
          <w:szCs w:val="28"/>
          <w:lang w:val="ru-RU"/>
        </w:rPr>
        <w:t>д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имо обновлять и</w:t>
      </w:r>
      <w:r w:rsidR="00693613">
        <w:rPr>
          <w:rFonts w:ascii="Times New Roman" w:hAnsi="Times New Roman"/>
          <w:sz w:val="28"/>
          <w:szCs w:val="28"/>
          <w:lang w:val="ru-RU"/>
        </w:rPr>
        <w:t xml:space="preserve"> ада</w:t>
      </w:r>
      <w:r w:rsidR="00DD6F56">
        <w:rPr>
          <w:rFonts w:ascii="Times New Roman" w:hAnsi="Times New Roman"/>
          <w:sz w:val="28"/>
          <w:szCs w:val="28"/>
          <w:lang w:val="ru-RU"/>
        </w:rPr>
        <w:t>птировать к  оперативным условиям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.</w:t>
      </w:r>
    </w:p>
    <w:p w14:paraId="07711FE1" w14:textId="5C2CE5D7" w:rsidR="001429EB" w:rsidRPr="00693613" w:rsidRDefault="00E2049B" w:rsidP="006607B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о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цен</w:t>
      </w:r>
      <w:r>
        <w:rPr>
          <w:rFonts w:ascii="Times New Roman" w:hAnsi="Times New Roman"/>
          <w:sz w:val="28"/>
          <w:szCs w:val="28"/>
          <w:lang w:val="ru-RU"/>
        </w:rPr>
        <w:t>ки потенциала и рисков позволит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получить необходимую инф</w:t>
      </w:r>
      <w:r w:rsidR="00806DE1">
        <w:rPr>
          <w:rFonts w:ascii="Times New Roman" w:hAnsi="Times New Roman"/>
          <w:sz w:val="28"/>
          <w:szCs w:val="28"/>
          <w:lang w:val="ru-RU"/>
        </w:rPr>
        <w:t>ормацию для осуществления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 анализа </w:t>
      </w:r>
      <w:r w:rsidR="001116EB" w:rsidRPr="00693613">
        <w:rPr>
          <w:rFonts w:ascii="Times New Roman" w:hAnsi="Times New Roman"/>
          <w:sz w:val="28"/>
          <w:szCs w:val="28"/>
          <w:lang w:val="ru-RU"/>
        </w:rPr>
        <w:t>вариантов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6EB" w:rsidRPr="00693613">
        <w:rPr>
          <w:rFonts w:ascii="Times New Roman" w:hAnsi="Times New Roman"/>
          <w:sz w:val="28"/>
          <w:szCs w:val="28"/>
          <w:lang w:val="ru-RU"/>
        </w:rPr>
        <w:t>реагирования</w:t>
      </w:r>
      <w:r w:rsidR="00FA62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6EC7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D667DF">
        <w:rPr>
          <w:rFonts w:ascii="Times New Roman" w:hAnsi="Times New Roman"/>
          <w:sz w:val="28"/>
          <w:szCs w:val="28"/>
          <w:lang w:val="ru-RU"/>
        </w:rPr>
        <w:t>разработки</w:t>
      </w:r>
      <w:r w:rsidR="00FA62C2">
        <w:rPr>
          <w:rFonts w:ascii="Times New Roman" w:hAnsi="Times New Roman"/>
          <w:sz w:val="28"/>
          <w:szCs w:val="28"/>
          <w:lang w:val="ru-RU"/>
        </w:rPr>
        <w:t xml:space="preserve"> и реали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з</w:t>
      </w:r>
      <w:r w:rsidR="00FA62C2">
        <w:rPr>
          <w:rFonts w:ascii="Times New Roman" w:hAnsi="Times New Roman"/>
          <w:sz w:val="28"/>
          <w:szCs w:val="28"/>
          <w:lang w:val="ru-RU"/>
        </w:rPr>
        <w:t>ац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ии пр</w:t>
      </w:r>
      <w:r w:rsidR="00FA62C2">
        <w:rPr>
          <w:rFonts w:ascii="Times New Roman" w:hAnsi="Times New Roman"/>
          <w:sz w:val="28"/>
          <w:szCs w:val="28"/>
          <w:lang w:val="ru-RU"/>
        </w:rPr>
        <w:t>о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>г</w:t>
      </w:r>
      <w:r w:rsidR="00FA62C2">
        <w:rPr>
          <w:rFonts w:ascii="Times New Roman" w:hAnsi="Times New Roman"/>
          <w:sz w:val="28"/>
          <w:szCs w:val="28"/>
          <w:lang w:val="ru-RU"/>
        </w:rPr>
        <w:t>рамм</w:t>
      </w:r>
      <w:r w:rsidR="00CD6EC7">
        <w:rPr>
          <w:rFonts w:ascii="Times New Roman" w:hAnsi="Times New Roman"/>
          <w:sz w:val="28"/>
          <w:szCs w:val="28"/>
          <w:lang w:val="ru-RU"/>
        </w:rPr>
        <w:t>. По этой причине необходимо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 всегда </w:t>
      </w:r>
      <w:r w:rsidR="00633266">
        <w:rPr>
          <w:rFonts w:ascii="Times New Roman" w:hAnsi="Times New Roman"/>
          <w:sz w:val="28"/>
          <w:szCs w:val="28"/>
          <w:lang w:val="ru-RU"/>
        </w:rPr>
        <w:t>уделять внимание анализу потенциала и рисков, однако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 его глубина будет зависеть от доступной </w:t>
      </w:r>
      <w:r w:rsidR="00633266">
        <w:rPr>
          <w:rFonts w:ascii="Times New Roman" w:hAnsi="Times New Roman"/>
          <w:sz w:val="28"/>
          <w:szCs w:val="28"/>
          <w:lang w:val="ru-RU"/>
        </w:rPr>
        <w:t>информации и ресурсов, условий работы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 и масштабо</w:t>
      </w:r>
      <w:r w:rsidR="00633266">
        <w:rPr>
          <w:rFonts w:ascii="Times New Roman" w:hAnsi="Times New Roman"/>
          <w:sz w:val="28"/>
          <w:szCs w:val="28"/>
          <w:lang w:val="ru-RU"/>
        </w:rPr>
        <w:t>в</w:t>
      </w:r>
      <w:r w:rsidR="00744744">
        <w:rPr>
          <w:rFonts w:ascii="Times New Roman" w:hAnsi="Times New Roman"/>
          <w:sz w:val="28"/>
          <w:szCs w:val="28"/>
          <w:lang w:val="ru-RU"/>
        </w:rPr>
        <w:t xml:space="preserve"> потенциального реагирования. В целях обеспечения эффективности анализа </w:t>
      </w:r>
      <w:r w:rsidR="00744744">
        <w:rPr>
          <w:rFonts w:ascii="Times New Roman" w:hAnsi="Times New Roman"/>
          <w:sz w:val="28"/>
          <w:szCs w:val="28"/>
          <w:lang w:val="ru-RU"/>
        </w:rPr>
        <w:lastRenderedPageBreak/>
        <w:t>данная дорожная карта устанавливает</w:t>
      </w:r>
      <w:r w:rsidR="001429EB" w:rsidRPr="00693613">
        <w:rPr>
          <w:rFonts w:ascii="Times New Roman" w:hAnsi="Times New Roman"/>
          <w:sz w:val="28"/>
          <w:szCs w:val="28"/>
          <w:lang w:val="ru-RU"/>
        </w:rPr>
        <w:t xml:space="preserve"> ряд минимальных стандартов.</w:t>
      </w:r>
      <w:r w:rsidR="00E64F25" w:rsidRPr="00693613">
        <w:rPr>
          <w:rFonts w:ascii="Times New Roman" w:hAnsi="Times New Roman"/>
          <w:sz w:val="28"/>
          <w:szCs w:val="28"/>
          <w:lang w:val="ru-RU"/>
        </w:rPr>
        <w:t xml:space="preserve"> Разные компоненты анализа потенциала и рисков </w:t>
      </w:r>
      <w:r w:rsidR="00806DE1">
        <w:rPr>
          <w:rFonts w:ascii="Times New Roman" w:hAnsi="Times New Roman"/>
          <w:sz w:val="28"/>
          <w:szCs w:val="28"/>
          <w:lang w:val="ru-RU"/>
        </w:rPr>
        <w:t xml:space="preserve">описаны в трех </w:t>
      </w:r>
      <w:r w:rsidR="000528C2">
        <w:rPr>
          <w:rFonts w:ascii="Times New Roman" w:hAnsi="Times New Roman"/>
          <w:sz w:val="28"/>
          <w:szCs w:val="28"/>
          <w:lang w:val="ru-RU"/>
        </w:rPr>
        <w:t>под</w:t>
      </w:r>
      <w:r w:rsidR="00806DE1">
        <w:rPr>
          <w:rFonts w:ascii="Times New Roman" w:hAnsi="Times New Roman"/>
          <w:sz w:val="28"/>
          <w:szCs w:val="28"/>
          <w:lang w:val="ru-RU"/>
        </w:rPr>
        <w:t>разделах</w:t>
      </w:r>
      <w:r w:rsidR="00E325B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64F25" w:rsidRPr="00693613">
        <w:rPr>
          <w:rFonts w:ascii="Times New Roman" w:hAnsi="Times New Roman"/>
          <w:sz w:val="28"/>
          <w:szCs w:val="28"/>
          <w:lang w:val="ru-RU"/>
        </w:rPr>
        <w:t xml:space="preserve">Для каждого </w:t>
      </w:r>
      <w:r w:rsidR="00E325B4">
        <w:rPr>
          <w:rFonts w:ascii="Times New Roman" w:hAnsi="Times New Roman"/>
          <w:sz w:val="28"/>
          <w:szCs w:val="28"/>
          <w:lang w:val="ru-RU"/>
        </w:rPr>
        <w:t xml:space="preserve">из них </w:t>
      </w:r>
      <w:r w:rsidR="00E64F25" w:rsidRPr="00693613">
        <w:rPr>
          <w:rFonts w:ascii="Times New Roman" w:hAnsi="Times New Roman"/>
          <w:sz w:val="28"/>
          <w:szCs w:val="28"/>
          <w:lang w:val="ru-RU"/>
        </w:rPr>
        <w:t xml:space="preserve">предлагаются свои инструменты. </w:t>
      </w:r>
    </w:p>
    <w:p w14:paraId="0B9D647D" w14:textId="075D2ACA" w:rsidR="00CE1C9B" w:rsidRPr="00693613" w:rsidRDefault="00E64F25" w:rsidP="006607B1">
      <w:pPr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Первый п</w:t>
      </w:r>
      <w:r w:rsidR="000528C2">
        <w:rPr>
          <w:rFonts w:ascii="Times New Roman" w:hAnsi="Times New Roman"/>
          <w:sz w:val="28"/>
          <w:szCs w:val="28"/>
          <w:lang w:val="ru-RU"/>
        </w:rPr>
        <w:t>одраздел посвящ</w:t>
      </w:r>
      <w:r w:rsidRPr="00693613">
        <w:rPr>
          <w:rFonts w:ascii="Times New Roman" w:hAnsi="Times New Roman"/>
          <w:sz w:val="28"/>
          <w:szCs w:val="28"/>
          <w:lang w:val="ru-RU"/>
        </w:rPr>
        <w:t>ен вопросам</w:t>
      </w:r>
      <w:r w:rsidR="000528C2">
        <w:rPr>
          <w:rFonts w:ascii="Times New Roman" w:hAnsi="Times New Roman"/>
          <w:sz w:val="28"/>
          <w:szCs w:val="28"/>
          <w:lang w:val="ru-RU"/>
        </w:rPr>
        <w:t xml:space="preserve"> анализа потенциала поставщиков усл</w:t>
      </w:r>
      <w:r w:rsidRPr="00693613">
        <w:rPr>
          <w:rFonts w:ascii="Times New Roman" w:hAnsi="Times New Roman"/>
          <w:sz w:val="28"/>
          <w:szCs w:val="28"/>
          <w:lang w:val="ru-RU"/>
        </w:rPr>
        <w:t>у</w:t>
      </w:r>
      <w:r w:rsidR="000528C2">
        <w:rPr>
          <w:rFonts w:ascii="Times New Roman" w:hAnsi="Times New Roman"/>
          <w:sz w:val="28"/>
          <w:szCs w:val="28"/>
          <w:lang w:val="ru-RU"/>
        </w:rPr>
        <w:t>г по обеспечению подд</w:t>
      </w:r>
      <w:r w:rsidRPr="00693613">
        <w:rPr>
          <w:rFonts w:ascii="Times New Roman" w:hAnsi="Times New Roman"/>
          <w:sz w:val="28"/>
          <w:szCs w:val="28"/>
          <w:lang w:val="ru-RU"/>
        </w:rPr>
        <w:t>е</w:t>
      </w:r>
      <w:r w:rsidR="000528C2">
        <w:rPr>
          <w:rFonts w:ascii="Times New Roman" w:hAnsi="Times New Roman"/>
          <w:sz w:val="28"/>
          <w:szCs w:val="28"/>
          <w:lang w:val="ru-RU"/>
        </w:rPr>
        <w:t>ржки операций реагирования, подразумевающих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8C2" w:rsidRPr="00693613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бенефициарам наличных </w:t>
      </w:r>
      <w:r w:rsidR="000528C2" w:rsidRPr="00693613">
        <w:rPr>
          <w:rFonts w:ascii="Times New Roman" w:hAnsi="Times New Roman"/>
          <w:sz w:val="28"/>
          <w:szCs w:val="28"/>
          <w:lang w:val="ru-RU"/>
        </w:rPr>
        <w:t>денежных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средств. </w:t>
      </w:r>
      <w:r w:rsidR="00801595">
        <w:rPr>
          <w:rFonts w:ascii="Times New Roman" w:hAnsi="Times New Roman"/>
          <w:sz w:val="28"/>
          <w:szCs w:val="28"/>
          <w:lang w:val="ru-RU"/>
        </w:rPr>
        <w:t>Второй подраздел посвящ</w:t>
      </w:r>
      <w:r w:rsidR="000341E7" w:rsidRPr="00693613">
        <w:rPr>
          <w:rFonts w:ascii="Times New Roman" w:hAnsi="Times New Roman"/>
          <w:sz w:val="28"/>
          <w:szCs w:val="28"/>
          <w:lang w:val="ru-RU"/>
        </w:rPr>
        <w:t>ен оценке потенциала ваш</w:t>
      </w:r>
      <w:r w:rsidR="00801595">
        <w:rPr>
          <w:rFonts w:ascii="Times New Roman" w:hAnsi="Times New Roman"/>
          <w:sz w:val="28"/>
          <w:szCs w:val="28"/>
          <w:lang w:val="ru-RU"/>
        </w:rPr>
        <w:t>е</w:t>
      </w:r>
      <w:r w:rsidR="000341E7" w:rsidRPr="00693613">
        <w:rPr>
          <w:rFonts w:ascii="Times New Roman" w:hAnsi="Times New Roman"/>
          <w:sz w:val="28"/>
          <w:szCs w:val="28"/>
          <w:lang w:val="ru-RU"/>
        </w:rPr>
        <w:t>й организации и партнеров своевременно осуществля</w:t>
      </w:r>
      <w:r w:rsidR="00B97128">
        <w:rPr>
          <w:rFonts w:ascii="Times New Roman" w:hAnsi="Times New Roman"/>
          <w:sz w:val="28"/>
          <w:szCs w:val="28"/>
          <w:lang w:val="ru-RU"/>
        </w:rPr>
        <w:t xml:space="preserve">ть ПДП в необходимых масштабах. </w:t>
      </w:r>
      <w:r w:rsidR="00013AFC" w:rsidRPr="00693613">
        <w:rPr>
          <w:rFonts w:ascii="Times New Roman" w:hAnsi="Times New Roman"/>
          <w:sz w:val="28"/>
          <w:szCs w:val="28"/>
          <w:lang w:val="ru-RU"/>
        </w:rPr>
        <w:t xml:space="preserve">Третий подраздел посвящен вопросам анализа рисков, </w:t>
      </w:r>
      <w:r w:rsidR="00801595" w:rsidRPr="00693613">
        <w:rPr>
          <w:rFonts w:ascii="Times New Roman" w:hAnsi="Times New Roman"/>
          <w:sz w:val="28"/>
          <w:szCs w:val="28"/>
          <w:lang w:val="ru-RU"/>
        </w:rPr>
        <w:t>потенциально</w:t>
      </w:r>
      <w:r w:rsidR="00013AFC" w:rsidRPr="00693613">
        <w:rPr>
          <w:rFonts w:ascii="Times New Roman" w:hAnsi="Times New Roman"/>
          <w:sz w:val="28"/>
          <w:szCs w:val="28"/>
          <w:lang w:val="ru-RU"/>
        </w:rPr>
        <w:t xml:space="preserve"> связанных с осуществлением ПДП</w:t>
      </w:r>
      <w:r w:rsidR="00A80D09" w:rsidRPr="00693613">
        <w:rPr>
          <w:rFonts w:ascii="Times New Roman" w:hAnsi="Times New Roman"/>
          <w:sz w:val="28"/>
          <w:szCs w:val="28"/>
          <w:lang w:val="ru-RU"/>
        </w:rPr>
        <w:t>.</w:t>
      </w:r>
      <w:r w:rsidR="00360643" w:rsidRPr="006936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C85DAB3" w14:textId="03B2E457" w:rsidR="000B0222" w:rsidRPr="00693613" w:rsidRDefault="004D4B93" w:rsidP="006607B1">
      <w:pPr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Если вам необх</w:t>
      </w:r>
      <w:r w:rsidR="00801595">
        <w:rPr>
          <w:rFonts w:ascii="Times New Roman" w:hAnsi="Times New Roman"/>
          <w:sz w:val="28"/>
          <w:szCs w:val="28"/>
          <w:lang w:val="ru-RU"/>
        </w:rPr>
        <w:t>одима более подробная информаци</w:t>
      </w:r>
      <w:r w:rsidRPr="00693613">
        <w:rPr>
          <w:rFonts w:ascii="Times New Roman" w:hAnsi="Times New Roman"/>
          <w:sz w:val="28"/>
          <w:szCs w:val="28"/>
          <w:lang w:val="ru-RU"/>
        </w:rPr>
        <w:t>я</w:t>
      </w:r>
      <w:r w:rsidR="00801595">
        <w:rPr>
          <w:rFonts w:ascii="Times New Roman" w:hAnsi="Times New Roman"/>
          <w:sz w:val="28"/>
          <w:szCs w:val="28"/>
          <w:lang w:val="ru-RU"/>
        </w:rPr>
        <w:t xml:space="preserve"> по во</w:t>
      </w:r>
      <w:r w:rsidRPr="00693613">
        <w:rPr>
          <w:rFonts w:ascii="Times New Roman" w:hAnsi="Times New Roman"/>
          <w:sz w:val="28"/>
          <w:szCs w:val="28"/>
          <w:lang w:val="ru-RU"/>
        </w:rPr>
        <w:t>п</w:t>
      </w:r>
      <w:r w:rsidR="00801595">
        <w:rPr>
          <w:rFonts w:ascii="Times New Roman" w:hAnsi="Times New Roman"/>
          <w:sz w:val="28"/>
          <w:szCs w:val="28"/>
          <w:lang w:val="ru-RU"/>
        </w:rPr>
        <w:t>рос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ам оценки потенциала и рисков, обратитесь к справочным документам, </w:t>
      </w:r>
      <w:r w:rsidR="006520DD" w:rsidRPr="00693613">
        <w:rPr>
          <w:rFonts w:ascii="Times New Roman" w:hAnsi="Times New Roman"/>
          <w:sz w:val="28"/>
          <w:szCs w:val="28"/>
          <w:lang w:val="ru-RU"/>
        </w:rPr>
        <w:t>перечисленным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в конце этой дорожной карты. </w:t>
      </w:r>
    </w:p>
    <w:p w14:paraId="4E297FEC" w14:textId="79123F01" w:rsidR="00E66A9A" w:rsidRPr="00693613" w:rsidRDefault="004D4B93" w:rsidP="006607B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6C736B90" w14:textId="07C1EDD6" w:rsidR="00E66677" w:rsidRPr="00693613" w:rsidRDefault="004D4B93" w:rsidP="006607B1">
      <w:pPr>
        <w:pStyle w:val="a3"/>
        <w:keepNext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Проведите </w:t>
      </w:r>
      <w:r w:rsidR="00BB45B9">
        <w:rPr>
          <w:rFonts w:ascii="Times New Roman" w:hAnsi="Times New Roman" w:cs="Times New Roman"/>
          <w:sz w:val="28"/>
          <w:szCs w:val="28"/>
          <w:lang w:val="ru-RU"/>
        </w:rPr>
        <w:t xml:space="preserve">хотя бы общую </w:t>
      </w:r>
      <w:r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оценку </w:t>
      </w:r>
      <w:r w:rsidR="00BB45B9" w:rsidRPr="00693613">
        <w:rPr>
          <w:rFonts w:ascii="Times New Roman" w:hAnsi="Times New Roman" w:cs="Times New Roman"/>
          <w:sz w:val="28"/>
          <w:szCs w:val="28"/>
          <w:lang w:val="ru-RU"/>
        </w:rPr>
        <w:t>потенциала</w:t>
      </w:r>
      <w:r w:rsidR="00BB45B9">
        <w:rPr>
          <w:rFonts w:ascii="Times New Roman" w:hAnsi="Times New Roman" w:cs="Times New Roman"/>
          <w:sz w:val="28"/>
          <w:szCs w:val="28"/>
          <w:lang w:val="ru-RU"/>
        </w:rPr>
        <w:t xml:space="preserve"> и рисков</w:t>
      </w:r>
      <w:r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, привлекая </w:t>
      </w:r>
      <w:r w:rsidR="00BB45B9">
        <w:rPr>
          <w:rFonts w:ascii="Times New Roman" w:hAnsi="Times New Roman" w:cs="Times New Roman"/>
          <w:sz w:val="28"/>
          <w:szCs w:val="28"/>
          <w:lang w:val="ru-RU"/>
        </w:rPr>
        <w:t>представителей разных департаментов</w:t>
      </w:r>
      <w:r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 (особенно логистики и </w:t>
      </w:r>
      <w:r w:rsidR="00BB45B9" w:rsidRPr="00693613">
        <w:rPr>
          <w:rFonts w:ascii="Times New Roman" w:hAnsi="Times New Roman" w:cs="Times New Roman"/>
          <w:sz w:val="28"/>
          <w:szCs w:val="28"/>
          <w:lang w:val="ru-RU"/>
        </w:rPr>
        <w:t>финансов</w:t>
      </w:r>
      <w:r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), до того, как перейти к анализу вариантов реагирования </w:t>
      </w:r>
      <w:r w:rsidR="00E66677"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DE036B" w14:textId="6BB8BC8B" w:rsidR="00C53138" w:rsidRPr="00693613" w:rsidRDefault="009E383B" w:rsidP="006607B1">
      <w:pPr>
        <w:pStyle w:val="a3"/>
        <w:keepNext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Информацию, полученную у поставщиков услуг, необходимо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триангулировать</w:t>
      </w:r>
      <w:proofErr w:type="spellEnd"/>
      <w:r w:rsidR="004D4B93" w:rsidRPr="00693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вторичными данными и информацией, </w:t>
      </w:r>
      <w:r w:rsidRPr="00693613">
        <w:rPr>
          <w:rFonts w:ascii="Times New Roman" w:hAnsi="Times New Roman" w:cs="Times New Roman"/>
          <w:bCs/>
          <w:sz w:val="28"/>
          <w:szCs w:val="28"/>
          <w:lang w:val="ru-RU"/>
        </w:rPr>
        <w:t>собранной</w:t>
      </w:r>
      <w:r w:rsidR="004D4B93" w:rsidRPr="00693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уровне сообществ </w:t>
      </w:r>
      <w:r w:rsidR="00E66677" w:rsidRPr="00693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A4CD0AA" w14:textId="56FA9E66" w:rsidR="005D631B" w:rsidRPr="00693613" w:rsidRDefault="00071E6E" w:rsidP="00120D2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693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оценке финансовых услуг </w:t>
      </w:r>
      <w:r w:rsidR="00BE2FB0">
        <w:rPr>
          <w:rFonts w:ascii="Times New Roman" w:hAnsi="Times New Roman" w:cs="Times New Roman"/>
          <w:bCs/>
          <w:sz w:val="28"/>
          <w:szCs w:val="28"/>
          <w:lang w:val="ru-RU"/>
        </w:rPr>
        <w:t>необходимо учитывать</w:t>
      </w:r>
      <w:r w:rsidRPr="00693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формальные, так и неформальные услуги, к которым имеет доступ местное население </w:t>
      </w:r>
      <w:r w:rsidR="00E66677" w:rsidRPr="00693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2C5A3C1" w14:textId="3738B196" w:rsidR="00E66677" w:rsidRPr="00693613" w:rsidRDefault="00071E6E" w:rsidP="00120D2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693613">
        <w:rPr>
          <w:rFonts w:ascii="Times New Roman" w:hAnsi="Times New Roman" w:cs="Times New Roman"/>
          <w:bCs/>
          <w:sz w:val="28"/>
          <w:szCs w:val="28"/>
          <w:lang w:val="ru-RU"/>
        </w:rPr>
        <w:t>При оцен</w:t>
      </w:r>
      <w:r w:rsidR="00B51158">
        <w:rPr>
          <w:rFonts w:ascii="Times New Roman" w:hAnsi="Times New Roman" w:cs="Times New Roman"/>
          <w:bCs/>
          <w:sz w:val="28"/>
          <w:szCs w:val="28"/>
          <w:lang w:val="ru-RU"/>
        </w:rPr>
        <w:t>ке потенциала поставщиков услуг</w:t>
      </w:r>
      <w:r w:rsidR="00B971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необходимо учесть</w:t>
      </w:r>
      <w:r w:rsidR="00975B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93613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r w:rsidR="00B97128">
        <w:rPr>
          <w:rFonts w:ascii="Times New Roman" w:hAnsi="Times New Roman" w:cs="Times New Roman"/>
          <w:bCs/>
          <w:sz w:val="28"/>
          <w:szCs w:val="28"/>
          <w:lang w:val="ru-RU"/>
        </w:rPr>
        <w:t>авовые вопросы и различные</w:t>
      </w:r>
      <w:r w:rsidR="00B511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аспе</w:t>
      </w:r>
      <w:r w:rsidR="00B97128">
        <w:rPr>
          <w:rFonts w:ascii="Times New Roman" w:hAnsi="Times New Roman" w:cs="Times New Roman"/>
          <w:bCs/>
          <w:sz w:val="28"/>
          <w:szCs w:val="28"/>
          <w:lang w:val="ru-RU"/>
        </w:rPr>
        <w:t>кты</w:t>
      </w:r>
      <w:r w:rsidR="00B511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</w:t>
      </w:r>
      <w:r w:rsidRPr="00693613">
        <w:rPr>
          <w:rFonts w:ascii="Times New Roman" w:hAnsi="Times New Roman" w:cs="Times New Roman"/>
          <w:bCs/>
          <w:sz w:val="28"/>
          <w:szCs w:val="28"/>
          <w:lang w:val="ru-RU"/>
        </w:rPr>
        <w:t>ащиты д</w:t>
      </w:r>
      <w:r w:rsidR="00975B4F">
        <w:rPr>
          <w:rFonts w:ascii="Times New Roman" w:hAnsi="Times New Roman" w:cs="Times New Roman"/>
          <w:bCs/>
          <w:sz w:val="28"/>
          <w:szCs w:val="28"/>
          <w:lang w:val="ru-RU"/>
        </w:rPr>
        <w:t>анных</w:t>
      </w:r>
      <w:r w:rsidR="005D631B" w:rsidRPr="00693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C5C8734" w14:textId="35F5B436" w:rsidR="00BB3322" w:rsidRPr="00693613" w:rsidRDefault="007F5DC7" w:rsidP="00120D2C">
      <w:pPr>
        <w:pStyle w:val="a3"/>
        <w:numPr>
          <w:ilvl w:val="0"/>
          <w:numId w:val="28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Дискуссии, касающиеся</w:t>
      </w:r>
      <w:r w:rsidR="00F12F33" w:rsidRPr="00693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организационного потенциала и потенциала партнеров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12F33" w:rsidRPr="00693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A439C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r w:rsidR="00F12F33" w:rsidRPr="00693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проходить с участием старшего руководящего звена, чтобы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</w:t>
      </w:r>
      <w:r w:rsidRPr="0069361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всеобъемлющий</w:t>
      </w:r>
      <w:r w:rsidR="00F12F33" w:rsidRPr="00693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учет </w:t>
      </w:r>
      <w:r w:rsidR="00091ABB" w:rsidRPr="00693613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возможностей, 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сков и стратегических соображений</w:t>
      </w:r>
    </w:p>
    <w:p w14:paraId="1C935CD1" w14:textId="1DAA8FA0" w:rsidR="00BB3322" w:rsidRPr="00693613" w:rsidRDefault="00091ABB" w:rsidP="00120D2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Анализ рисков должен начинаться </w:t>
      </w:r>
      <w:r w:rsidR="007F5DC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93613">
        <w:rPr>
          <w:rFonts w:ascii="Times New Roman" w:hAnsi="Times New Roman" w:cs="Times New Roman"/>
          <w:sz w:val="28"/>
          <w:szCs w:val="28"/>
          <w:lang w:val="ru-RU"/>
        </w:rPr>
        <w:t>выявления рисков на макро-уровне и включать в себя риски, напрямую связанные с</w:t>
      </w:r>
      <w:r w:rsidR="000C652D" w:rsidRPr="00693613">
        <w:rPr>
          <w:rFonts w:ascii="Times New Roman" w:hAnsi="Times New Roman" w:cs="Times New Roman"/>
          <w:sz w:val="28"/>
          <w:szCs w:val="28"/>
          <w:lang w:val="ru-RU"/>
        </w:rPr>
        <w:t xml:space="preserve"> осущ</w:t>
      </w:r>
      <w:r w:rsidR="007F5DC7">
        <w:rPr>
          <w:rFonts w:ascii="Times New Roman" w:hAnsi="Times New Roman" w:cs="Times New Roman"/>
          <w:sz w:val="28"/>
          <w:szCs w:val="28"/>
          <w:lang w:val="ru-RU"/>
        </w:rPr>
        <w:t>ествлением  ПДП в рассматриваемом регионе</w:t>
      </w:r>
      <w:r w:rsidRPr="00693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BC10D5" w14:textId="5A66D98F" w:rsidR="00A22FB8" w:rsidRPr="00693613" w:rsidRDefault="00091ABB" w:rsidP="00C40D97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 xml:space="preserve">ПОДРАЗДЕЛЫ И ИНСТРУМЕНТЫ </w:t>
      </w:r>
    </w:p>
    <w:p w14:paraId="1F69763B" w14:textId="2779C136" w:rsidR="00681C45" w:rsidRPr="00693613" w:rsidRDefault="000C652D" w:rsidP="006607B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Оценка финансовых услуг</w:t>
      </w:r>
    </w:p>
    <w:p w14:paraId="04F5F6EF" w14:textId="1DD49ACB" w:rsidR="000C652D" w:rsidRPr="00693613" w:rsidRDefault="000C652D" w:rsidP="006607B1">
      <w:pPr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Первичная оценка поставщиков финансовых услуг, включая операторов мобильной связи</w:t>
      </w:r>
      <w:r w:rsidR="00B342C7">
        <w:rPr>
          <w:rFonts w:ascii="Times New Roman" w:hAnsi="Times New Roman"/>
          <w:sz w:val="28"/>
          <w:szCs w:val="28"/>
          <w:lang w:val="ru-RU"/>
        </w:rPr>
        <w:t>,</w:t>
      </w:r>
      <w:r w:rsidR="003F58F5">
        <w:rPr>
          <w:rFonts w:ascii="Times New Roman" w:hAnsi="Times New Roman"/>
          <w:sz w:val="28"/>
          <w:szCs w:val="28"/>
          <w:lang w:val="ru-RU"/>
        </w:rPr>
        <w:t xml:space="preserve"> позволит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F58F5">
        <w:rPr>
          <w:rFonts w:ascii="Times New Roman" w:hAnsi="Times New Roman"/>
          <w:sz w:val="28"/>
          <w:szCs w:val="28"/>
          <w:lang w:val="ru-RU"/>
        </w:rPr>
        <w:t>ам понять их оперативные возможности -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от услуг, </w:t>
      </w:r>
      <w:r w:rsidR="003F58F5" w:rsidRPr="00693613">
        <w:rPr>
          <w:rFonts w:ascii="Times New Roman" w:hAnsi="Times New Roman"/>
          <w:sz w:val="28"/>
          <w:szCs w:val="28"/>
          <w:lang w:val="ru-RU"/>
        </w:rPr>
        <w:t>которые</w:t>
      </w:r>
      <w:r w:rsidR="003F58F5">
        <w:rPr>
          <w:rFonts w:ascii="Times New Roman" w:hAnsi="Times New Roman"/>
          <w:sz w:val="28"/>
          <w:szCs w:val="28"/>
          <w:lang w:val="ru-RU"/>
        </w:rPr>
        <w:t xml:space="preserve"> они предлагают</w:t>
      </w:r>
      <w:r w:rsidR="00B342C7">
        <w:rPr>
          <w:rFonts w:ascii="Times New Roman" w:hAnsi="Times New Roman"/>
          <w:sz w:val="28"/>
          <w:szCs w:val="28"/>
          <w:lang w:val="ru-RU"/>
        </w:rPr>
        <w:t>,</w:t>
      </w:r>
      <w:r w:rsidR="003F58F5">
        <w:rPr>
          <w:rFonts w:ascii="Times New Roman" w:hAnsi="Times New Roman"/>
          <w:sz w:val="28"/>
          <w:szCs w:val="28"/>
          <w:lang w:val="ru-RU"/>
        </w:rPr>
        <w:t xml:space="preserve"> и их доступности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3F58F5">
        <w:rPr>
          <w:rFonts w:ascii="Times New Roman" w:hAnsi="Times New Roman"/>
          <w:sz w:val="28"/>
          <w:szCs w:val="28"/>
          <w:lang w:val="ru-RU"/>
        </w:rPr>
        <w:t xml:space="preserve">масштабов </w:t>
      </w:r>
      <w:r w:rsidRPr="00693613">
        <w:rPr>
          <w:rFonts w:ascii="Times New Roman" w:hAnsi="Times New Roman"/>
          <w:sz w:val="28"/>
          <w:szCs w:val="28"/>
          <w:lang w:val="ru-RU"/>
        </w:rPr>
        <w:t>охвата</w:t>
      </w:r>
      <w:r w:rsidR="003F58F5">
        <w:rPr>
          <w:rFonts w:ascii="Times New Roman" w:hAnsi="Times New Roman"/>
          <w:sz w:val="28"/>
          <w:szCs w:val="28"/>
          <w:lang w:val="ru-RU"/>
        </w:rPr>
        <w:t xml:space="preserve"> клиентов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F58F5">
        <w:rPr>
          <w:rFonts w:ascii="Times New Roman" w:hAnsi="Times New Roman"/>
          <w:sz w:val="28"/>
          <w:szCs w:val="28"/>
          <w:lang w:val="ru-RU"/>
        </w:rPr>
        <w:t>стоимости обслуживания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, правовых аспектов и защиты личных данных. </w:t>
      </w:r>
    </w:p>
    <w:p w14:paraId="5F62529E" w14:textId="2F37A9CE" w:rsidR="000C652D" w:rsidRPr="00693613" w:rsidRDefault="000C652D" w:rsidP="006607B1">
      <w:pPr>
        <w:rPr>
          <w:rFonts w:ascii="Times New Roman" w:hAnsi="Times New Roman"/>
          <w:bCs/>
          <w:sz w:val="28"/>
          <w:szCs w:val="28"/>
          <w:lang w:val="ru-RU"/>
        </w:rPr>
      </w:pPr>
      <w:r w:rsidRPr="00693613">
        <w:rPr>
          <w:rFonts w:ascii="Times New Roman" w:hAnsi="Times New Roman"/>
          <w:bCs/>
          <w:sz w:val="28"/>
          <w:szCs w:val="28"/>
          <w:lang w:val="ru-RU"/>
        </w:rPr>
        <w:lastRenderedPageBreak/>
        <w:t>Ввиду своего богатого опыта департаменты финансов и логистики играют важную роль</w:t>
      </w:r>
      <w:r w:rsidR="00FF71BC">
        <w:rPr>
          <w:rFonts w:ascii="Times New Roman" w:hAnsi="Times New Roman"/>
          <w:bCs/>
          <w:sz w:val="28"/>
          <w:szCs w:val="28"/>
          <w:lang w:val="ru-RU"/>
        </w:rPr>
        <w:t xml:space="preserve">  и иногда берут на себя руководящие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функции при проведении оценки </w:t>
      </w:r>
      <w:r w:rsidR="00FF71BC" w:rsidRPr="00693613">
        <w:rPr>
          <w:rFonts w:ascii="Times New Roman" w:hAnsi="Times New Roman"/>
          <w:bCs/>
          <w:sz w:val="28"/>
          <w:szCs w:val="28"/>
          <w:lang w:val="ru-RU"/>
        </w:rPr>
        <w:t>потенциала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поставщиков финансовых услуг. Роли и обязанности </w:t>
      </w:r>
      <w:r w:rsidR="00FF71BC">
        <w:rPr>
          <w:rFonts w:ascii="Times New Roman" w:hAnsi="Times New Roman"/>
          <w:bCs/>
          <w:sz w:val="28"/>
          <w:szCs w:val="28"/>
          <w:lang w:val="ru-RU"/>
        </w:rPr>
        <w:t>всех заинтересованных сторон определяются стандартными оперативными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процедур</w:t>
      </w:r>
      <w:r w:rsidR="00FF71BC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ПДП. Также важное значение имее</w:t>
      </w:r>
      <w:r w:rsidR="002D3763">
        <w:rPr>
          <w:rFonts w:ascii="Times New Roman" w:hAnsi="Times New Roman"/>
          <w:bCs/>
          <w:sz w:val="28"/>
          <w:szCs w:val="28"/>
          <w:lang w:val="ru-RU"/>
        </w:rPr>
        <w:t>т координация дейс</w:t>
      </w:r>
      <w:r w:rsidR="00964B8A">
        <w:rPr>
          <w:rFonts w:ascii="Times New Roman" w:hAnsi="Times New Roman"/>
          <w:bCs/>
          <w:sz w:val="28"/>
          <w:szCs w:val="28"/>
          <w:lang w:val="ru-RU"/>
        </w:rPr>
        <w:t>твий. Проведя оценку, вы определите круг</w:t>
      </w:r>
      <w:r w:rsidR="002451F9" w:rsidRPr="00693613">
        <w:rPr>
          <w:rFonts w:ascii="Times New Roman" w:hAnsi="Times New Roman"/>
          <w:bCs/>
          <w:sz w:val="28"/>
          <w:szCs w:val="28"/>
          <w:lang w:val="ru-RU"/>
        </w:rPr>
        <w:t xml:space="preserve"> поставщиков услуг и их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потенциальные </w:t>
      </w:r>
      <w:r w:rsidR="002D3763" w:rsidRPr="00693613">
        <w:rPr>
          <w:rFonts w:ascii="Times New Roman" w:hAnsi="Times New Roman"/>
          <w:bCs/>
          <w:sz w:val="28"/>
          <w:szCs w:val="28"/>
          <w:lang w:val="ru-RU"/>
        </w:rPr>
        <w:t>возможности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реагирования. </w:t>
      </w:r>
      <w:r w:rsidR="009D1C7C">
        <w:rPr>
          <w:rFonts w:ascii="Times New Roman" w:hAnsi="Times New Roman"/>
          <w:bCs/>
          <w:sz w:val="28"/>
          <w:szCs w:val="28"/>
          <w:lang w:val="ru-RU"/>
        </w:rPr>
        <w:t>Собранная информация станет основой для дальнейших дискуссий и принятия решений на этапе</w:t>
      </w:r>
      <w:r w:rsidR="002451F9" w:rsidRPr="00693613">
        <w:rPr>
          <w:rFonts w:ascii="Times New Roman" w:hAnsi="Times New Roman"/>
          <w:bCs/>
          <w:sz w:val="28"/>
          <w:szCs w:val="28"/>
          <w:lang w:val="ru-RU"/>
        </w:rPr>
        <w:t xml:space="preserve"> анализа вариантов реагирования (Модуль 3), а также для итогового отбора поставщиков финансовых услуг во время ра</w:t>
      </w:r>
      <w:r w:rsidR="000E6566">
        <w:rPr>
          <w:rFonts w:ascii="Times New Roman" w:hAnsi="Times New Roman"/>
          <w:bCs/>
          <w:sz w:val="28"/>
          <w:szCs w:val="28"/>
          <w:lang w:val="ru-RU"/>
        </w:rPr>
        <w:t>з</w:t>
      </w:r>
      <w:r w:rsidR="002451F9" w:rsidRPr="00693613">
        <w:rPr>
          <w:rFonts w:ascii="Times New Roman" w:hAnsi="Times New Roman"/>
          <w:bCs/>
          <w:sz w:val="28"/>
          <w:szCs w:val="28"/>
          <w:lang w:val="ru-RU"/>
        </w:rPr>
        <w:t xml:space="preserve">работки и </w:t>
      </w:r>
      <w:r w:rsidR="00BF256C" w:rsidRPr="00693613">
        <w:rPr>
          <w:rFonts w:ascii="Times New Roman" w:hAnsi="Times New Roman"/>
          <w:bCs/>
          <w:sz w:val="28"/>
          <w:szCs w:val="28"/>
          <w:lang w:val="ru-RU"/>
        </w:rPr>
        <w:t>реализации</w:t>
      </w:r>
      <w:r w:rsidR="002451F9" w:rsidRPr="00693613">
        <w:rPr>
          <w:rFonts w:ascii="Times New Roman" w:hAnsi="Times New Roman"/>
          <w:bCs/>
          <w:sz w:val="28"/>
          <w:szCs w:val="28"/>
          <w:lang w:val="ru-RU"/>
        </w:rPr>
        <w:t xml:space="preserve"> проекта (Модуль 4). Обязательно привлеките к участию в этой работе представителей </w:t>
      </w:r>
      <w:r w:rsidR="00BF256C" w:rsidRPr="00693613">
        <w:rPr>
          <w:rFonts w:ascii="Times New Roman" w:hAnsi="Times New Roman"/>
          <w:bCs/>
          <w:sz w:val="28"/>
          <w:szCs w:val="28"/>
          <w:lang w:val="ru-RU"/>
        </w:rPr>
        <w:t>финансового</w:t>
      </w:r>
      <w:r w:rsidR="002451F9" w:rsidRPr="00693613">
        <w:rPr>
          <w:rFonts w:ascii="Times New Roman" w:hAnsi="Times New Roman"/>
          <w:bCs/>
          <w:sz w:val="28"/>
          <w:szCs w:val="28"/>
          <w:lang w:val="ru-RU"/>
        </w:rPr>
        <w:t xml:space="preserve"> департамента.</w:t>
      </w:r>
    </w:p>
    <w:p w14:paraId="0BB7079F" w14:textId="5ABE06BB" w:rsidR="000C652D" w:rsidRPr="00693613" w:rsidRDefault="002451F9" w:rsidP="006607B1">
      <w:pPr>
        <w:rPr>
          <w:rFonts w:ascii="Times New Roman" w:hAnsi="Times New Roman"/>
          <w:bCs/>
          <w:sz w:val="28"/>
          <w:szCs w:val="28"/>
          <w:lang w:val="ru-RU"/>
        </w:rPr>
      </w:pP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В числе </w:t>
      </w:r>
      <w:r w:rsidR="00BF256C" w:rsidRPr="00693613">
        <w:rPr>
          <w:rFonts w:ascii="Times New Roman" w:hAnsi="Times New Roman"/>
          <w:bCs/>
          <w:sz w:val="28"/>
          <w:szCs w:val="28"/>
          <w:lang w:val="ru-RU"/>
        </w:rPr>
        <w:t>инструментов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, предлагаемых в данном подразделе, - </w:t>
      </w:r>
      <w:r w:rsidR="00C15A31">
        <w:rPr>
          <w:rFonts w:ascii="Times New Roman" w:hAnsi="Times New Roman"/>
          <w:bCs/>
          <w:sz w:val="28"/>
          <w:szCs w:val="28"/>
          <w:lang w:val="ru-RU"/>
        </w:rPr>
        <w:t xml:space="preserve"> матрица, включающая перечень</w:t>
      </w:r>
      <w:r w:rsidR="00BF25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>осн</w:t>
      </w:r>
      <w:r w:rsidR="00C15A31">
        <w:rPr>
          <w:rFonts w:ascii="Times New Roman" w:hAnsi="Times New Roman"/>
          <w:bCs/>
          <w:sz w:val="28"/>
          <w:szCs w:val="28"/>
          <w:lang w:val="ru-RU"/>
        </w:rPr>
        <w:t>овных тем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для</w:t>
      </w:r>
      <w:r w:rsidR="00BF256C">
        <w:rPr>
          <w:rFonts w:ascii="Times New Roman" w:hAnsi="Times New Roman"/>
          <w:bCs/>
          <w:sz w:val="28"/>
          <w:szCs w:val="28"/>
          <w:lang w:val="ru-RU"/>
        </w:rPr>
        <w:t xml:space="preserve"> проведения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оценки, </w:t>
      </w:r>
      <w:r w:rsidR="00C15A31">
        <w:rPr>
          <w:rFonts w:ascii="Times New Roman" w:hAnsi="Times New Roman"/>
          <w:bCs/>
          <w:sz w:val="28"/>
          <w:szCs w:val="28"/>
          <w:lang w:val="ru-RU"/>
        </w:rPr>
        <w:t>потенциальных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ист</w:t>
      </w:r>
      <w:r w:rsidR="00C15A31">
        <w:rPr>
          <w:rFonts w:ascii="Times New Roman" w:hAnsi="Times New Roman"/>
          <w:bCs/>
          <w:sz w:val="28"/>
          <w:szCs w:val="28"/>
          <w:lang w:val="ru-RU"/>
        </w:rPr>
        <w:t>очников информации и указаний</w:t>
      </w:r>
      <w:r w:rsidR="00BF256C">
        <w:rPr>
          <w:rFonts w:ascii="Times New Roman" w:hAnsi="Times New Roman"/>
          <w:bCs/>
          <w:sz w:val="28"/>
          <w:szCs w:val="28"/>
          <w:lang w:val="ru-RU"/>
        </w:rPr>
        <w:t xml:space="preserve"> на то</w:t>
      </w:r>
      <w:r w:rsidR="00C15A31">
        <w:rPr>
          <w:rFonts w:ascii="Times New Roman" w:hAnsi="Times New Roman"/>
          <w:bCs/>
          <w:sz w:val="28"/>
          <w:szCs w:val="28"/>
          <w:lang w:val="ru-RU"/>
        </w:rPr>
        <w:t>, следует ли проводить</w:t>
      </w:r>
      <w:r w:rsidR="0015192D">
        <w:rPr>
          <w:rFonts w:ascii="Times New Roman" w:hAnsi="Times New Roman"/>
          <w:bCs/>
          <w:sz w:val="28"/>
          <w:szCs w:val="28"/>
          <w:lang w:val="ru-RU"/>
        </w:rPr>
        <w:t xml:space="preserve"> лишь</w:t>
      </w:r>
      <w:r w:rsidR="00BF256C">
        <w:rPr>
          <w:rFonts w:ascii="Times New Roman" w:hAnsi="Times New Roman"/>
          <w:bCs/>
          <w:sz w:val="28"/>
          <w:szCs w:val="28"/>
          <w:lang w:val="ru-RU"/>
        </w:rPr>
        <w:t xml:space="preserve"> теоретический анализ по рассматриваемым темам </w:t>
      </w:r>
      <w:r w:rsidR="0015192D">
        <w:rPr>
          <w:rFonts w:ascii="Times New Roman" w:hAnsi="Times New Roman"/>
          <w:bCs/>
          <w:sz w:val="28"/>
          <w:szCs w:val="28"/>
          <w:lang w:val="ru-RU"/>
        </w:rPr>
        <w:t xml:space="preserve">или </w:t>
      </w:r>
      <w:r w:rsidR="00BF256C">
        <w:rPr>
          <w:rFonts w:ascii="Times New Roman" w:hAnsi="Times New Roman"/>
          <w:bCs/>
          <w:sz w:val="28"/>
          <w:szCs w:val="28"/>
          <w:lang w:val="ru-RU"/>
        </w:rPr>
        <w:t>подкрепить его</w:t>
      </w:r>
      <w:r w:rsidR="0015192D">
        <w:rPr>
          <w:rFonts w:ascii="Times New Roman" w:hAnsi="Times New Roman"/>
          <w:bCs/>
          <w:sz w:val="28"/>
          <w:szCs w:val="28"/>
          <w:lang w:val="ru-RU"/>
        </w:rPr>
        <w:t xml:space="preserve"> данными</w:t>
      </w:r>
      <w:r w:rsidR="00BF25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>интервью. Вы также найдете опросник для проведения интервью с</w:t>
      </w:r>
      <w:r w:rsidR="00B8037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16194">
        <w:rPr>
          <w:rFonts w:ascii="Times New Roman" w:hAnsi="Times New Roman"/>
          <w:bCs/>
          <w:sz w:val="28"/>
          <w:szCs w:val="28"/>
          <w:lang w:val="ru-RU"/>
        </w:rPr>
        <w:t>поставщиками</w:t>
      </w:r>
      <w:r w:rsidR="00441194">
        <w:rPr>
          <w:rFonts w:ascii="Times New Roman" w:hAnsi="Times New Roman"/>
          <w:bCs/>
          <w:sz w:val="28"/>
          <w:szCs w:val="28"/>
          <w:lang w:val="ru-RU"/>
        </w:rPr>
        <w:t xml:space="preserve"> услуг, присутствующими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в пост</w:t>
      </w:r>
      <w:r w:rsidR="00C15A31">
        <w:rPr>
          <w:rFonts w:ascii="Times New Roman" w:hAnsi="Times New Roman"/>
          <w:bCs/>
          <w:sz w:val="28"/>
          <w:szCs w:val="28"/>
          <w:lang w:val="ru-RU"/>
        </w:rPr>
        <w:t xml:space="preserve">радавшем регионе. Эту первичную 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>информац</w:t>
      </w:r>
      <w:r w:rsidR="00C15A31">
        <w:rPr>
          <w:rFonts w:ascii="Times New Roman" w:hAnsi="Times New Roman"/>
          <w:bCs/>
          <w:sz w:val="28"/>
          <w:szCs w:val="28"/>
          <w:lang w:val="ru-RU"/>
        </w:rPr>
        <w:t>ию необходимо</w:t>
      </w:r>
      <w:r w:rsidR="0011619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66898">
        <w:rPr>
          <w:rFonts w:ascii="Times New Roman" w:hAnsi="Times New Roman"/>
          <w:bCs/>
          <w:sz w:val="28"/>
          <w:szCs w:val="28"/>
          <w:lang w:val="ru-RU"/>
        </w:rPr>
        <w:t>подкрепить</w:t>
      </w:r>
      <w:r w:rsidR="00B7485F">
        <w:rPr>
          <w:rFonts w:ascii="Times New Roman" w:hAnsi="Times New Roman"/>
          <w:bCs/>
          <w:sz w:val="28"/>
          <w:szCs w:val="28"/>
          <w:lang w:val="ru-RU"/>
        </w:rPr>
        <w:t xml:space="preserve"> вторичным</w:t>
      </w:r>
      <w:r w:rsidR="0055348F">
        <w:rPr>
          <w:rFonts w:ascii="Times New Roman" w:hAnsi="Times New Roman"/>
          <w:bCs/>
          <w:sz w:val="28"/>
          <w:szCs w:val="28"/>
          <w:lang w:val="ru-RU"/>
        </w:rPr>
        <w:t>и данными, а также информацией по вопросам доступа к финансовым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услуг</w:t>
      </w:r>
      <w:r w:rsidR="0055348F">
        <w:rPr>
          <w:rFonts w:ascii="Times New Roman" w:hAnsi="Times New Roman"/>
          <w:bCs/>
          <w:sz w:val="28"/>
          <w:szCs w:val="28"/>
          <w:lang w:val="ru-RU"/>
        </w:rPr>
        <w:t>ам и их использования, собранной на уров</w:t>
      </w:r>
      <w:r w:rsidR="0055348F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55348F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55348F" w:rsidRPr="00693613">
        <w:rPr>
          <w:rFonts w:ascii="Times New Roman" w:hAnsi="Times New Roman"/>
          <w:bCs/>
          <w:sz w:val="28"/>
          <w:szCs w:val="28"/>
          <w:lang w:val="ru-RU"/>
        </w:rPr>
        <w:t xml:space="preserve"> сообществ</w:t>
      </w:r>
      <w:r w:rsidR="0055348F">
        <w:rPr>
          <w:rFonts w:ascii="Times New Roman" w:hAnsi="Times New Roman"/>
          <w:bCs/>
          <w:sz w:val="28"/>
          <w:szCs w:val="28"/>
          <w:lang w:val="ru-RU"/>
        </w:rPr>
        <w:t xml:space="preserve"> (инст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55348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менты раздела 2). С этой целью вы можете использовать сводную таблицу, предлагаемую в </w:t>
      </w:r>
      <w:r w:rsidR="00866898" w:rsidRPr="00693613">
        <w:rPr>
          <w:rFonts w:ascii="Times New Roman" w:hAnsi="Times New Roman"/>
          <w:bCs/>
          <w:sz w:val="28"/>
          <w:szCs w:val="28"/>
          <w:lang w:val="ru-RU"/>
        </w:rPr>
        <w:t>описаниях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 инструментов к данному подразделу.  Это </w:t>
      </w:r>
      <w:r w:rsidR="00866898">
        <w:rPr>
          <w:rFonts w:ascii="Times New Roman" w:hAnsi="Times New Roman"/>
          <w:bCs/>
          <w:sz w:val="28"/>
          <w:szCs w:val="28"/>
          <w:lang w:val="ru-RU"/>
        </w:rPr>
        <w:t xml:space="preserve">позволит вам получить 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представление о том, где расположены </w:t>
      </w:r>
      <w:r w:rsidR="00866898">
        <w:rPr>
          <w:rFonts w:ascii="Times New Roman" w:hAnsi="Times New Roman"/>
          <w:bCs/>
          <w:sz w:val="28"/>
          <w:szCs w:val="28"/>
          <w:lang w:val="ru-RU"/>
        </w:rPr>
        <w:t>сл</w:t>
      </w:r>
      <w:r w:rsidR="00E318BC">
        <w:rPr>
          <w:rFonts w:ascii="Times New Roman" w:hAnsi="Times New Roman"/>
          <w:bCs/>
          <w:sz w:val="28"/>
          <w:szCs w:val="28"/>
          <w:lang w:val="ru-RU"/>
        </w:rPr>
        <w:t>ужбы, а также об их возможностях по охвату пострадавшего населения</w:t>
      </w:r>
      <w:r w:rsidRPr="0069361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14:paraId="13159546" w14:textId="09864AFE" w:rsidR="002451F9" w:rsidRPr="00693613" w:rsidRDefault="002451F9" w:rsidP="006607B1">
      <w:pPr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 xml:space="preserve">В зависимости </w:t>
      </w:r>
      <w:r w:rsidR="00E318B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693613">
        <w:rPr>
          <w:rFonts w:ascii="Times New Roman" w:hAnsi="Times New Roman"/>
          <w:sz w:val="28"/>
          <w:szCs w:val="28"/>
          <w:lang w:val="ru-RU"/>
        </w:rPr>
        <w:t>того</w:t>
      </w:r>
      <w:r w:rsidR="00E318BC">
        <w:rPr>
          <w:rFonts w:ascii="Times New Roman" w:hAnsi="Times New Roman"/>
          <w:sz w:val="28"/>
          <w:szCs w:val="28"/>
          <w:lang w:val="ru-RU"/>
        </w:rPr>
        <w:t xml:space="preserve">, к какому сектору </w:t>
      </w:r>
      <w:r w:rsidRPr="00693613">
        <w:rPr>
          <w:rFonts w:ascii="Times New Roman" w:hAnsi="Times New Roman"/>
          <w:sz w:val="28"/>
          <w:szCs w:val="28"/>
          <w:lang w:val="ru-RU"/>
        </w:rPr>
        <w:t>относятся поставщики услуг, мо</w:t>
      </w:r>
      <w:r w:rsidR="00E318BC">
        <w:rPr>
          <w:rFonts w:ascii="Times New Roman" w:hAnsi="Times New Roman"/>
          <w:sz w:val="28"/>
          <w:szCs w:val="28"/>
          <w:lang w:val="ru-RU"/>
        </w:rPr>
        <w:t>жет оказаться целесообразным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8BC">
        <w:rPr>
          <w:rFonts w:ascii="Times New Roman" w:hAnsi="Times New Roman"/>
          <w:sz w:val="28"/>
          <w:szCs w:val="28"/>
          <w:lang w:val="ru-RU"/>
        </w:rPr>
        <w:t xml:space="preserve">обратиться к </w:t>
      </w:r>
      <w:r w:rsidRPr="00693613">
        <w:rPr>
          <w:rFonts w:ascii="Times New Roman" w:hAnsi="Times New Roman"/>
          <w:sz w:val="28"/>
          <w:szCs w:val="28"/>
          <w:lang w:val="ru-RU"/>
        </w:rPr>
        <w:t>экспе</w:t>
      </w:r>
      <w:r w:rsidR="00E318BC">
        <w:rPr>
          <w:rFonts w:ascii="Times New Roman" w:hAnsi="Times New Roman"/>
          <w:sz w:val="28"/>
          <w:szCs w:val="28"/>
          <w:lang w:val="ru-RU"/>
        </w:rPr>
        <w:t>ртным знаниям, полученным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на этапе ос</w:t>
      </w:r>
      <w:r w:rsidR="00F7515B">
        <w:rPr>
          <w:rFonts w:ascii="Times New Roman" w:hAnsi="Times New Roman"/>
          <w:sz w:val="28"/>
          <w:szCs w:val="28"/>
          <w:lang w:val="ru-RU"/>
        </w:rPr>
        <w:t>уществления оценки ситуации. Это повысит эффективность процесса выявл</w:t>
      </w:r>
      <w:r w:rsidRPr="00693613">
        <w:rPr>
          <w:rFonts w:ascii="Times New Roman" w:hAnsi="Times New Roman"/>
          <w:sz w:val="28"/>
          <w:szCs w:val="28"/>
          <w:lang w:val="ru-RU"/>
        </w:rPr>
        <w:t>ения и</w:t>
      </w:r>
      <w:r w:rsidR="00F7515B">
        <w:rPr>
          <w:rFonts w:ascii="Times New Roman" w:hAnsi="Times New Roman"/>
          <w:sz w:val="28"/>
          <w:szCs w:val="28"/>
          <w:lang w:val="ru-RU"/>
        </w:rPr>
        <w:t xml:space="preserve"> отбора поставщиков услуг, кото</w:t>
      </w:r>
      <w:r w:rsidRPr="00693613">
        <w:rPr>
          <w:rFonts w:ascii="Times New Roman" w:hAnsi="Times New Roman"/>
          <w:sz w:val="28"/>
          <w:szCs w:val="28"/>
          <w:lang w:val="ru-RU"/>
        </w:rPr>
        <w:t>р</w:t>
      </w:r>
      <w:r w:rsidR="00F7515B">
        <w:rPr>
          <w:rFonts w:ascii="Times New Roman" w:hAnsi="Times New Roman"/>
          <w:sz w:val="28"/>
          <w:szCs w:val="28"/>
          <w:lang w:val="ru-RU"/>
        </w:rPr>
        <w:t>ы</w:t>
      </w:r>
      <w:r w:rsidRPr="00693613">
        <w:rPr>
          <w:rFonts w:ascii="Times New Roman" w:hAnsi="Times New Roman"/>
          <w:sz w:val="28"/>
          <w:szCs w:val="28"/>
          <w:lang w:val="ru-RU"/>
        </w:rPr>
        <w:t>е</w:t>
      </w:r>
      <w:r w:rsidR="00F7515B">
        <w:rPr>
          <w:rFonts w:ascii="Times New Roman" w:hAnsi="Times New Roman"/>
          <w:sz w:val="28"/>
          <w:szCs w:val="28"/>
          <w:lang w:val="ru-RU"/>
        </w:rPr>
        <w:t xml:space="preserve"> в последствии буд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ут с </w:t>
      </w:r>
      <w:r w:rsidR="00F7515B">
        <w:rPr>
          <w:rFonts w:ascii="Times New Roman" w:hAnsi="Times New Roman"/>
          <w:sz w:val="28"/>
          <w:szCs w:val="28"/>
          <w:lang w:val="ru-RU"/>
        </w:rPr>
        <w:t xml:space="preserve">вами сотрудничать. В рамках этой работы, возможно, потребуется 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15B">
        <w:rPr>
          <w:rFonts w:ascii="Times New Roman" w:hAnsi="Times New Roman"/>
          <w:sz w:val="28"/>
          <w:szCs w:val="28"/>
          <w:lang w:val="ru-RU"/>
        </w:rPr>
        <w:t xml:space="preserve">собрать </w:t>
      </w:r>
      <w:r w:rsidRPr="00693613">
        <w:rPr>
          <w:rFonts w:ascii="Times New Roman" w:hAnsi="Times New Roman"/>
          <w:sz w:val="28"/>
          <w:szCs w:val="28"/>
          <w:lang w:val="ru-RU"/>
        </w:rPr>
        <w:t>б</w:t>
      </w:r>
      <w:r w:rsidR="00F7515B">
        <w:rPr>
          <w:rFonts w:ascii="Times New Roman" w:hAnsi="Times New Roman"/>
          <w:sz w:val="28"/>
          <w:szCs w:val="28"/>
          <w:lang w:val="ru-RU"/>
        </w:rPr>
        <w:t>олее подробную информацию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о поставщиках услуг </w:t>
      </w:r>
      <w:r w:rsidR="00867266">
        <w:rPr>
          <w:rFonts w:ascii="Times New Roman" w:hAnsi="Times New Roman"/>
          <w:sz w:val="28"/>
          <w:szCs w:val="28"/>
          <w:lang w:val="ru-RU"/>
        </w:rPr>
        <w:t xml:space="preserve">и привлечь к сотрудничеству департаменты финансов и логистики. Все необходимые инструменты описаны </w:t>
      </w:r>
      <w:r w:rsidRPr="00693613">
        <w:rPr>
          <w:rFonts w:ascii="Times New Roman" w:hAnsi="Times New Roman"/>
          <w:sz w:val="28"/>
          <w:szCs w:val="28"/>
          <w:lang w:val="ru-RU"/>
        </w:rPr>
        <w:t>в</w:t>
      </w:r>
      <w:r w:rsidR="00867266">
        <w:rPr>
          <w:rFonts w:ascii="Times New Roman" w:hAnsi="Times New Roman"/>
          <w:sz w:val="28"/>
          <w:szCs w:val="28"/>
          <w:lang w:val="ru-RU"/>
        </w:rPr>
        <w:t xml:space="preserve"> разделе 3 Модуля 4</w:t>
      </w:r>
      <w:r w:rsidRPr="00693613">
        <w:rPr>
          <w:rFonts w:ascii="Times New Roman" w:hAnsi="Times New Roman"/>
          <w:sz w:val="28"/>
          <w:szCs w:val="28"/>
          <w:lang w:val="ru-RU"/>
        </w:rPr>
        <w:t>.</w:t>
      </w:r>
    </w:p>
    <w:p w14:paraId="0EDAF301" w14:textId="2C7E1815" w:rsidR="00A65DC3" w:rsidRPr="00693613" w:rsidRDefault="002451F9" w:rsidP="006607B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Оценка организационного потенциала</w:t>
      </w:r>
    </w:p>
    <w:p w14:paraId="358E2D29" w14:textId="3A531EB8" w:rsidR="00936FC9" w:rsidRPr="00693613" w:rsidRDefault="002451F9" w:rsidP="00936FC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3613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Оценка организационного и технического потенциала </w:t>
      </w:r>
      <w:r w:rsidR="00B25A3D">
        <w:rPr>
          <w:rFonts w:ascii="Times New Roman" w:hAnsi="Times New Roman"/>
          <w:color w:val="000000"/>
          <w:sz w:val="28"/>
          <w:szCs w:val="28"/>
          <w:lang w:val="ru-RU"/>
        </w:rPr>
        <w:t>операторов</w:t>
      </w:r>
      <w:r w:rsidRPr="0069361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партнеров – важный шаг в обеспечении </w:t>
      </w:r>
      <w:r w:rsidR="00B25A3D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высокого уровня </w:t>
      </w:r>
      <w:r w:rsidRPr="00693613"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качества (включая вопросы защиты личных данных), своевременности и масштабности программы денежных переводов.  </w:t>
      </w:r>
      <w:r w:rsidR="0012576F">
        <w:rPr>
          <w:rFonts w:ascii="Times New Roman" w:hAnsi="Times New Roman"/>
          <w:color w:val="000000"/>
          <w:sz w:val="28"/>
          <w:szCs w:val="28"/>
          <w:lang w:val="ru-RU"/>
        </w:rPr>
        <w:t>В проведении оценки</w:t>
      </w:r>
      <w:r w:rsidR="00747443" w:rsidRPr="0069361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должны участвовать</w:t>
      </w:r>
      <w:r w:rsidR="00B25A3D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департаменты (административные</w:t>
      </w:r>
      <w:r w:rsidR="00747443" w:rsidRPr="00693613">
        <w:rPr>
          <w:rFonts w:ascii="Times New Roman" w:hAnsi="Times New Roman"/>
          <w:color w:val="000000"/>
          <w:sz w:val="28"/>
          <w:szCs w:val="28"/>
          <w:lang w:val="ru-RU"/>
        </w:rPr>
        <w:t>, технические и вспомогательные), вовлеченные в реализацию ПДП. В модуле, посвященном вопросам обеспечения готовности</w:t>
      </w:r>
      <w:r w:rsidR="0012576F">
        <w:rPr>
          <w:rFonts w:ascii="Times New Roman" w:hAnsi="Times New Roman"/>
          <w:color w:val="000000"/>
          <w:sz w:val="28"/>
          <w:szCs w:val="28"/>
          <w:lang w:val="ru-RU"/>
        </w:rPr>
        <w:t>, приводится</w:t>
      </w:r>
      <w:r w:rsidR="00747443" w:rsidRPr="00693613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список контрольных </w:t>
      </w:r>
      <w:r w:rsidR="0012576F" w:rsidRPr="00693613">
        <w:rPr>
          <w:rFonts w:ascii="Times New Roman" w:hAnsi="Times New Roman"/>
          <w:color w:val="000000"/>
          <w:sz w:val="28"/>
          <w:szCs w:val="28"/>
          <w:lang w:val="ru-RU"/>
        </w:rPr>
        <w:t>вопросов</w:t>
      </w:r>
      <w:r w:rsidR="00747443" w:rsidRPr="00693613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НО для выявления оперативной готовности, потенциала и слабых </w:t>
      </w:r>
      <w:r w:rsidR="0012576F" w:rsidRPr="00693613">
        <w:rPr>
          <w:rFonts w:ascii="Times New Roman" w:hAnsi="Times New Roman"/>
          <w:color w:val="000000"/>
          <w:sz w:val="28"/>
          <w:szCs w:val="28"/>
          <w:lang w:val="ru-RU"/>
        </w:rPr>
        <w:t>сторон</w:t>
      </w:r>
      <w:r w:rsidR="00747443" w:rsidRPr="0069361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реализации программ ПДП.</w:t>
      </w:r>
    </w:p>
    <w:p w14:paraId="7C0BE506" w14:textId="299024F5" w:rsidR="00681C45" w:rsidRPr="00693613" w:rsidRDefault="00F32AE7" w:rsidP="006607B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lastRenderedPageBreak/>
        <w:t>Анализ рисков</w:t>
      </w:r>
    </w:p>
    <w:p w14:paraId="5B057944" w14:textId="6D7B558E" w:rsidR="00F32AE7" w:rsidRPr="00693613" w:rsidRDefault="00F32AE7" w:rsidP="006607B1">
      <w:pPr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>Анализ рисков – это процесс выявления рисков, оценки их вероятности и после</w:t>
      </w:r>
      <w:r w:rsidR="0012576F">
        <w:rPr>
          <w:rFonts w:ascii="Times New Roman" w:hAnsi="Times New Roman"/>
          <w:sz w:val="28"/>
          <w:szCs w:val="28"/>
          <w:lang w:val="ru-RU"/>
        </w:rPr>
        <w:t>дствий, а также разработки системы управления ими.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Риски необходимо учитывать на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протяжении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всего цикла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проекта, начиная с оценки ситуации, когда риски, и особенно риски мак</w:t>
      </w:r>
      <w:r w:rsidR="0012576F">
        <w:rPr>
          <w:rFonts w:ascii="Times New Roman" w:hAnsi="Times New Roman"/>
          <w:sz w:val="28"/>
          <w:szCs w:val="28"/>
          <w:lang w:val="ru-RU"/>
        </w:rPr>
        <w:t>ро-уровня, должны выявляться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в первую очередь.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Выявленные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риски будут </w:t>
      </w:r>
      <w:r w:rsidR="0012576F">
        <w:rPr>
          <w:rFonts w:ascii="Times New Roman" w:hAnsi="Times New Roman"/>
          <w:sz w:val="28"/>
          <w:szCs w:val="28"/>
          <w:lang w:val="ru-RU"/>
        </w:rPr>
        <w:t>впоследствии изучаться более подробно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на этапе анализа вариантов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реагирования</w:t>
      </w:r>
      <w:r w:rsidRPr="00693613">
        <w:rPr>
          <w:rFonts w:ascii="Times New Roman" w:hAnsi="Times New Roman"/>
          <w:sz w:val="28"/>
          <w:szCs w:val="28"/>
          <w:lang w:val="ru-RU"/>
        </w:rPr>
        <w:t>,</w:t>
      </w:r>
      <w:r w:rsidR="0012576F">
        <w:rPr>
          <w:rFonts w:ascii="Times New Roman" w:hAnsi="Times New Roman"/>
          <w:sz w:val="28"/>
          <w:szCs w:val="28"/>
          <w:lang w:val="ru-RU"/>
        </w:rPr>
        <w:t xml:space="preserve"> чтобы определить рентабельность ПДП и целесообразность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других вариантов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реагирования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. На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протяжении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всего этапа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="00A06A9B">
        <w:rPr>
          <w:rFonts w:ascii="Times New Roman" w:hAnsi="Times New Roman"/>
          <w:sz w:val="28"/>
          <w:szCs w:val="28"/>
          <w:lang w:val="ru-RU"/>
        </w:rPr>
        <w:t>грамм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 риски необходимо смягчать и отслеживать. </w:t>
      </w:r>
    </w:p>
    <w:p w14:paraId="17926E09" w14:textId="10689910" w:rsidR="00F32AE7" w:rsidRPr="00693613" w:rsidRDefault="00F32AE7" w:rsidP="006607B1">
      <w:pPr>
        <w:rPr>
          <w:rFonts w:ascii="Times New Roman" w:hAnsi="Times New Roman"/>
          <w:sz w:val="28"/>
          <w:szCs w:val="28"/>
          <w:lang w:val="ru-RU"/>
        </w:rPr>
      </w:pPr>
      <w:r w:rsidRPr="00693613">
        <w:rPr>
          <w:rFonts w:ascii="Times New Roman" w:hAnsi="Times New Roman"/>
          <w:sz w:val="28"/>
          <w:szCs w:val="28"/>
          <w:lang w:val="ru-RU"/>
        </w:rPr>
        <w:t xml:space="preserve">В числе инструментов, предлагаемых на данном этапе, </w:t>
      </w:r>
      <w:r w:rsidR="0012576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93613">
        <w:rPr>
          <w:rFonts w:ascii="Times New Roman" w:hAnsi="Times New Roman"/>
          <w:sz w:val="28"/>
          <w:szCs w:val="28"/>
          <w:lang w:val="ru-RU"/>
        </w:rPr>
        <w:t xml:space="preserve">дорожная карта, которая будет </w:t>
      </w:r>
      <w:r w:rsidR="0012576F">
        <w:rPr>
          <w:rFonts w:ascii="Times New Roman" w:hAnsi="Times New Roman"/>
          <w:sz w:val="28"/>
          <w:szCs w:val="28"/>
          <w:lang w:val="ru-RU"/>
        </w:rPr>
        <w:t>служ</w:t>
      </w:r>
      <w:r w:rsidR="0019315C">
        <w:rPr>
          <w:rFonts w:ascii="Times New Roman" w:hAnsi="Times New Roman"/>
          <w:sz w:val="28"/>
          <w:szCs w:val="28"/>
          <w:lang w:val="ru-RU"/>
        </w:rPr>
        <w:t>ить вам</w:t>
      </w:r>
      <w:r w:rsidR="00816205" w:rsidRPr="00693613">
        <w:rPr>
          <w:rFonts w:ascii="Times New Roman" w:hAnsi="Times New Roman"/>
          <w:sz w:val="28"/>
          <w:szCs w:val="28"/>
          <w:lang w:val="ru-RU"/>
        </w:rPr>
        <w:t xml:space="preserve"> руководством к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действию</w:t>
      </w:r>
      <w:r w:rsidR="00816205" w:rsidRPr="00693613">
        <w:rPr>
          <w:rFonts w:ascii="Times New Roman" w:hAnsi="Times New Roman"/>
          <w:sz w:val="28"/>
          <w:szCs w:val="28"/>
          <w:lang w:val="ru-RU"/>
        </w:rPr>
        <w:t xml:space="preserve"> на протяжении всего процесса анализа рисков, и может </w:t>
      </w:r>
      <w:r w:rsidR="0012576F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816205" w:rsidRPr="00693613">
        <w:rPr>
          <w:rFonts w:ascii="Times New Roman" w:hAnsi="Times New Roman"/>
          <w:sz w:val="28"/>
          <w:szCs w:val="28"/>
          <w:lang w:val="ru-RU"/>
        </w:rPr>
        <w:t>использовать</w:t>
      </w:r>
      <w:r w:rsidR="0012576F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816205" w:rsidRPr="00693613">
        <w:rPr>
          <w:rFonts w:ascii="Times New Roman" w:hAnsi="Times New Roman"/>
          <w:sz w:val="28"/>
          <w:szCs w:val="28"/>
          <w:lang w:val="ru-RU"/>
        </w:rPr>
        <w:t xml:space="preserve">на этапе анализа </w:t>
      </w:r>
      <w:r w:rsidR="0012576F" w:rsidRPr="00693613">
        <w:rPr>
          <w:rFonts w:ascii="Times New Roman" w:hAnsi="Times New Roman"/>
          <w:sz w:val="28"/>
          <w:szCs w:val="28"/>
          <w:lang w:val="ru-RU"/>
        </w:rPr>
        <w:t>вариантов</w:t>
      </w:r>
      <w:r w:rsidR="0012576F">
        <w:rPr>
          <w:rFonts w:ascii="Times New Roman" w:hAnsi="Times New Roman"/>
          <w:sz w:val="28"/>
          <w:szCs w:val="28"/>
          <w:lang w:val="ru-RU"/>
        </w:rPr>
        <w:t xml:space="preserve"> реагирования. Помимо этого, читателю будет </w:t>
      </w:r>
      <w:r w:rsidR="00816205" w:rsidRPr="00693613">
        <w:rPr>
          <w:rFonts w:ascii="Times New Roman" w:hAnsi="Times New Roman"/>
          <w:sz w:val="28"/>
          <w:szCs w:val="28"/>
          <w:lang w:val="ru-RU"/>
        </w:rPr>
        <w:t>предложен список кон</w:t>
      </w:r>
      <w:r w:rsidR="0012576F">
        <w:rPr>
          <w:rFonts w:ascii="Times New Roman" w:hAnsi="Times New Roman"/>
          <w:sz w:val="28"/>
          <w:szCs w:val="28"/>
          <w:lang w:val="ru-RU"/>
        </w:rPr>
        <w:t>трольных вопросов для выявления проблем, требующих решения</w:t>
      </w:r>
      <w:r w:rsidR="00816205" w:rsidRPr="00693613">
        <w:rPr>
          <w:rFonts w:ascii="Times New Roman" w:hAnsi="Times New Roman"/>
          <w:sz w:val="28"/>
          <w:szCs w:val="28"/>
          <w:lang w:val="ru-RU"/>
        </w:rPr>
        <w:t xml:space="preserve"> при определении рентабельности ПДП. </w:t>
      </w:r>
    </w:p>
    <w:p w14:paraId="5159EE22" w14:textId="652347B5" w:rsidR="00A14C63" w:rsidRPr="00693613" w:rsidRDefault="00A14C63" w:rsidP="006607B1">
      <w:pPr>
        <w:spacing w:after="360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C40D97" w:rsidRPr="00693613" w14:paraId="5ACCE316" w14:textId="77777777" w:rsidTr="00C40D97">
        <w:tc>
          <w:tcPr>
            <w:tcW w:w="9848" w:type="dxa"/>
          </w:tcPr>
          <w:p w14:paraId="305D5FC9" w14:textId="3BB4CEEC" w:rsidR="00C40D97" w:rsidRPr="00693613" w:rsidRDefault="005E5F7D" w:rsidP="00C40D97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3613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093060BD" w14:textId="07D11149" w:rsidR="00C40D97" w:rsidRPr="00693613" w:rsidRDefault="00C40D97" w:rsidP="00C40D97">
            <w:pPr>
              <w:pStyle w:val="RefItem1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proofErr w:type="spellStart"/>
            <w:r w:rsidRPr="001931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CaLP</w:t>
            </w:r>
            <w:proofErr w:type="spellEnd"/>
            <w:r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5E5F7D" w:rsidRPr="00693613">
              <w:rPr>
                <w:rFonts w:ascii="Times New Roman" w:hAnsi="Times New Roman"/>
                <w:sz w:val="28"/>
                <w:szCs w:val="28"/>
                <w:lang w:val="ru-RU"/>
              </w:rPr>
              <w:t>2013) Электронные переводы в условиях ЧС</w:t>
            </w:r>
            <w:r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5E5F7D"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руководящие указания в </w:t>
            </w:r>
            <w:r w:rsidR="00070C16" w:rsidRPr="00693613">
              <w:rPr>
                <w:rFonts w:ascii="Times New Roman" w:hAnsi="Times New Roman"/>
                <w:sz w:val="28"/>
                <w:szCs w:val="28"/>
                <w:lang w:val="ru-RU"/>
              </w:rPr>
              <w:t>поддержу</w:t>
            </w:r>
            <w:r w:rsidR="005E5F7D"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реализации программ </w:t>
            </w:r>
            <w:hyperlink r:id="rId10" w:history="1">
              <w:r w:rsidR="00B20606" w:rsidRPr="00693613">
                <w:rPr>
                  <w:rStyle w:val="af4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http://www.cashlearning.org/resources/library/390-e-transfers-in-emergencies-implementation-support-guideline</w:t>
              </w:r>
            </w:hyperlink>
          </w:p>
          <w:p w14:paraId="1FFBE769" w14:textId="30DA69AA" w:rsidR="00C40D97" w:rsidRPr="00693613" w:rsidRDefault="005E5F7D" w:rsidP="00C40D97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Всемирная продовольственная программа Примеры передового опыта – работа с поставщиками платежных услуг  </w:t>
            </w:r>
            <w:r w:rsidR="00C40D97"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B20606" w:rsidRPr="00693613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http://www.cashlearning.org/downloads/resources/tools/share-what-works-psp.pdf</w:t>
              </w:r>
            </w:hyperlink>
          </w:p>
          <w:p w14:paraId="660B4E6F" w14:textId="02170DE8" w:rsidR="00C40D97" w:rsidRPr="00693613" w:rsidRDefault="005E5F7D" w:rsidP="00C40D97">
            <w:pPr>
              <w:pStyle w:val="RefItem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bookmarkStart w:id="0" w:name="_GoBack"/>
            <w:proofErr w:type="spellStart"/>
            <w:r w:rsidRPr="001931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NetHope</w:t>
            </w:r>
            <w:bookmarkEnd w:id="0"/>
            <w:proofErr w:type="spellEnd"/>
            <w:r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107809" w:rsidRPr="00693613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</w:t>
            </w:r>
            <w:r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материалы по осуществлению электронных платежей</w:t>
            </w:r>
            <w:r w:rsidR="00C40D97" w:rsidRPr="006936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2" w:history="1">
              <w:r w:rsidR="00C40D97" w:rsidRPr="00693613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http://solutionscenter.nethope.org/toolkit/view/c2e-toolkit</w:t>
              </w:r>
            </w:hyperlink>
          </w:p>
        </w:tc>
      </w:tr>
    </w:tbl>
    <w:p w14:paraId="2BD79C2B" w14:textId="77777777" w:rsidR="008C3CDA" w:rsidRPr="00693613" w:rsidRDefault="008C3CDA" w:rsidP="00E769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8C3CDA" w:rsidRPr="00693613" w:rsidSect="00C40D9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0ACF2" w15:done="0"/>
  <w15:commentEx w15:paraId="532FAF7C" w15:done="0"/>
  <w15:commentEx w15:paraId="2B1D247C" w15:done="0"/>
  <w15:commentEx w15:paraId="408C9FB1" w15:done="0"/>
  <w15:commentEx w15:paraId="3564F032" w15:done="0"/>
  <w15:commentEx w15:paraId="244DCBEA" w15:done="0"/>
  <w15:commentEx w15:paraId="367F318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7C224" w14:textId="77777777" w:rsidR="00B7485F" w:rsidRDefault="00B7485F">
      <w:r>
        <w:separator/>
      </w:r>
    </w:p>
  </w:endnote>
  <w:endnote w:type="continuationSeparator" w:id="0">
    <w:p w14:paraId="13D9B56C" w14:textId="77777777" w:rsidR="00B7485F" w:rsidRDefault="00B7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0747" w14:textId="77777777" w:rsidR="00B7485F" w:rsidRPr="00B45C74" w:rsidRDefault="00B7485F" w:rsidP="00E64F2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9315C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EF30628" w14:textId="5542DF88" w:rsidR="00B7485F" w:rsidRPr="00B342C7" w:rsidRDefault="00B7485F" w:rsidP="00E64F25">
    <w:pPr>
      <w:pStyle w:val="ad"/>
      <w:rPr>
        <w:lang w:val="ru-RU"/>
      </w:rPr>
    </w:pPr>
    <w:r w:rsidRPr="00B342C7">
      <w:rPr>
        <w:b/>
        <w:lang w:val="ru-RU"/>
      </w:rPr>
      <w:t>Модуль 2.</w:t>
    </w:r>
    <w:r w:rsidRPr="00B342C7">
      <w:rPr>
        <w:lang w:val="ru-RU"/>
      </w:rPr>
      <w:t xml:space="preserve"> Раздел 4. Дорожная карта по вопросам анализа поставщиков услуг, организационных возможн</w:t>
    </w:r>
    <w:r>
      <w:rPr>
        <w:lang w:val="ru-RU"/>
      </w:rPr>
      <w:t>остей и рис</w:t>
    </w:r>
    <w:r w:rsidRPr="00B342C7">
      <w:rPr>
        <w:lang w:val="ru-RU"/>
      </w:rPr>
      <w:t>к</w:t>
    </w:r>
    <w:r>
      <w:rPr>
        <w:lang w:val="ru-RU"/>
      </w:rPr>
      <w:t>о</w:t>
    </w:r>
    <w:r w:rsidRPr="00B342C7">
      <w:rPr>
        <w:lang w:val="ru-RU"/>
      </w:rPr>
      <w:t xml:space="preserve">в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18BA" w14:textId="77777777" w:rsidR="00B7485F" w:rsidRPr="00B45C74" w:rsidRDefault="00B7485F" w:rsidP="00E64F2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9712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4F96D11" w14:textId="7DDC3CB2" w:rsidR="00B7485F" w:rsidRPr="00CD6EC7" w:rsidRDefault="00B7485F" w:rsidP="00E64F25">
    <w:pPr>
      <w:pStyle w:val="ad"/>
      <w:rPr>
        <w:lang w:val="ru-RU"/>
      </w:rPr>
    </w:pPr>
    <w:proofErr w:type="spellStart"/>
    <w:r>
      <w:rPr>
        <w:b/>
      </w:rPr>
      <w:t>Модуль</w:t>
    </w:r>
    <w:proofErr w:type="spellEnd"/>
    <w:r>
      <w:rPr>
        <w:b/>
      </w:rPr>
      <w:t xml:space="preserve"> 2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4</w:t>
    </w:r>
    <w:r w:rsidRPr="00107E15">
      <w:t>.</w:t>
    </w:r>
    <w:r>
      <w:t xml:space="preserve"> </w:t>
    </w:r>
    <w:r w:rsidRPr="00CD6EC7">
      <w:rPr>
        <w:lang w:val="ru-RU"/>
      </w:rPr>
      <w:t xml:space="preserve">Дорожная карта по вопросам оценки поставщиков услуг, организационных возможностей и рисков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6CBD" w14:textId="77777777" w:rsidR="00B7485F" w:rsidRDefault="00B7485F">
      <w:r>
        <w:separator/>
      </w:r>
    </w:p>
  </w:footnote>
  <w:footnote w:type="continuationSeparator" w:id="0">
    <w:p w14:paraId="620EB7AC" w14:textId="77777777" w:rsidR="00B7485F" w:rsidRDefault="00B748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9824" w14:textId="77777777" w:rsidR="00B7485F" w:rsidRPr="00074036" w:rsidRDefault="00B7485F" w:rsidP="00E64F25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6"/>
        <w:bCs/>
        <w:szCs w:val="16"/>
      </w:rPr>
      <w:t>I</w:t>
    </w:r>
    <w:r w:rsidRPr="009F6986">
      <w:rPr>
        <w:rStyle w:val="af6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061F" w14:textId="77777777" w:rsidR="00B7485F" w:rsidRDefault="00B7485F" w:rsidP="00E64F25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E68DA53" wp14:editId="078C642B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CCAB2" w14:textId="77777777" w:rsidR="00B7485F" w:rsidRDefault="00B7485F" w:rsidP="00E64F25">
    <w:pPr>
      <w:pStyle w:val="Header1"/>
    </w:pPr>
  </w:p>
  <w:p w14:paraId="1638FD09" w14:textId="77777777" w:rsidR="00B7485F" w:rsidRDefault="00B7485F" w:rsidP="00E64F25">
    <w:pPr>
      <w:pStyle w:val="ab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FEB7A12" wp14:editId="77B6E412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00B2D" w14:textId="77777777" w:rsidR="00B7485F" w:rsidRDefault="00B7485F" w:rsidP="00E64F25">
    <w:pPr>
      <w:pStyle w:val="ab"/>
      <w:spacing w:line="240" w:lineRule="auto"/>
      <w:rPr>
        <w:b/>
        <w:color w:val="DC281E"/>
        <w:sz w:val="24"/>
        <w:szCs w:val="24"/>
      </w:rPr>
    </w:pPr>
  </w:p>
  <w:p w14:paraId="50C98D12" w14:textId="77777777" w:rsidR="00B7485F" w:rsidRPr="00693613" w:rsidRDefault="00B7485F" w:rsidP="00E64F25">
    <w:pPr>
      <w:pStyle w:val="ab"/>
      <w:spacing w:line="240" w:lineRule="auto"/>
      <w:rPr>
        <w:b/>
        <w:color w:val="DC281E"/>
        <w:sz w:val="24"/>
        <w:szCs w:val="24"/>
        <w:lang w:val="ru-RU"/>
      </w:rPr>
    </w:pPr>
  </w:p>
  <w:p w14:paraId="5F35CF91" w14:textId="7F6417B5" w:rsidR="00B7485F" w:rsidRPr="00693613" w:rsidRDefault="00B7485F" w:rsidP="00E64F25">
    <w:pPr>
      <w:pStyle w:val="Header1"/>
      <w:rPr>
        <w:rFonts w:ascii="Arial Bold" w:hAnsi="Arial Bold"/>
        <w:color w:val="DC281E"/>
        <w:lang w:val="ru-RU"/>
      </w:rPr>
    </w:pPr>
    <w:r w:rsidRPr="00693613">
      <w:rPr>
        <w:rFonts w:ascii="Arial Bold" w:hAnsi="Arial Bold"/>
        <w:color w:val="DC281E"/>
        <w:lang w:val="ru-RU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B0E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6E5E6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EE48B2"/>
    <w:multiLevelType w:val="hybridMultilevel"/>
    <w:tmpl w:val="2E4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85528"/>
    <w:multiLevelType w:val="hybridMultilevel"/>
    <w:tmpl w:val="2D8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B831B4"/>
    <w:multiLevelType w:val="hybridMultilevel"/>
    <w:tmpl w:val="FDE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5"/>
  </w:num>
  <w:num w:numId="4">
    <w:abstractNumId w:val="29"/>
  </w:num>
  <w:num w:numId="5">
    <w:abstractNumId w:val="41"/>
  </w:num>
  <w:num w:numId="6">
    <w:abstractNumId w:val="4"/>
  </w:num>
  <w:num w:numId="7">
    <w:abstractNumId w:val="30"/>
  </w:num>
  <w:num w:numId="8">
    <w:abstractNumId w:val="18"/>
  </w:num>
  <w:num w:numId="9">
    <w:abstractNumId w:val="8"/>
  </w:num>
  <w:num w:numId="10">
    <w:abstractNumId w:val="25"/>
  </w:num>
  <w:num w:numId="11">
    <w:abstractNumId w:val="28"/>
  </w:num>
  <w:num w:numId="12">
    <w:abstractNumId w:val="6"/>
  </w:num>
  <w:num w:numId="13">
    <w:abstractNumId w:val="27"/>
  </w:num>
  <w:num w:numId="14">
    <w:abstractNumId w:val="2"/>
  </w:num>
  <w:num w:numId="15">
    <w:abstractNumId w:val="49"/>
  </w:num>
  <w:num w:numId="16">
    <w:abstractNumId w:val="34"/>
  </w:num>
  <w:num w:numId="17">
    <w:abstractNumId w:val="47"/>
  </w:num>
  <w:num w:numId="18">
    <w:abstractNumId w:val="21"/>
  </w:num>
  <w:num w:numId="19">
    <w:abstractNumId w:val="36"/>
  </w:num>
  <w:num w:numId="20">
    <w:abstractNumId w:val="15"/>
  </w:num>
  <w:num w:numId="21">
    <w:abstractNumId w:val="48"/>
  </w:num>
  <w:num w:numId="22">
    <w:abstractNumId w:val="23"/>
  </w:num>
  <w:num w:numId="23">
    <w:abstractNumId w:val="46"/>
  </w:num>
  <w:num w:numId="24">
    <w:abstractNumId w:val="16"/>
  </w:num>
  <w:num w:numId="25">
    <w:abstractNumId w:val="39"/>
  </w:num>
  <w:num w:numId="26">
    <w:abstractNumId w:val="14"/>
  </w:num>
  <w:num w:numId="27">
    <w:abstractNumId w:val="7"/>
  </w:num>
  <w:num w:numId="28">
    <w:abstractNumId w:val="13"/>
  </w:num>
  <w:num w:numId="29">
    <w:abstractNumId w:val="9"/>
  </w:num>
  <w:num w:numId="30">
    <w:abstractNumId w:val="10"/>
  </w:num>
  <w:num w:numId="31">
    <w:abstractNumId w:val="24"/>
  </w:num>
  <w:num w:numId="32">
    <w:abstractNumId w:val="3"/>
  </w:num>
  <w:num w:numId="33">
    <w:abstractNumId w:val="32"/>
  </w:num>
  <w:num w:numId="34">
    <w:abstractNumId w:val="11"/>
  </w:num>
  <w:num w:numId="35">
    <w:abstractNumId w:val="20"/>
  </w:num>
  <w:num w:numId="36">
    <w:abstractNumId w:val="44"/>
  </w:num>
  <w:num w:numId="37">
    <w:abstractNumId w:val="26"/>
  </w:num>
  <w:num w:numId="38">
    <w:abstractNumId w:val="22"/>
  </w:num>
  <w:num w:numId="39">
    <w:abstractNumId w:val="19"/>
  </w:num>
  <w:num w:numId="40">
    <w:abstractNumId w:val="45"/>
  </w:num>
  <w:num w:numId="41">
    <w:abstractNumId w:val="40"/>
  </w:num>
  <w:num w:numId="42">
    <w:abstractNumId w:val="33"/>
  </w:num>
  <w:num w:numId="43">
    <w:abstractNumId w:val="1"/>
  </w:num>
  <w:num w:numId="44">
    <w:abstractNumId w:val="0"/>
  </w:num>
  <w:num w:numId="45">
    <w:abstractNumId w:val="5"/>
  </w:num>
  <w:num w:numId="46">
    <w:abstractNumId w:val="31"/>
  </w:num>
  <w:num w:numId="47">
    <w:abstractNumId w:val="12"/>
  </w:num>
  <w:num w:numId="48">
    <w:abstractNumId w:val="37"/>
  </w:num>
  <w:num w:numId="49">
    <w:abstractNumId w:val="42"/>
  </w:num>
  <w:num w:numId="50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13AFC"/>
    <w:rsid w:val="000178A6"/>
    <w:rsid w:val="00020970"/>
    <w:rsid w:val="000341E7"/>
    <w:rsid w:val="000528C2"/>
    <w:rsid w:val="00063601"/>
    <w:rsid w:val="00063CB5"/>
    <w:rsid w:val="000649E7"/>
    <w:rsid w:val="00070C16"/>
    <w:rsid w:val="00071E6E"/>
    <w:rsid w:val="0008064F"/>
    <w:rsid w:val="00091ABB"/>
    <w:rsid w:val="000961E9"/>
    <w:rsid w:val="000B0222"/>
    <w:rsid w:val="000C652D"/>
    <w:rsid w:val="000E224B"/>
    <w:rsid w:val="000E6566"/>
    <w:rsid w:val="000E7426"/>
    <w:rsid w:val="000F4B6F"/>
    <w:rsid w:val="00107809"/>
    <w:rsid w:val="001116EB"/>
    <w:rsid w:val="00116194"/>
    <w:rsid w:val="00120D2C"/>
    <w:rsid w:val="0012576F"/>
    <w:rsid w:val="00136C29"/>
    <w:rsid w:val="001429EB"/>
    <w:rsid w:val="0015192D"/>
    <w:rsid w:val="00153A50"/>
    <w:rsid w:val="001579D0"/>
    <w:rsid w:val="001747FC"/>
    <w:rsid w:val="0018406F"/>
    <w:rsid w:val="0018509F"/>
    <w:rsid w:val="0019315C"/>
    <w:rsid w:val="001B386A"/>
    <w:rsid w:val="001C4DF9"/>
    <w:rsid w:val="001D4E36"/>
    <w:rsid w:val="001F4A45"/>
    <w:rsid w:val="00226218"/>
    <w:rsid w:val="00233F6F"/>
    <w:rsid w:val="00234CB3"/>
    <w:rsid w:val="002412A3"/>
    <w:rsid w:val="002451F9"/>
    <w:rsid w:val="00246601"/>
    <w:rsid w:val="00256F41"/>
    <w:rsid w:val="0025752B"/>
    <w:rsid w:val="00273676"/>
    <w:rsid w:val="002A76ED"/>
    <w:rsid w:val="002A7A1F"/>
    <w:rsid w:val="002B1145"/>
    <w:rsid w:val="002B6139"/>
    <w:rsid w:val="002C223B"/>
    <w:rsid w:val="002C3404"/>
    <w:rsid w:val="002C3865"/>
    <w:rsid w:val="002D3763"/>
    <w:rsid w:val="00310F7F"/>
    <w:rsid w:val="00351033"/>
    <w:rsid w:val="00360643"/>
    <w:rsid w:val="003731B5"/>
    <w:rsid w:val="003878C0"/>
    <w:rsid w:val="00387C2A"/>
    <w:rsid w:val="003A0055"/>
    <w:rsid w:val="003B2DBC"/>
    <w:rsid w:val="003D262A"/>
    <w:rsid w:val="003D3486"/>
    <w:rsid w:val="003D6541"/>
    <w:rsid w:val="003D668E"/>
    <w:rsid w:val="003F58F5"/>
    <w:rsid w:val="00401DCC"/>
    <w:rsid w:val="004041C4"/>
    <w:rsid w:val="00415457"/>
    <w:rsid w:val="00441194"/>
    <w:rsid w:val="00442EA7"/>
    <w:rsid w:val="00454DAB"/>
    <w:rsid w:val="0049199F"/>
    <w:rsid w:val="004A0CA4"/>
    <w:rsid w:val="004B6E87"/>
    <w:rsid w:val="004D4B93"/>
    <w:rsid w:val="004D55A0"/>
    <w:rsid w:val="004E61DC"/>
    <w:rsid w:val="004E6CD9"/>
    <w:rsid w:val="004F2AC8"/>
    <w:rsid w:val="00521DEF"/>
    <w:rsid w:val="00551FBB"/>
    <w:rsid w:val="0055348F"/>
    <w:rsid w:val="0059769B"/>
    <w:rsid w:val="005C26EE"/>
    <w:rsid w:val="005D29B1"/>
    <w:rsid w:val="005D631B"/>
    <w:rsid w:val="005E5F7D"/>
    <w:rsid w:val="00615FA5"/>
    <w:rsid w:val="006167CF"/>
    <w:rsid w:val="00617205"/>
    <w:rsid w:val="00624427"/>
    <w:rsid w:val="006327BB"/>
    <w:rsid w:val="00633266"/>
    <w:rsid w:val="006520DD"/>
    <w:rsid w:val="006607B1"/>
    <w:rsid w:val="00681C45"/>
    <w:rsid w:val="006875AB"/>
    <w:rsid w:val="00693613"/>
    <w:rsid w:val="006C434B"/>
    <w:rsid w:val="006C4773"/>
    <w:rsid w:val="006E099E"/>
    <w:rsid w:val="006F2ECC"/>
    <w:rsid w:val="006F569A"/>
    <w:rsid w:val="007165E1"/>
    <w:rsid w:val="00722B54"/>
    <w:rsid w:val="00722EC8"/>
    <w:rsid w:val="00740A95"/>
    <w:rsid w:val="00744744"/>
    <w:rsid w:val="00747443"/>
    <w:rsid w:val="00750F33"/>
    <w:rsid w:val="00754777"/>
    <w:rsid w:val="00764F22"/>
    <w:rsid w:val="00770BCD"/>
    <w:rsid w:val="007D2180"/>
    <w:rsid w:val="007E0454"/>
    <w:rsid w:val="007F5DC7"/>
    <w:rsid w:val="00801595"/>
    <w:rsid w:val="00806DE1"/>
    <w:rsid w:val="00816205"/>
    <w:rsid w:val="008217CD"/>
    <w:rsid w:val="00841937"/>
    <w:rsid w:val="00860381"/>
    <w:rsid w:val="00865F32"/>
    <w:rsid w:val="00866898"/>
    <w:rsid w:val="00867266"/>
    <w:rsid w:val="00867845"/>
    <w:rsid w:val="0087216E"/>
    <w:rsid w:val="008B2C14"/>
    <w:rsid w:val="008C3CDA"/>
    <w:rsid w:val="008D1CE2"/>
    <w:rsid w:val="008D23A6"/>
    <w:rsid w:val="008E6B0E"/>
    <w:rsid w:val="00901BDF"/>
    <w:rsid w:val="00903F5D"/>
    <w:rsid w:val="00915159"/>
    <w:rsid w:val="009165EF"/>
    <w:rsid w:val="00936FC9"/>
    <w:rsid w:val="009510D2"/>
    <w:rsid w:val="00952D24"/>
    <w:rsid w:val="009573A8"/>
    <w:rsid w:val="00964B8A"/>
    <w:rsid w:val="00973CD7"/>
    <w:rsid w:val="00975B4F"/>
    <w:rsid w:val="009A2228"/>
    <w:rsid w:val="009A55D8"/>
    <w:rsid w:val="009D1C7C"/>
    <w:rsid w:val="009E1DB2"/>
    <w:rsid w:val="009E383B"/>
    <w:rsid w:val="009E4609"/>
    <w:rsid w:val="009F0131"/>
    <w:rsid w:val="009F4B51"/>
    <w:rsid w:val="00A06A9B"/>
    <w:rsid w:val="00A14C63"/>
    <w:rsid w:val="00A22FB8"/>
    <w:rsid w:val="00A25A0C"/>
    <w:rsid w:val="00A44FA0"/>
    <w:rsid w:val="00A52A7E"/>
    <w:rsid w:val="00A60398"/>
    <w:rsid w:val="00A65DC3"/>
    <w:rsid w:val="00A80D09"/>
    <w:rsid w:val="00A942B0"/>
    <w:rsid w:val="00B05088"/>
    <w:rsid w:val="00B06399"/>
    <w:rsid w:val="00B20606"/>
    <w:rsid w:val="00B23B74"/>
    <w:rsid w:val="00B25A3D"/>
    <w:rsid w:val="00B30398"/>
    <w:rsid w:val="00B342C7"/>
    <w:rsid w:val="00B37586"/>
    <w:rsid w:val="00B43B9E"/>
    <w:rsid w:val="00B51158"/>
    <w:rsid w:val="00B6785E"/>
    <w:rsid w:val="00B7485F"/>
    <w:rsid w:val="00B80373"/>
    <w:rsid w:val="00B95393"/>
    <w:rsid w:val="00B96C5E"/>
    <w:rsid w:val="00B97128"/>
    <w:rsid w:val="00BB3322"/>
    <w:rsid w:val="00BB3842"/>
    <w:rsid w:val="00BB45B9"/>
    <w:rsid w:val="00BE2FB0"/>
    <w:rsid w:val="00BE5227"/>
    <w:rsid w:val="00BF245D"/>
    <w:rsid w:val="00BF256C"/>
    <w:rsid w:val="00C15A31"/>
    <w:rsid w:val="00C3147A"/>
    <w:rsid w:val="00C36277"/>
    <w:rsid w:val="00C40D97"/>
    <w:rsid w:val="00C53138"/>
    <w:rsid w:val="00C57695"/>
    <w:rsid w:val="00C6084E"/>
    <w:rsid w:val="00C66C49"/>
    <w:rsid w:val="00C83F9A"/>
    <w:rsid w:val="00C93AEE"/>
    <w:rsid w:val="00C93C39"/>
    <w:rsid w:val="00CB2033"/>
    <w:rsid w:val="00CC1B3B"/>
    <w:rsid w:val="00CC7D8C"/>
    <w:rsid w:val="00CD33FB"/>
    <w:rsid w:val="00CD6EC7"/>
    <w:rsid w:val="00CE1C9B"/>
    <w:rsid w:val="00D06CD4"/>
    <w:rsid w:val="00D13FF3"/>
    <w:rsid w:val="00D1687C"/>
    <w:rsid w:val="00D219FD"/>
    <w:rsid w:val="00D44268"/>
    <w:rsid w:val="00D47965"/>
    <w:rsid w:val="00D667DF"/>
    <w:rsid w:val="00D87B4B"/>
    <w:rsid w:val="00D90668"/>
    <w:rsid w:val="00D92E57"/>
    <w:rsid w:val="00D9309B"/>
    <w:rsid w:val="00DA3863"/>
    <w:rsid w:val="00DC511E"/>
    <w:rsid w:val="00DD6F56"/>
    <w:rsid w:val="00DE183D"/>
    <w:rsid w:val="00DF5B20"/>
    <w:rsid w:val="00E003E2"/>
    <w:rsid w:val="00E06727"/>
    <w:rsid w:val="00E14DDB"/>
    <w:rsid w:val="00E2049B"/>
    <w:rsid w:val="00E216FE"/>
    <w:rsid w:val="00E318BC"/>
    <w:rsid w:val="00E325B4"/>
    <w:rsid w:val="00E43BC1"/>
    <w:rsid w:val="00E57B52"/>
    <w:rsid w:val="00E62DCC"/>
    <w:rsid w:val="00E64F25"/>
    <w:rsid w:val="00E66677"/>
    <w:rsid w:val="00E66A9A"/>
    <w:rsid w:val="00E70A86"/>
    <w:rsid w:val="00E7267D"/>
    <w:rsid w:val="00E76995"/>
    <w:rsid w:val="00EA439C"/>
    <w:rsid w:val="00EB2A2D"/>
    <w:rsid w:val="00ED056D"/>
    <w:rsid w:val="00F00D42"/>
    <w:rsid w:val="00F12F33"/>
    <w:rsid w:val="00F22587"/>
    <w:rsid w:val="00F32AE7"/>
    <w:rsid w:val="00F46E8B"/>
    <w:rsid w:val="00F66194"/>
    <w:rsid w:val="00F717A9"/>
    <w:rsid w:val="00F7515B"/>
    <w:rsid w:val="00F75A6E"/>
    <w:rsid w:val="00FA62C2"/>
    <w:rsid w:val="00FA70C2"/>
    <w:rsid w:val="00FB4EA0"/>
    <w:rsid w:val="00FF4D86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087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87216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87216E"/>
  </w:style>
  <w:style w:type="paragraph" w:styleId="2">
    <w:name w:val="heading 2"/>
    <w:basedOn w:val="a"/>
    <w:next w:val="a"/>
    <w:link w:val="20"/>
    <w:uiPriority w:val="9"/>
    <w:unhideWhenUsed/>
    <w:qFormat/>
    <w:rsid w:val="0087216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7216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216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87216E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esto nota a piè di pagina Carattere"/>
    <w:basedOn w:val="a"/>
    <w:link w:val="a7"/>
    <w:uiPriority w:val="99"/>
    <w:unhideWhenUsed/>
    <w:rsid w:val="0087216E"/>
    <w:pPr>
      <w:spacing w:after="0"/>
    </w:pPr>
    <w:rPr>
      <w:sz w:val="16"/>
      <w:szCs w:val="22"/>
    </w:rPr>
  </w:style>
  <w:style w:type="character" w:customStyle="1" w:styleId="a7">
    <w:name w:val="Текст сноски Знак"/>
    <w:aliases w:val="Testo nota a piè di pagina Carattere Знак"/>
    <w:basedOn w:val="a0"/>
    <w:link w:val="a6"/>
    <w:uiPriority w:val="99"/>
    <w:rsid w:val="0087216E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87216E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87216E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8721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87216E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216E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87216E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87216E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87216E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8721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af">
    <w:name w:val="annotation text"/>
    <w:basedOn w:val="a"/>
    <w:link w:val="af0"/>
    <w:uiPriority w:val="99"/>
    <w:unhideWhenUsed/>
    <w:rsid w:val="00E14DDB"/>
    <w:rPr>
      <w:rFonts w:asciiTheme="minorHAnsi" w:hAnsiTheme="minorHAnsi"/>
    </w:rPr>
  </w:style>
  <w:style w:type="character" w:customStyle="1" w:styleId="af0">
    <w:name w:val="Текст комментария Знак"/>
    <w:basedOn w:val="a0"/>
    <w:link w:val="af"/>
    <w:uiPriority w:val="99"/>
    <w:rsid w:val="00E14DD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7216E"/>
    <w:rPr>
      <w:rFonts w:ascii="Arial" w:eastAsiaTheme="minorEastAsia" w:hAnsi="Arial" w:cs="Times New Roman"/>
      <w:b/>
      <w:sz w:val="40"/>
      <w:szCs w:val="52"/>
    </w:rPr>
  </w:style>
  <w:style w:type="character" w:styleId="af1">
    <w:name w:val="annotation reference"/>
    <w:basedOn w:val="a0"/>
    <w:uiPriority w:val="99"/>
    <w:unhideWhenUsed/>
    <w:rsid w:val="0087216E"/>
    <w:rPr>
      <w:sz w:val="18"/>
      <w:szCs w:val="18"/>
    </w:rPr>
  </w:style>
  <w:style w:type="paragraph" w:styleId="af2">
    <w:name w:val="annotation subject"/>
    <w:basedOn w:val="a"/>
    <w:link w:val="af3"/>
    <w:uiPriority w:val="99"/>
    <w:unhideWhenUsed/>
    <w:rsid w:val="0087216E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87216E"/>
    <w:rPr>
      <w:rFonts w:ascii="Arial" w:eastAsiaTheme="minorEastAsia" w:hAnsi="Arial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7216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unhideWhenUsed/>
    <w:rsid w:val="0087216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216E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87216E"/>
    <w:rPr>
      <w:rFonts w:ascii="Arial" w:eastAsiaTheme="minorEastAsia" w:hAnsi="Arial" w:cs="Times New Roman"/>
      <w:b/>
      <w:sz w:val="22"/>
    </w:rPr>
  </w:style>
  <w:style w:type="character" w:styleId="af6">
    <w:name w:val="page number"/>
    <w:basedOn w:val="a0"/>
    <w:uiPriority w:val="99"/>
    <w:unhideWhenUsed/>
    <w:rsid w:val="0087216E"/>
    <w:rPr>
      <w:b/>
    </w:rPr>
  </w:style>
  <w:style w:type="paragraph" w:styleId="af7">
    <w:name w:val="Revision"/>
    <w:hidden/>
    <w:uiPriority w:val="99"/>
    <w:semiHidden/>
    <w:rsid w:val="0087216E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87216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7216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7216E"/>
    <w:pPr>
      <w:numPr>
        <w:numId w:val="4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7216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7216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87216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7216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7216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87216E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87216E"/>
    <w:pPr>
      <w:numPr>
        <w:numId w:val="4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87216E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7216E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87216E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7216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7216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7216E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87216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87216E"/>
  </w:style>
  <w:style w:type="paragraph" w:styleId="2">
    <w:name w:val="heading 2"/>
    <w:basedOn w:val="a"/>
    <w:next w:val="a"/>
    <w:link w:val="20"/>
    <w:uiPriority w:val="9"/>
    <w:unhideWhenUsed/>
    <w:qFormat/>
    <w:rsid w:val="0087216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7216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216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87216E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esto nota a piè di pagina Carattere"/>
    <w:basedOn w:val="a"/>
    <w:link w:val="a7"/>
    <w:uiPriority w:val="99"/>
    <w:unhideWhenUsed/>
    <w:rsid w:val="0087216E"/>
    <w:pPr>
      <w:spacing w:after="0"/>
    </w:pPr>
    <w:rPr>
      <w:sz w:val="16"/>
      <w:szCs w:val="22"/>
    </w:rPr>
  </w:style>
  <w:style w:type="character" w:customStyle="1" w:styleId="a7">
    <w:name w:val="Текст сноски Знак"/>
    <w:aliases w:val="Testo nota a piè di pagina Carattere Знак"/>
    <w:basedOn w:val="a0"/>
    <w:link w:val="a6"/>
    <w:uiPriority w:val="99"/>
    <w:rsid w:val="0087216E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87216E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87216E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8721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87216E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216E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87216E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87216E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87216E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8721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af">
    <w:name w:val="annotation text"/>
    <w:basedOn w:val="a"/>
    <w:link w:val="af0"/>
    <w:uiPriority w:val="99"/>
    <w:unhideWhenUsed/>
    <w:rsid w:val="00E14DDB"/>
    <w:rPr>
      <w:rFonts w:asciiTheme="minorHAnsi" w:hAnsiTheme="minorHAnsi"/>
    </w:rPr>
  </w:style>
  <w:style w:type="character" w:customStyle="1" w:styleId="af0">
    <w:name w:val="Текст комментария Знак"/>
    <w:basedOn w:val="a0"/>
    <w:link w:val="af"/>
    <w:uiPriority w:val="99"/>
    <w:rsid w:val="00E14DD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7216E"/>
    <w:rPr>
      <w:rFonts w:ascii="Arial" w:eastAsiaTheme="minorEastAsia" w:hAnsi="Arial" w:cs="Times New Roman"/>
      <w:b/>
      <w:sz w:val="40"/>
      <w:szCs w:val="52"/>
    </w:rPr>
  </w:style>
  <w:style w:type="character" w:styleId="af1">
    <w:name w:val="annotation reference"/>
    <w:basedOn w:val="a0"/>
    <w:uiPriority w:val="99"/>
    <w:unhideWhenUsed/>
    <w:rsid w:val="0087216E"/>
    <w:rPr>
      <w:sz w:val="18"/>
      <w:szCs w:val="18"/>
    </w:rPr>
  </w:style>
  <w:style w:type="paragraph" w:styleId="af2">
    <w:name w:val="annotation subject"/>
    <w:basedOn w:val="a"/>
    <w:link w:val="af3"/>
    <w:uiPriority w:val="99"/>
    <w:unhideWhenUsed/>
    <w:rsid w:val="0087216E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87216E"/>
    <w:rPr>
      <w:rFonts w:ascii="Arial" w:eastAsiaTheme="minorEastAsia" w:hAnsi="Arial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7216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unhideWhenUsed/>
    <w:rsid w:val="0087216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216E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87216E"/>
    <w:rPr>
      <w:rFonts w:ascii="Arial" w:eastAsiaTheme="minorEastAsia" w:hAnsi="Arial" w:cs="Times New Roman"/>
      <w:b/>
      <w:sz w:val="22"/>
    </w:rPr>
  </w:style>
  <w:style w:type="character" w:styleId="af6">
    <w:name w:val="page number"/>
    <w:basedOn w:val="a0"/>
    <w:uiPriority w:val="99"/>
    <w:unhideWhenUsed/>
    <w:rsid w:val="0087216E"/>
    <w:rPr>
      <w:b/>
    </w:rPr>
  </w:style>
  <w:style w:type="paragraph" w:styleId="af7">
    <w:name w:val="Revision"/>
    <w:hidden/>
    <w:uiPriority w:val="99"/>
    <w:semiHidden/>
    <w:rsid w:val="0087216E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87216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7216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7216E"/>
    <w:pPr>
      <w:numPr>
        <w:numId w:val="4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7216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7216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87216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7216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7216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87216E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87216E"/>
    <w:pPr>
      <w:numPr>
        <w:numId w:val="4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87216E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7216E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87216E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7216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7216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7216E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people" Target="people.xml"/><Relationship Id="rId20" Type="http://schemas.microsoft.com/office/2011/relationships/commentsExtended" Target="commentsExtended.xml"/><Relationship Id="rId10" Type="http://schemas.openxmlformats.org/officeDocument/2006/relationships/hyperlink" Target="http://www.cashlearning.org/resources/library/390-e-transfers-in-emergencies-implementation-support-guideline" TargetMode="External"/><Relationship Id="rId11" Type="http://schemas.openxmlformats.org/officeDocument/2006/relationships/hyperlink" Target="http://www.cashlearning.org/downloads/resources/tools/share-what-works-psp.pdf" TargetMode="External"/><Relationship Id="rId12" Type="http://schemas.openxmlformats.org/officeDocument/2006/relationships/hyperlink" Target="http://solutionscenter.nethope.org/toolkit/view/c2e-toolk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218C2-94DA-D248-9C05-50E272D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187</TotalTime>
  <Pages>4</Pages>
  <Words>1152</Words>
  <Characters>6567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Мария</cp:lastModifiedBy>
  <cp:revision>117</cp:revision>
  <cp:lastPrinted>2015-09-25T15:11:00Z</cp:lastPrinted>
  <dcterms:created xsi:type="dcterms:W3CDTF">2015-06-03T12:13:00Z</dcterms:created>
  <dcterms:modified xsi:type="dcterms:W3CDTF">2017-04-09T18:48:00Z</dcterms:modified>
</cp:coreProperties>
</file>