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61B4" w:rsidRPr="009228D8" w:rsidRDefault="00880F72">
      <w:pPr>
        <w:pBdr>
          <w:bottom w:val="single" w:sz="12" w:space="1" w:color="auto"/>
        </w:pBdr>
        <w:spacing w:before="360" w:after="240"/>
        <w:jc w:val="left"/>
        <w:rPr>
          <w:b/>
          <w:sz w:val="40"/>
          <w:szCs w:val="40"/>
          <w:lang w:val="ru-RU"/>
        </w:rPr>
      </w:pPr>
      <w:bookmarkStart w:id="0" w:name="_gjdgxs" w:colFirst="0" w:colLast="0"/>
      <w:bookmarkEnd w:id="0"/>
      <w:r w:rsidRPr="009228D8">
        <w:rPr>
          <w:b/>
          <w:sz w:val="40"/>
          <w:szCs w:val="40"/>
          <w:lang w:val="ru-RU"/>
        </w:rPr>
        <w:t>Дорожная карт</w:t>
      </w:r>
      <w:r w:rsidR="009228D8">
        <w:rPr>
          <w:b/>
          <w:sz w:val="40"/>
          <w:szCs w:val="40"/>
          <w:lang w:val="ru-RU"/>
        </w:rPr>
        <w:t xml:space="preserve">а для подготовки и </w:t>
      </w:r>
      <w:r w:rsidR="00557DC4">
        <w:rPr>
          <w:b/>
          <w:sz w:val="40"/>
          <w:szCs w:val="40"/>
          <w:lang w:val="ru-RU"/>
        </w:rPr>
        <w:t>реализации</w:t>
      </w:r>
    </w:p>
    <w:p w:rsidR="002B61B4" w:rsidRPr="009228D8" w:rsidRDefault="00880F72">
      <w:pPr>
        <w:pStyle w:val="2"/>
        <w:rPr>
          <w:lang w:val="ru-RU"/>
        </w:rPr>
      </w:pPr>
      <w:r w:rsidRPr="009228D8">
        <w:rPr>
          <w:lang w:val="ru-RU"/>
        </w:rPr>
        <w:t>ВВЕДЕНИЕ</w:t>
      </w:r>
    </w:p>
    <w:p w:rsidR="002B61B4" w:rsidRPr="009228D8" w:rsidRDefault="00880F72">
      <w:pPr>
        <w:rPr>
          <w:lang w:val="ru-RU"/>
        </w:rPr>
      </w:pPr>
      <w:r w:rsidRPr="009228D8">
        <w:rPr>
          <w:lang w:val="ru-RU"/>
        </w:rPr>
        <w:t>После того как вы выбрали наиболее реалистичный и целесообразный вариант реагирования, вам потребуется организовать процесс и привести план в исполнение.  Процесс начинается с планирования программы реагирования, определения методов работы, выработки механизмов внутренне</w:t>
      </w:r>
      <w:r w:rsidR="00557DC4">
        <w:rPr>
          <w:lang w:val="ru-RU"/>
        </w:rPr>
        <w:t>го</w:t>
      </w:r>
      <w:r w:rsidRPr="009228D8">
        <w:rPr>
          <w:lang w:val="ru-RU"/>
        </w:rPr>
        <w:t xml:space="preserve"> и внешне</w:t>
      </w:r>
      <w:r w:rsidR="00557DC4">
        <w:rPr>
          <w:lang w:val="ru-RU"/>
        </w:rPr>
        <w:t>го</w:t>
      </w:r>
      <w:r w:rsidRPr="009228D8">
        <w:rPr>
          <w:lang w:val="ru-RU"/>
        </w:rPr>
        <w:t xml:space="preserve"> координ</w:t>
      </w:r>
      <w:r w:rsidR="00557DC4">
        <w:rPr>
          <w:lang w:val="ru-RU"/>
        </w:rPr>
        <w:t>ирования</w:t>
      </w:r>
      <w:r w:rsidRPr="009228D8">
        <w:rPr>
          <w:lang w:val="ru-RU"/>
        </w:rPr>
        <w:t xml:space="preserve">, а также методов </w:t>
      </w:r>
      <w:r w:rsidR="00FB1FAB">
        <w:rPr>
          <w:lang w:val="ru-RU"/>
        </w:rPr>
        <w:t>коммуникации с бенефициарами</w:t>
      </w:r>
      <w:r w:rsidRPr="009228D8">
        <w:rPr>
          <w:lang w:val="ru-RU"/>
        </w:rPr>
        <w:t xml:space="preserve">.  Фаза практической реализации включает в себя заключение договоров с поставщиками услуг, идентификацию и регистрацию бенефициаров, а также раздачу и обналичивание пособий.  </w:t>
      </w:r>
    </w:p>
    <w:p w:rsidR="002B61B4" w:rsidRPr="009228D8" w:rsidRDefault="00557DC4">
      <w:pPr>
        <w:rPr>
          <w:lang w:val="ru-RU"/>
        </w:rPr>
      </w:pPr>
      <w:r>
        <w:rPr>
          <w:lang w:val="ru-RU"/>
        </w:rPr>
        <w:t>В данных методических материалах «</w:t>
      </w:r>
      <w:r w:rsidR="00880F72" w:rsidRPr="009228D8">
        <w:rPr>
          <w:lang w:val="ru-RU"/>
        </w:rPr>
        <w:t>Денежные переводы в чрезвычайных ситуациях</w:t>
      </w:r>
      <w:r>
        <w:rPr>
          <w:lang w:val="ru-RU"/>
        </w:rPr>
        <w:t>»</w:t>
      </w:r>
      <w:r w:rsidR="00880F72" w:rsidRPr="009228D8">
        <w:rPr>
          <w:lang w:val="ru-RU"/>
        </w:rPr>
        <w:t xml:space="preserve"> процессы подготовки и практической реализации разделены на отдельные </w:t>
      </w:r>
      <w:r w:rsidR="00C6626F">
        <w:rPr>
          <w:lang w:val="ru-RU"/>
        </w:rPr>
        <w:t>разделы</w:t>
      </w:r>
      <w:r w:rsidR="00880F72" w:rsidRPr="009228D8">
        <w:rPr>
          <w:lang w:val="ru-RU"/>
        </w:rPr>
        <w:t xml:space="preserve"> и под</w:t>
      </w:r>
      <w:r w:rsidR="00C6626F">
        <w:rPr>
          <w:lang w:val="ru-RU"/>
        </w:rPr>
        <w:t>разделы</w:t>
      </w:r>
      <w:r w:rsidR="00880F72" w:rsidRPr="009228D8">
        <w:rPr>
          <w:lang w:val="ru-RU"/>
        </w:rPr>
        <w:t xml:space="preserve">.  Каждый </w:t>
      </w:r>
      <w:r w:rsidR="00C6626F">
        <w:rPr>
          <w:lang w:val="ru-RU"/>
        </w:rPr>
        <w:t>подраздел</w:t>
      </w:r>
      <w:r w:rsidR="00880F72" w:rsidRPr="009228D8">
        <w:rPr>
          <w:lang w:val="ru-RU"/>
        </w:rPr>
        <w:t xml:space="preserve"> связан </w:t>
      </w:r>
      <w:r>
        <w:rPr>
          <w:lang w:val="ru-RU"/>
        </w:rPr>
        <w:t xml:space="preserve">с инструментами, выбранными потому, </w:t>
      </w:r>
      <w:r w:rsidR="00880F72" w:rsidRPr="009228D8">
        <w:rPr>
          <w:lang w:val="ru-RU"/>
        </w:rPr>
        <w:t xml:space="preserve">что их можно адаптировать и использовать в различных ситуациях и программах денежных переводов, </w:t>
      </w:r>
      <w:r>
        <w:rPr>
          <w:lang w:val="ru-RU"/>
        </w:rPr>
        <w:t>проводимых</w:t>
      </w:r>
      <w:r w:rsidR="00880F72" w:rsidRPr="009228D8">
        <w:rPr>
          <w:lang w:val="ru-RU"/>
        </w:rPr>
        <w:t xml:space="preserve"> различными организациями.  Когда вы будете корректировать инструменты, чтобы </w:t>
      </w:r>
      <w:r w:rsidR="00FB1FAB">
        <w:rPr>
          <w:lang w:val="ru-RU"/>
        </w:rPr>
        <w:t>учесть</w:t>
      </w:r>
      <w:r w:rsidR="00880F72" w:rsidRPr="009228D8">
        <w:rPr>
          <w:lang w:val="ru-RU"/>
        </w:rPr>
        <w:t xml:space="preserve"> ваши условия и потребности, вы можете обращаться за руководством по организации и </w:t>
      </w:r>
      <w:r w:rsidR="00FB1FAB">
        <w:rPr>
          <w:lang w:val="ru-RU"/>
        </w:rPr>
        <w:t>практическому осуществлению</w:t>
      </w:r>
      <w:r w:rsidR="00880F72" w:rsidRPr="009228D8">
        <w:rPr>
          <w:lang w:val="ru-RU"/>
        </w:rPr>
        <w:t xml:space="preserve"> программ к справочным документам, предлагаемым и в модулях, и на уровне </w:t>
      </w:r>
      <w:r w:rsidR="00C6626F">
        <w:rPr>
          <w:lang w:val="ru-RU"/>
        </w:rPr>
        <w:t>разделов</w:t>
      </w:r>
      <w:r w:rsidR="00880F72" w:rsidRPr="009228D8">
        <w:rPr>
          <w:lang w:val="ru-RU"/>
        </w:rPr>
        <w:t>.</w:t>
      </w:r>
    </w:p>
    <w:p w:rsidR="002B61B4" w:rsidRPr="009228D8" w:rsidRDefault="00C6626F">
      <w:p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>Разделы</w:t>
      </w:r>
      <w:r w:rsidR="00880F72" w:rsidRPr="009228D8">
        <w:rPr>
          <w:lang w:val="ru-RU"/>
        </w:rPr>
        <w:t xml:space="preserve"> и под</w:t>
      </w:r>
      <w:r>
        <w:rPr>
          <w:lang w:val="ru-RU"/>
        </w:rPr>
        <w:t>разделы</w:t>
      </w:r>
      <w:r w:rsidR="00880F72" w:rsidRPr="009228D8">
        <w:rPr>
          <w:lang w:val="ru-RU"/>
        </w:rPr>
        <w:t xml:space="preserve"> являются ориентировочными и не обязательно идут в заявленном порядке.  Для достижения требуемых результатов вам может потребоваться забежать вперёд или вернуться назад.  Иногда, ввиду нехватки времени или ресурсов, что часто случается в чрезвычайных ситуациях, возможно, некоторые из предлагаемых </w:t>
      </w:r>
      <w:r>
        <w:rPr>
          <w:lang w:val="ru-RU"/>
        </w:rPr>
        <w:t>разделов</w:t>
      </w:r>
      <w:r w:rsidR="00880F72" w:rsidRPr="009228D8">
        <w:rPr>
          <w:lang w:val="ru-RU"/>
        </w:rPr>
        <w:t xml:space="preserve"> или под</w:t>
      </w:r>
      <w:r>
        <w:rPr>
          <w:lang w:val="ru-RU"/>
        </w:rPr>
        <w:t>разделов</w:t>
      </w:r>
      <w:r w:rsidR="00880F72" w:rsidRPr="009228D8">
        <w:rPr>
          <w:lang w:val="ru-RU"/>
        </w:rPr>
        <w:t xml:space="preserve"> придётся пропустить.  В любом случае вы должны соблюсти минимальные стандарты, установленные для мод</w:t>
      </w:r>
      <w:r w:rsidR="00FB1FAB">
        <w:rPr>
          <w:lang w:val="ru-RU"/>
        </w:rPr>
        <w:t>уля по подготовке и практическому исполнению</w:t>
      </w:r>
      <w:r w:rsidR="00880F72" w:rsidRPr="009228D8">
        <w:rPr>
          <w:lang w:val="ru-RU"/>
        </w:rPr>
        <w:t xml:space="preserve">.  Для каждого </w:t>
      </w:r>
      <w:r>
        <w:rPr>
          <w:lang w:val="ru-RU"/>
        </w:rPr>
        <w:t>раздела</w:t>
      </w:r>
      <w:r w:rsidR="00880F72" w:rsidRPr="009228D8">
        <w:rPr>
          <w:lang w:val="ru-RU"/>
        </w:rPr>
        <w:t xml:space="preserve"> установлены минимальные стандарты, которые помогут вам определить, на чём сосредоточить своё внимание.</w:t>
      </w:r>
    </w:p>
    <w:p w:rsidR="00FB1FAB" w:rsidRPr="009228D8" w:rsidRDefault="00FB1FAB">
      <w:pPr>
        <w:rPr>
          <w:b/>
          <w:smallCaps/>
          <w:sz w:val="24"/>
          <w:szCs w:val="24"/>
          <w:highlight w:val="white"/>
          <w:lang w:val="ru-RU"/>
        </w:rPr>
      </w:pPr>
    </w:p>
    <w:p w:rsidR="002B61B4" w:rsidRDefault="00880F72">
      <w:r>
        <w:rPr>
          <w:b/>
          <w:smallCaps/>
          <w:sz w:val="24"/>
          <w:szCs w:val="24"/>
          <w:highlight w:val="white"/>
        </w:rPr>
        <w:t>МИНИМАЛЬНЫЕ СТАНДАРТЫ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>Разработать детальный оперативный план действий, включающий логическую структуру и измеряемые индикаторы для каждого итога и результата.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>Определить роли и зоны ответственности в соответствии с СОП, а также по согласованию со сторонними ключевыми партнерами, включая правительство.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>Наладить внутренний координационный механизм</w:t>
      </w:r>
      <w:r>
        <w:rPr>
          <w:vertAlign w:val="superscript"/>
        </w:rPr>
        <w:footnoteReference w:id="1"/>
      </w:r>
      <w:r w:rsidRPr="009228D8">
        <w:rPr>
          <w:lang w:val="ru-RU"/>
        </w:rPr>
        <w:t>, чтобы каждый отдел был включён в процесс подготовки и практической реализации программы.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>Обеспечить участие в существующих механизмах внешне</w:t>
      </w:r>
      <w:r w:rsidR="00557DC4">
        <w:rPr>
          <w:lang w:val="ru-RU"/>
        </w:rPr>
        <w:t>го координирования,</w:t>
      </w:r>
      <w:r w:rsidRPr="009228D8">
        <w:rPr>
          <w:lang w:val="ru-RU"/>
        </w:rPr>
        <w:t xml:space="preserve"> чтобы согласовывать методы работы, избегать повторений и пропусков и обмениваться опытом.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 xml:space="preserve">Разработать систему </w:t>
      </w:r>
      <w:r w:rsidR="00FB1FAB">
        <w:rPr>
          <w:lang w:val="ru-RU"/>
        </w:rPr>
        <w:t>коммуникации с бенефициарами</w:t>
      </w:r>
      <w:r w:rsidRPr="009228D8">
        <w:rPr>
          <w:lang w:val="ru-RU"/>
        </w:rPr>
        <w:t xml:space="preserve"> и систему отчётности, чётко определить роли и зоны ответственности.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>При выборе поставщиков услуг и заключении с ними договоров привлекать специалистов по финансам и логистике, соблюдать общие для организации правила и условия заключения договоров.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 xml:space="preserve">Регистрировать только тех, кто имеет право получать денежную или неденежную помощь, убедиться, что процесс идентификации бенефициаров соответствует национальным </w:t>
      </w:r>
      <w:r w:rsidRPr="009228D8">
        <w:rPr>
          <w:lang w:val="ru-RU"/>
        </w:rPr>
        <w:lastRenderedPageBreak/>
        <w:t xml:space="preserve">финансовым нормам. 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 xml:space="preserve">При установлении личности </w:t>
      </w:r>
      <w:r w:rsidR="00FB1FAB">
        <w:rPr>
          <w:lang w:val="ru-RU"/>
        </w:rPr>
        <w:t>бенефициаров</w:t>
      </w:r>
      <w:r w:rsidRPr="009228D8">
        <w:rPr>
          <w:lang w:val="ru-RU"/>
        </w:rPr>
        <w:t xml:space="preserve"> хотя бы один удостоверяющий личность документ (например, удостоверение личности) должен соответствовать внутреннему инструменту для подтверждения личности (например, распределительные списки, карточки, </w:t>
      </w:r>
      <w:r>
        <w:t>SIM</w:t>
      </w:r>
      <w:r w:rsidRPr="009228D8">
        <w:rPr>
          <w:lang w:val="ru-RU"/>
        </w:rPr>
        <w:t>-карты).</w:t>
      </w:r>
    </w:p>
    <w:p w:rsidR="002B61B4" w:rsidRPr="009228D8" w:rsidRDefault="00880F72">
      <w:pPr>
        <w:numPr>
          <w:ilvl w:val="0"/>
          <w:numId w:val="1"/>
        </w:numPr>
        <w:spacing w:before="60"/>
        <w:ind w:hanging="360"/>
        <w:rPr>
          <w:lang w:val="ru-RU"/>
        </w:rPr>
      </w:pPr>
      <w:r w:rsidRPr="009228D8">
        <w:rPr>
          <w:lang w:val="ru-RU"/>
        </w:rPr>
        <w:t>Проверить на местном уровне, соответствуют ли планы по раздаче и обналичиванию расположению и ресурсам поставщиков услуг.</w:t>
      </w:r>
    </w:p>
    <w:p w:rsidR="002B61B4" w:rsidRPr="009228D8" w:rsidRDefault="00880F72">
      <w:pPr>
        <w:numPr>
          <w:ilvl w:val="0"/>
          <w:numId w:val="1"/>
        </w:numPr>
        <w:pBdr>
          <w:bottom w:val="single" w:sz="12" w:space="1" w:color="auto"/>
        </w:pBdr>
        <w:spacing w:before="60"/>
        <w:ind w:hanging="360"/>
        <w:rPr>
          <w:lang w:val="ru-RU"/>
        </w:rPr>
      </w:pPr>
      <w:r w:rsidRPr="009228D8">
        <w:rPr>
          <w:lang w:val="ru-RU"/>
        </w:rPr>
        <w:t>При реализации программы “Деньги за труд” убедиться, что условия работы соответствуют культурным традициям, физическим возможностям работников, а также что уровень оплаты труда соответствует местному законодательству.</w:t>
      </w:r>
    </w:p>
    <w:p w:rsidR="00FB1FAB" w:rsidRDefault="00FB1FAB">
      <w:pPr>
        <w:rPr>
          <w:b/>
          <w:smallCaps/>
          <w:sz w:val="24"/>
          <w:szCs w:val="24"/>
          <w:highlight w:val="white"/>
          <w:lang w:val="ru-RU"/>
        </w:rPr>
      </w:pPr>
    </w:p>
    <w:p w:rsidR="002B61B4" w:rsidRPr="009228D8" w:rsidRDefault="00C6626F">
      <w:pPr>
        <w:rPr>
          <w:lang w:val="ru-RU"/>
        </w:rPr>
      </w:pPr>
      <w:r>
        <w:rPr>
          <w:b/>
          <w:smallCaps/>
          <w:sz w:val="24"/>
          <w:szCs w:val="24"/>
          <w:highlight w:val="white"/>
          <w:lang w:val="ru-RU"/>
        </w:rPr>
        <w:t>РАЗДЕЛЫ</w:t>
      </w:r>
      <w:r w:rsidR="00880F72" w:rsidRPr="009228D8">
        <w:rPr>
          <w:b/>
          <w:smallCaps/>
          <w:sz w:val="24"/>
          <w:szCs w:val="24"/>
          <w:highlight w:val="white"/>
          <w:lang w:val="ru-RU"/>
        </w:rPr>
        <w:t xml:space="preserve"> И ПОД</w:t>
      </w:r>
      <w:r>
        <w:rPr>
          <w:b/>
          <w:smallCaps/>
          <w:sz w:val="24"/>
          <w:szCs w:val="24"/>
          <w:highlight w:val="white"/>
          <w:lang w:val="ru-RU"/>
        </w:rPr>
        <w:t>РАЗДЕЛЫ</w:t>
      </w:r>
    </w:p>
    <w:p w:rsidR="002B61B4" w:rsidRPr="009228D8" w:rsidRDefault="00880F72">
      <w:pPr>
        <w:rPr>
          <w:lang w:val="ru-RU"/>
        </w:rPr>
      </w:pPr>
      <w:r w:rsidRPr="009228D8">
        <w:rPr>
          <w:lang w:val="ru-RU"/>
        </w:rPr>
        <w:t xml:space="preserve">В </w:t>
      </w:r>
      <w:r w:rsidR="00557DC4">
        <w:rPr>
          <w:lang w:val="ru-RU"/>
        </w:rPr>
        <w:t>методических материалах</w:t>
      </w:r>
      <w:r w:rsidRPr="009228D8">
        <w:rPr>
          <w:lang w:val="ru-RU"/>
        </w:rPr>
        <w:t xml:space="preserve"> “Денежные переводы при ЧС” для подготовительной стадии и для стадии реализации программы действий при ЧС п</w:t>
      </w:r>
      <w:r w:rsidR="00557DC4">
        <w:rPr>
          <w:lang w:val="ru-RU"/>
        </w:rPr>
        <w:t xml:space="preserve">редлагаются пять шагов.  В этих материалах </w:t>
      </w:r>
      <w:r w:rsidRPr="009228D8">
        <w:rPr>
          <w:lang w:val="ru-RU"/>
        </w:rPr>
        <w:t>вы найдёте ресурсы, с помощью которых сможете:</w:t>
      </w:r>
    </w:p>
    <w:p w:rsidR="002B61B4" w:rsidRPr="009228D8" w:rsidRDefault="00880F72">
      <w:pPr>
        <w:rPr>
          <w:lang w:val="ru-RU"/>
        </w:rPr>
      </w:pPr>
      <w:r w:rsidRPr="009228D8">
        <w:rPr>
          <w:b/>
          <w:lang w:val="ru-RU"/>
        </w:rPr>
        <w:t xml:space="preserve">Подготовиться к </w:t>
      </w:r>
      <w:r w:rsidR="00557DC4">
        <w:rPr>
          <w:b/>
          <w:lang w:val="ru-RU"/>
        </w:rPr>
        <w:t xml:space="preserve">практической реализации </w:t>
      </w:r>
      <w:r w:rsidRPr="009228D8">
        <w:rPr>
          <w:b/>
          <w:lang w:val="ru-RU"/>
        </w:rPr>
        <w:t>программы</w:t>
      </w:r>
      <w:r w:rsidRPr="009228D8">
        <w:rPr>
          <w:lang w:val="ru-RU"/>
        </w:rPr>
        <w:t>, начиная от разработки продуманного плана действий с детальной проработкой общей стратегии, целей, с планом работы на местах, описанием ресурсов, затрат, а также ожидаемых итогов и результатов.  На этой стадии вам также следует установить чёткие системы внутренне</w:t>
      </w:r>
      <w:r w:rsidR="00FB1FAB">
        <w:rPr>
          <w:lang w:val="ru-RU"/>
        </w:rPr>
        <w:t>го</w:t>
      </w:r>
      <w:r w:rsidRPr="009228D8">
        <w:rPr>
          <w:lang w:val="ru-RU"/>
        </w:rPr>
        <w:t xml:space="preserve"> и внешне</w:t>
      </w:r>
      <w:r w:rsidR="00FB1FAB">
        <w:rPr>
          <w:lang w:val="ru-RU"/>
        </w:rPr>
        <w:t>го</w:t>
      </w:r>
      <w:r w:rsidRPr="009228D8">
        <w:rPr>
          <w:lang w:val="ru-RU"/>
        </w:rPr>
        <w:t xml:space="preserve"> координ</w:t>
      </w:r>
      <w:r w:rsidR="00FB1FAB">
        <w:rPr>
          <w:lang w:val="ru-RU"/>
        </w:rPr>
        <w:t>ирования</w:t>
      </w:r>
      <w:r w:rsidRPr="009228D8">
        <w:rPr>
          <w:lang w:val="ru-RU"/>
        </w:rPr>
        <w:t>.</w:t>
      </w:r>
    </w:p>
    <w:p w:rsidR="002B61B4" w:rsidRPr="009228D8" w:rsidRDefault="00880F72">
      <w:pPr>
        <w:rPr>
          <w:lang w:val="ru-RU"/>
        </w:rPr>
      </w:pPr>
      <w:r w:rsidRPr="009228D8">
        <w:rPr>
          <w:b/>
          <w:lang w:val="ru-RU"/>
        </w:rPr>
        <w:t>Наладить коммуникацию с бенефициарами и отчётность перед ними (КБО</w:t>
      </w:r>
      <w:r>
        <w:rPr>
          <w:b/>
          <w:vertAlign w:val="superscript"/>
        </w:rPr>
        <w:footnoteReference w:id="2"/>
      </w:r>
      <w:r w:rsidRPr="009228D8">
        <w:rPr>
          <w:b/>
          <w:lang w:val="ru-RU"/>
        </w:rPr>
        <w:t xml:space="preserve">). </w:t>
      </w:r>
      <w:r w:rsidRPr="009228D8">
        <w:rPr>
          <w:lang w:val="ru-RU"/>
        </w:rPr>
        <w:t>Опять же, процесс начинается с разработки плана, в котором определяют подход, который будет использоваться в программе для коммуникации с сообществами.  План должен включать в себя повышение квалификации персонала, выбор каналов и инструментов для коммуникации, разработку посланий для каждой отдельной целевой аудитории, а также разработку и наладку механизма обратной связи.  Частью КБО должны также стать процесс пересмотра и извлечение уроков из опыта, либо в качестве отдельных мероприятий, либо как часть общей ревизии программы.</w:t>
      </w:r>
    </w:p>
    <w:p w:rsidR="002B61B4" w:rsidRPr="009228D8" w:rsidRDefault="00880F72">
      <w:pPr>
        <w:rPr>
          <w:lang w:val="ru-RU"/>
        </w:rPr>
      </w:pPr>
      <w:r w:rsidRPr="009228D8">
        <w:rPr>
          <w:b/>
          <w:lang w:val="ru-RU"/>
        </w:rPr>
        <w:t xml:space="preserve">Выбрать поставщиков услуг и заключить договоры.  </w:t>
      </w:r>
      <w:r w:rsidRPr="009228D8">
        <w:rPr>
          <w:lang w:val="ru-RU"/>
        </w:rPr>
        <w:t xml:space="preserve">На этом этапе может потребоваться провести глубокий анализ, а персонал должен будет сотрудничать со специалистами по финансам и логистике.  Этот этап можно начинать уже на стадии предварительной оценки.  Кроме того, будет полезно воспользоваться имеющимся на этой стадии экспертным потенциалом.  Процесс включает в себя изучение компаний - поставщиков услуг, выбор потенциальных подрядчиков на основе установленных критериев, проведение тендеров и выбор, и, наконец, подписание договоров и определение методов работы с поставщиками услуг.  В течение всего этого </w:t>
      </w:r>
      <w:r w:rsidR="00C6626F">
        <w:rPr>
          <w:lang w:val="ru-RU"/>
        </w:rPr>
        <w:t>раздела</w:t>
      </w:r>
      <w:r w:rsidRPr="009228D8">
        <w:rPr>
          <w:lang w:val="ru-RU"/>
        </w:rPr>
        <w:t xml:space="preserve"> следует обратить внимание на важный вопрос обработки и защиты </w:t>
      </w:r>
      <w:r w:rsidR="00557DC4">
        <w:rPr>
          <w:lang w:val="ru-RU"/>
        </w:rPr>
        <w:t>персональных</w:t>
      </w:r>
      <w:r w:rsidRPr="009228D8">
        <w:rPr>
          <w:lang w:val="ru-RU"/>
        </w:rPr>
        <w:t xml:space="preserve"> данных бенефициаров, а также на потенциальные риски, с</w:t>
      </w:r>
      <w:r w:rsidR="00557DC4">
        <w:rPr>
          <w:lang w:val="ru-RU"/>
        </w:rPr>
        <w:t xml:space="preserve">вязанные с персональными данными </w:t>
      </w:r>
      <w:r w:rsidRPr="009228D8">
        <w:rPr>
          <w:lang w:val="ru-RU"/>
        </w:rPr>
        <w:t>бенефициаров, в том числе, мошенничество и злоупотребления.</w:t>
      </w:r>
      <w:bookmarkStart w:id="1" w:name="_GoBack"/>
      <w:bookmarkEnd w:id="1"/>
    </w:p>
    <w:p w:rsidR="002B61B4" w:rsidRPr="009228D8" w:rsidRDefault="00880F72">
      <w:pPr>
        <w:rPr>
          <w:lang w:val="ru-RU"/>
        </w:rPr>
      </w:pPr>
      <w:r w:rsidRPr="009228D8">
        <w:rPr>
          <w:b/>
          <w:lang w:val="ru-RU"/>
        </w:rPr>
        <w:t xml:space="preserve">Зарегистрировать и установить личности бенефициаров.  </w:t>
      </w:r>
      <w:r w:rsidRPr="009228D8">
        <w:rPr>
          <w:lang w:val="ru-RU"/>
        </w:rPr>
        <w:t>Эти два процесса тесно взаимосвязаны.  Именно в процессе регистрации создаётся связь между каждым бенефициаром и уникальным идентификатором.  Ключевые подготовительные меры, необходимые для обеспечения гладкого течения процесса регистрации, включают в себя:  определение ролей, зон ответственности и методов работы; определение типа и уровня собираемой информации; создание базы данных; создание регистрационных бланков; организацию регистрации.  В ходе распределение и выдачи денежных средств бенефициаров и/или их представителей</w:t>
      </w:r>
      <w:r>
        <w:rPr>
          <w:vertAlign w:val="superscript"/>
        </w:rPr>
        <w:footnoteReference w:id="3"/>
      </w:r>
      <w:r w:rsidRPr="009228D8">
        <w:rPr>
          <w:lang w:val="ru-RU"/>
        </w:rPr>
        <w:t xml:space="preserve"> нужно будет идентифицировать с помощью списков сообществ, удостоверений личности и других технологически возможных способов.  Благодаря этому будет возможно </w:t>
      </w:r>
      <w:r w:rsidR="00FB1FAB">
        <w:rPr>
          <w:lang w:val="ru-RU"/>
        </w:rPr>
        <w:t>убедиться</w:t>
      </w:r>
      <w:r w:rsidRPr="009228D8">
        <w:rPr>
          <w:lang w:val="ru-RU"/>
        </w:rPr>
        <w:t>, что лицо, явившееся для получения полагающейся ему помощи, действительно является зарегистрированным бенефициаром и/или его представителем.</w:t>
      </w:r>
    </w:p>
    <w:p w:rsidR="002B61B4" w:rsidRPr="009228D8" w:rsidRDefault="00880F72">
      <w:pPr>
        <w:rPr>
          <w:lang w:val="ru-RU"/>
        </w:rPr>
      </w:pPr>
      <w:r w:rsidRPr="009228D8">
        <w:rPr>
          <w:b/>
          <w:lang w:val="ru-RU"/>
        </w:rPr>
        <w:t xml:space="preserve">Провести раздачу и выплату денежных средств.  </w:t>
      </w:r>
      <w:r w:rsidRPr="009228D8">
        <w:rPr>
          <w:lang w:val="ru-RU"/>
        </w:rPr>
        <w:t xml:space="preserve">Хорошо зарекомендовавшим себя методом работы является обучение персонала и общение с сотрудниками, штатными или сотрудниками третьих сторон, непосредственно участвующими в процессе.  Методы раздачи и </w:t>
      </w:r>
      <w:r w:rsidR="00FB1FAB">
        <w:rPr>
          <w:lang w:val="ru-RU"/>
        </w:rPr>
        <w:t>обналичивания</w:t>
      </w:r>
      <w:r w:rsidRPr="009228D8">
        <w:rPr>
          <w:lang w:val="ru-RU"/>
        </w:rPr>
        <w:t xml:space="preserve"> должны основываться на СОП организации.  </w:t>
      </w:r>
      <w:r w:rsidR="00FB1FAB">
        <w:rPr>
          <w:lang w:val="ru-RU"/>
        </w:rPr>
        <w:t>Процесс раздачи и обналичивания</w:t>
      </w:r>
      <w:r w:rsidRPr="009228D8">
        <w:rPr>
          <w:lang w:val="ru-RU"/>
        </w:rPr>
        <w:t xml:space="preserve"> долж</w:t>
      </w:r>
      <w:r w:rsidR="00FB1FAB">
        <w:rPr>
          <w:lang w:val="ru-RU"/>
        </w:rPr>
        <w:t>ен</w:t>
      </w:r>
      <w:r w:rsidRPr="009228D8">
        <w:rPr>
          <w:lang w:val="ru-RU"/>
        </w:rPr>
        <w:t xml:space="preserve"> быть тщательно спланирован заранее при участии сообщества и участвующих в процессе третьих сторон.  </w:t>
      </w:r>
      <w:r w:rsidRPr="009228D8">
        <w:rPr>
          <w:lang w:val="ru-RU"/>
        </w:rPr>
        <w:lastRenderedPageBreak/>
        <w:t>Важно уважать достоинство бенефициаров, а также соблюдать местные традиции и культурные нормы.  Необходимые документы включают в себя списки и планы распределения помощи, одинаковые для неденежной и денежной помощи.  В случае неденежной помощи документация также включает в себя бланки заявок и накладные.  В программах денежных переводов (ПДП) документация включает первичные платежные поручения и отчёты по выплатам.  И для денежных, и для неденежных выплат обязательна выверка.  Выверка проводится с целью сведения баланса и прояснения расхождений.  Данные выверки собираются в течение всего срока программы и закрываются с окончанием операций, желательно, в течение недели после последней раздачи/выплаты.</w:t>
      </w:r>
    </w:p>
    <w:p w:rsidR="002B61B4" w:rsidRPr="009228D8" w:rsidRDefault="002B61B4">
      <w:pPr>
        <w:rPr>
          <w:lang w:val="ru-RU"/>
        </w:rPr>
      </w:pPr>
    </w:p>
    <w:tbl>
      <w:tblPr>
        <w:tblStyle w:val="a5"/>
        <w:tblW w:w="98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8"/>
      </w:tblGrid>
      <w:tr w:rsidR="002B61B4">
        <w:tc>
          <w:tcPr>
            <w:tcW w:w="9848" w:type="dxa"/>
          </w:tcPr>
          <w:p w:rsidR="002B61B4" w:rsidRPr="009228D8" w:rsidRDefault="00880F72">
            <w:pPr>
              <w:keepNext/>
              <w:keepLines/>
              <w:contextualSpacing w:val="0"/>
              <w:jc w:val="left"/>
              <w:rPr>
                <w:rFonts w:ascii="Arial" w:eastAsia="Arial" w:hAnsi="Arial" w:cs="Arial"/>
                <w:b/>
                <w:sz w:val="26"/>
                <w:szCs w:val="26"/>
                <w:lang w:val="ru-RU"/>
              </w:rPr>
            </w:pPr>
            <w:r w:rsidRPr="009228D8">
              <w:rPr>
                <w:rFonts w:ascii="Arial" w:eastAsia="Arial" w:hAnsi="Arial" w:cs="Arial"/>
                <w:b/>
                <w:sz w:val="26"/>
                <w:szCs w:val="26"/>
                <w:lang w:val="ru-RU"/>
              </w:rPr>
              <w:t>СПРАВОЧНЫЕ ДОКУМЕНТЫ</w:t>
            </w:r>
          </w:p>
          <w:p w:rsidR="002B61B4" w:rsidRDefault="00880F72">
            <w:pPr>
              <w:keepNext/>
              <w:keepLines/>
              <w:contextualSpacing w:val="0"/>
              <w:jc w:val="left"/>
              <w:rPr>
                <w:rFonts w:ascii="Arial" w:eastAsia="Arial" w:hAnsi="Arial" w:cs="Arial"/>
              </w:rPr>
            </w:pPr>
            <w:r w:rsidRPr="009228D8">
              <w:rPr>
                <w:rFonts w:ascii="Arial" w:eastAsia="Arial" w:hAnsi="Arial" w:cs="Arial"/>
                <w:lang w:val="ru-RU"/>
              </w:rPr>
              <w:t>Руководство для программ денежных переводов - Международное движение Красного Креста и Красного Полумесяца/</w:t>
            </w:r>
            <w:r>
              <w:rPr>
                <w:rFonts w:ascii="Arial" w:eastAsia="Arial" w:hAnsi="Arial" w:cs="Arial"/>
              </w:rPr>
              <w:t>Guidelines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Cash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Transfer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Programming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- </w:t>
            </w:r>
            <w:r>
              <w:rPr>
                <w:rFonts w:ascii="Arial" w:eastAsia="Arial" w:hAnsi="Arial" w:cs="Arial"/>
              </w:rPr>
              <w:t>International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Red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Cross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Red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Crescent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Movement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.  </w:t>
            </w: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http://www.ifrc.org/Global/Publications/disasters/finance/cash-guidelines-en.pdf</w:t>
              </w:r>
            </w:hyperlink>
          </w:p>
          <w:p w:rsidR="002B61B4" w:rsidRDefault="00880F72">
            <w:pPr>
              <w:keepNext/>
              <w:keepLines/>
              <w:contextualSpacing w:val="0"/>
              <w:jc w:val="left"/>
              <w:rPr>
                <w:rFonts w:ascii="Arial" w:eastAsia="Arial" w:hAnsi="Arial" w:cs="Arial"/>
              </w:rPr>
            </w:pPr>
            <w:r w:rsidRPr="009228D8">
              <w:rPr>
                <w:rFonts w:ascii="Arial" w:eastAsia="Arial" w:hAnsi="Arial" w:cs="Arial"/>
                <w:lang w:val="ru-RU"/>
              </w:rPr>
              <w:t xml:space="preserve">Проведение мероприятий с использованием денежных средств.  </w:t>
            </w:r>
            <w:r>
              <w:rPr>
                <w:rFonts w:ascii="Arial" w:eastAsia="Arial" w:hAnsi="Arial" w:cs="Arial"/>
              </w:rPr>
              <w:t xml:space="preserve">Борьба с голодом./Implementing Cash-Based Interventions. Action Contre la Faim (2007) </w:t>
            </w:r>
            <w:hyperlink r:id="rId8">
              <w:r>
                <w:rPr>
                  <w:rFonts w:ascii="Arial" w:eastAsia="Arial" w:hAnsi="Arial" w:cs="Arial"/>
                  <w:color w:val="0000FF"/>
                  <w:u w:val="single"/>
                </w:rPr>
                <w:t>http://www.actionagainsthunger.org.uk/resource-centre/online-library/detail/media/implementing-cash-based-interventions-a-guideline-for-aid-workers/</w:t>
              </w:r>
            </w:hyperlink>
          </w:p>
          <w:p w:rsidR="002B61B4" w:rsidRDefault="00880F72">
            <w:pPr>
              <w:keepNext/>
              <w:keepLines/>
              <w:contextualSpacing w:val="0"/>
              <w:jc w:val="left"/>
              <w:rPr>
                <w:rFonts w:ascii="Arial" w:eastAsia="Arial" w:hAnsi="Arial" w:cs="Arial"/>
              </w:rPr>
            </w:pPr>
            <w:r w:rsidRPr="009228D8">
              <w:rPr>
                <w:rFonts w:ascii="Arial" w:eastAsia="Arial" w:hAnsi="Arial" w:cs="Arial"/>
                <w:lang w:val="ru-RU"/>
              </w:rPr>
              <w:t>Руководство для операций с использованием наличных средств в Сомали/</w:t>
            </w:r>
            <w:r>
              <w:rPr>
                <w:rFonts w:ascii="Arial" w:eastAsia="Arial" w:hAnsi="Arial" w:cs="Arial"/>
              </w:rPr>
              <w:t>Guidelines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Cash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Interventions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Somalia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. </w:t>
            </w:r>
            <w:r>
              <w:rPr>
                <w:rFonts w:ascii="Arial" w:eastAsia="Arial" w:hAnsi="Arial" w:cs="Arial"/>
              </w:rPr>
              <w:t xml:space="preserve">Horn Relief (2010) </w:t>
            </w:r>
            <w:hyperlink r:id="rId9">
              <w:r>
                <w:rPr>
                  <w:rFonts w:ascii="Arial" w:eastAsia="Arial" w:hAnsi="Arial" w:cs="Arial"/>
                  <w:color w:val="0000FF"/>
                  <w:u w:val="single"/>
                </w:rPr>
                <w:t>http://www.adesoafrica.org/wp-content/uploads/2012/01/horn-relief-guidelines-for-cash-interventions-in-somalia-september-2010.pdf</w:t>
              </w:r>
            </w:hyperlink>
          </w:p>
          <w:p w:rsidR="002B61B4" w:rsidRDefault="00880F72">
            <w:pPr>
              <w:keepNext/>
              <w:keepLines/>
              <w:contextualSpacing w:val="0"/>
              <w:jc w:val="left"/>
              <w:rPr>
                <w:rFonts w:ascii="Arial" w:eastAsia="Arial" w:hAnsi="Arial" w:cs="Arial"/>
                <w:color w:val="0000FF"/>
                <w:u w:val="single"/>
              </w:rPr>
            </w:pPr>
            <w:r w:rsidRPr="009228D8">
              <w:rPr>
                <w:rFonts w:ascii="Arial" w:eastAsia="Arial" w:hAnsi="Arial" w:cs="Arial"/>
                <w:lang w:val="ru-RU"/>
              </w:rPr>
              <w:t xml:space="preserve">Обзор передовых методов работы:  Программы денежных переводов при чрезвычайных ситуациях.  </w:t>
            </w:r>
            <w:r>
              <w:rPr>
                <w:rFonts w:ascii="Arial" w:eastAsia="Arial" w:hAnsi="Arial" w:cs="Arial"/>
              </w:rPr>
              <w:t>Сеть гуманитарной работы./Good Practice Review: Cash Transfer Programming in Emergencies. Humanitarian Practice Network (2011)</w:t>
            </w:r>
            <w:hyperlink r:id="rId10">
              <w:r>
                <w:rPr>
                  <w:rFonts w:ascii="Arial" w:eastAsia="Arial" w:hAnsi="Arial" w:cs="Arial"/>
                  <w:color w:val="0000FF"/>
                  <w:u w:val="single"/>
                </w:rPr>
                <w:t>http://www.odihpn.org/documents%2Fgpr11.pdf</w:t>
              </w:r>
            </w:hyperlink>
          </w:p>
          <w:p w:rsidR="002B61B4" w:rsidRPr="009228D8" w:rsidRDefault="00880F72">
            <w:pPr>
              <w:contextualSpacing w:val="0"/>
              <w:jc w:val="left"/>
              <w:rPr>
                <w:color w:val="548DD4"/>
                <w:u w:val="single"/>
                <w:lang w:val="ru-RU"/>
              </w:rPr>
            </w:pPr>
            <w:r>
              <w:t xml:space="preserve"> УВКБООН (2015).  </w:t>
            </w:r>
            <w:r>
              <w:rPr>
                <w:i/>
              </w:rPr>
              <w:t>Руководство и набор инструментов для многоцелевых денежных субсидий. /</w:t>
            </w:r>
            <w:r>
              <w:t xml:space="preserve">UNHCR (2015) </w:t>
            </w:r>
            <w:r>
              <w:rPr>
                <w:i/>
              </w:rPr>
              <w:t>Operational Guidance and Toolkit for Multipurpose Cash Grants</w:t>
            </w:r>
            <w:r>
              <w:t xml:space="preserve">.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</w:t>
              </w:r>
              <w:r w:rsidRPr="009228D8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www</w:t>
              </w:r>
              <w:r w:rsidRPr="009228D8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cashlearning</w:t>
              </w:r>
              <w:r w:rsidRPr="009228D8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org</w:t>
              </w:r>
              <w:r w:rsidRPr="009228D8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mpg</w:t>
              </w:r>
              <w:r w:rsidRPr="009228D8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toolkit</w:t>
              </w:r>
              <w:r w:rsidRPr="009228D8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  <w:p w:rsidR="002B61B4" w:rsidRDefault="00880F72">
            <w:pPr>
              <w:contextualSpacing w:val="0"/>
              <w:jc w:val="left"/>
            </w:pPr>
            <w:r w:rsidRPr="009228D8">
              <w:rPr>
                <w:lang w:val="ru-RU"/>
              </w:rPr>
              <w:t xml:space="preserve"> Европейская комиссия по гуманитарной помощи </w:t>
            </w:r>
            <w:r>
              <w:t>ECHO</w:t>
            </w:r>
            <w:r w:rsidRPr="009228D8">
              <w:rPr>
                <w:lang w:val="ru-RU"/>
              </w:rPr>
              <w:t xml:space="preserve"> (2015) </w:t>
            </w:r>
            <w:r w:rsidRPr="009228D8">
              <w:rPr>
                <w:i/>
                <w:lang w:val="ru-RU"/>
              </w:rPr>
              <w:t>Общие принципы многоцелевой помощи, основанной на использовании денежных средств./</w:t>
            </w:r>
            <w:r>
              <w:t>ECHO</w:t>
            </w:r>
            <w:r w:rsidRPr="009228D8">
              <w:rPr>
                <w:lang w:val="ru-RU"/>
              </w:rPr>
              <w:t xml:space="preserve"> (2015) </w:t>
            </w:r>
            <w:r>
              <w:rPr>
                <w:i/>
              </w:rPr>
              <w:t>Common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Principles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for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Multi</w:t>
            </w:r>
            <w:r w:rsidRPr="009228D8">
              <w:rPr>
                <w:i/>
                <w:lang w:val="ru-RU"/>
              </w:rPr>
              <w:t>-</w:t>
            </w:r>
            <w:r>
              <w:rPr>
                <w:i/>
              </w:rPr>
              <w:t>Purpose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Cash</w:t>
            </w:r>
            <w:r w:rsidRPr="009228D8">
              <w:rPr>
                <w:i/>
                <w:lang w:val="ru-RU"/>
              </w:rPr>
              <w:t>-</w:t>
            </w:r>
            <w:r>
              <w:rPr>
                <w:i/>
              </w:rPr>
              <w:t>Based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Assistance</w:t>
            </w:r>
            <w:r w:rsidRPr="009228D8">
              <w:rPr>
                <w:lang w:val="ru-RU"/>
              </w:rPr>
              <w:t xml:space="preserve">. </w:t>
            </w:r>
            <w:hyperlink r:id="rId12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http://ec.europa.eu/echo/files/policies/sectoral/concept_paper_common_top_line_principles_en.pdf</w:t>
              </w:r>
            </w:hyperlink>
          </w:p>
          <w:p w:rsidR="002B61B4" w:rsidRPr="009228D8" w:rsidRDefault="00880F72">
            <w:pPr>
              <w:contextualSpacing w:val="0"/>
              <w:jc w:val="left"/>
              <w:rPr>
                <w:lang w:val="ru-RU"/>
              </w:rPr>
            </w:pPr>
            <w:r w:rsidRPr="009228D8">
              <w:rPr>
                <w:lang w:val="ru-RU"/>
              </w:rPr>
              <w:t xml:space="preserve">МККК (2016) </w:t>
            </w:r>
            <w:r w:rsidRPr="009228D8">
              <w:rPr>
                <w:i/>
                <w:lang w:val="ru-RU"/>
              </w:rPr>
              <w:t>Программа экономический безопасности.  Краткий обзор применения многоцелевых денежных пособий/</w:t>
            </w:r>
            <w:r>
              <w:t>ICRC</w:t>
            </w:r>
            <w:r w:rsidRPr="009228D8">
              <w:rPr>
                <w:lang w:val="ru-RU"/>
              </w:rPr>
              <w:t xml:space="preserve"> (2016) </w:t>
            </w:r>
            <w:r>
              <w:rPr>
                <w:i/>
              </w:rPr>
              <w:t>ECOSEC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Executive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Brief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on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Multi</w:t>
            </w:r>
            <w:r w:rsidRPr="009228D8">
              <w:rPr>
                <w:i/>
                <w:lang w:val="ru-RU"/>
              </w:rPr>
              <w:t>-</w:t>
            </w:r>
            <w:r>
              <w:rPr>
                <w:i/>
              </w:rPr>
              <w:t>Purpose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Cash</w:t>
            </w:r>
            <w:r w:rsidRPr="009228D8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Grants</w:t>
            </w:r>
            <w:r w:rsidRPr="009228D8">
              <w:rPr>
                <w:lang w:val="ru-RU"/>
              </w:rPr>
              <w:t>.</w:t>
            </w:r>
          </w:p>
          <w:p w:rsidR="002B61B4" w:rsidRDefault="00880F72">
            <w:pPr>
              <w:keepNext/>
              <w:keepLines/>
              <w:contextualSpacing w:val="0"/>
              <w:jc w:val="left"/>
              <w:rPr>
                <w:rFonts w:ascii="Arial" w:eastAsia="Arial" w:hAnsi="Arial" w:cs="Arial"/>
              </w:rPr>
            </w:pPr>
            <w:r w:rsidRPr="009228D8">
              <w:rPr>
                <w:rFonts w:ascii="Arial" w:eastAsia="Arial" w:hAnsi="Arial" w:cs="Arial"/>
                <w:i/>
                <w:lang w:val="ru-RU"/>
              </w:rPr>
              <w:t xml:space="preserve">УВКБООН (2015) Руководство по защите при операциях, использующих денежные средства/ </w:t>
            </w:r>
            <w:r>
              <w:rPr>
                <w:rFonts w:ascii="Arial" w:eastAsia="Arial" w:hAnsi="Arial" w:cs="Arial"/>
                <w:i/>
              </w:rPr>
              <w:t>UNHCR</w:t>
            </w:r>
            <w:r w:rsidRPr="009228D8">
              <w:rPr>
                <w:rFonts w:ascii="Arial" w:eastAsia="Arial" w:hAnsi="Arial" w:cs="Arial"/>
                <w:i/>
                <w:lang w:val="ru-RU"/>
              </w:rPr>
              <w:t xml:space="preserve"> (2015) </w:t>
            </w:r>
            <w:r>
              <w:rPr>
                <w:rFonts w:ascii="Arial" w:eastAsia="Arial" w:hAnsi="Arial" w:cs="Arial"/>
                <w:i/>
              </w:rPr>
              <w:t>Guide</w:t>
            </w:r>
            <w:r w:rsidRPr="009228D8">
              <w:rPr>
                <w:rFonts w:ascii="Arial" w:eastAsia="Arial" w:hAnsi="Arial" w:cs="Arial"/>
                <w:i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for</w:t>
            </w:r>
            <w:r w:rsidRPr="009228D8">
              <w:rPr>
                <w:rFonts w:ascii="Arial" w:eastAsia="Arial" w:hAnsi="Arial" w:cs="Arial"/>
                <w:i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Protection</w:t>
            </w:r>
            <w:r w:rsidRPr="009228D8">
              <w:rPr>
                <w:rFonts w:ascii="Arial" w:eastAsia="Arial" w:hAnsi="Arial" w:cs="Arial"/>
                <w:i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in</w:t>
            </w:r>
            <w:r w:rsidRPr="009228D8">
              <w:rPr>
                <w:rFonts w:ascii="Arial" w:eastAsia="Arial" w:hAnsi="Arial" w:cs="Arial"/>
                <w:i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Cash</w:t>
            </w:r>
            <w:r w:rsidRPr="009228D8">
              <w:rPr>
                <w:rFonts w:ascii="Arial" w:eastAsia="Arial" w:hAnsi="Arial" w:cs="Arial"/>
                <w:i/>
                <w:lang w:val="ru-RU"/>
              </w:rPr>
              <w:t>-</w:t>
            </w:r>
            <w:r>
              <w:rPr>
                <w:rFonts w:ascii="Arial" w:eastAsia="Arial" w:hAnsi="Arial" w:cs="Arial"/>
                <w:i/>
              </w:rPr>
              <w:t>based</w:t>
            </w:r>
            <w:r w:rsidRPr="009228D8">
              <w:rPr>
                <w:rFonts w:ascii="Arial" w:eastAsia="Arial" w:hAnsi="Arial" w:cs="Arial"/>
                <w:i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Interventions</w:t>
            </w:r>
            <w:r w:rsidRPr="009228D8">
              <w:rPr>
                <w:rFonts w:ascii="Arial" w:eastAsia="Arial" w:hAnsi="Arial" w:cs="Arial"/>
                <w:i/>
                <w:lang w:val="ru-RU"/>
              </w:rPr>
              <w:t xml:space="preserve">. </w:t>
            </w:r>
            <w:hyperlink r:id="rId13">
              <w:r>
                <w:rPr>
                  <w:rFonts w:ascii="Arial" w:eastAsia="Arial" w:hAnsi="Arial" w:cs="Arial"/>
                  <w:color w:val="0000FF"/>
                  <w:u w:val="single"/>
                </w:rPr>
                <w:t>http://www.cashlearning.org/downloads/erc-guide-for-protection-in-cash-based-interventions-web.pdf</w:t>
              </w:r>
            </w:hyperlink>
          </w:p>
          <w:p w:rsidR="002B61B4" w:rsidRDefault="00880F72">
            <w:pPr>
              <w:keepNext/>
              <w:keepLines/>
              <w:contextualSpacing w:val="0"/>
              <w:jc w:val="left"/>
              <w:rPr>
                <w:rFonts w:ascii="Arial" w:eastAsia="Arial" w:hAnsi="Arial" w:cs="Arial"/>
              </w:rPr>
            </w:pPr>
            <w:r w:rsidRPr="009228D8">
              <w:rPr>
                <w:rFonts w:ascii="Arial" w:eastAsia="Arial" w:hAnsi="Arial" w:cs="Arial"/>
                <w:lang w:val="ru-RU"/>
              </w:rPr>
              <w:t>МФОККиКП (2008) Руководство для аварийно-спасательных бригад по работе на местах./</w:t>
            </w:r>
            <w:r>
              <w:rPr>
                <w:rFonts w:ascii="Arial" w:eastAsia="Arial" w:hAnsi="Arial" w:cs="Arial"/>
              </w:rPr>
              <w:t>IFRC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(2008) </w:t>
            </w:r>
            <w:r>
              <w:rPr>
                <w:rFonts w:ascii="Arial" w:eastAsia="Arial" w:hAnsi="Arial" w:cs="Arial"/>
              </w:rPr>
              <w:t>Relief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ERU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field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manual</w:t>
            </w:r>
            <w:r w:rsidRPr="009228D8">
              <w:rPr>
                <w:rFonts w:ascii="Arial" w:eastAsia="Arial" w:hAnsi="Arial" w:cs="Arial"/>
                <w:lang w:val="ru-RU"/>
              </w:rPr>
              <w:t xml:space="preserve">. </w:t>
            </w:r>
            <w:hyperlink r:id="rId14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https://www-secure.ifrc.org/DMISII/Pages/03_response/0306_eru/030602_eru_relief/146900_relief%20ERU_EN_LR.pdf</w:t>
              </w:r>
            </w:hyperlink>
          </w:p>
        </w:tc>
      </w:tr>
    </w:tbl>
    <w:p w:rsidR="002B61B4" w:rsidRDefault="002B61B4">
      <w:pPr>
        <w:keepNext/>
        <w:keepLines/>
      </w:pPr>
    </w:p>
    <w:p w:rsidR="002B61B4" w:rsidRDefault="002B61B4">
      <w:pPr>
        <w:keepNext/>
        <w:keepLines/>
      </w:pPr>
    </w:p>
    <w:sectPr w:rsidR="002B61B4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4B" w:rsidRDefault="0084334B">
      <w:pPr>
        <w:spacing w:after="0"/>
      </w:pPr>
      <w:r>
        <w:separator/>
      </w:r>
    </w:p>
  </w:endnote>
  <w:endnote w:type="continuationSeparator" w:id="0">
    <w:p w:rsidR="0084334B" w:rsidRDefault="008433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B4" w:rsidRDefault="00880F72">
    <w:pPr>
      <w:tabs>
        <w:tab w:val="center" w:pos="4320"/>
        <w:tab w:val="right" w:pos="8640"/>
      </w:tabs>
      <w:spacing w:after="0"/>
      <w:jc w:val="right"/>
      <w:rPr>
        <w:b/>
        <w:color w:val="808080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 w:rsidR="00C6626F">
      <w:rPr>
        <w:noProof/>
      </w:rPr>
      <w:t>2</w:t>
    </w:r>
    <w:r>
      <w:fldChar w:fldCharType="end"/>
    </w:r>
  </w:p>
  <w:p w:rsidR="002B61B4" w:rsidRPr="009228D8" w:rsidRDefault="00880F72">
    <w:pPr>
      <w:spacing w:after="708"/>
      <w:jc w:val="left"/>
      <w:rPr>
        <w:sz w:val="16"/>
        <w:szCs w:val="16"/>
        <w:lang w:val="ru-RU"/>
      </w:rPr>
    </w:pPr>
    <w:r w:rsidRPr="009228D8">
      <w:rPr>
        <w:b/>
        <w:sz w:val="16"/>
        <w:szCs w:val="16"/>
        <w:lang w:val="ru-RU"/>
      </w:rPr>
      <w:t>Модуль 4.</w:t>
    </w:r>
    <w:r w:rsidRPr="009228D8">
      <w:rPr>
        <w:sz w:val="16"/>
        <w:szCs w:val="16"/>
        <w:lang w:val="ru-RU"/>
      </w:rPr>
      <w:t xml:space="preserve"> Дорожная карта для подготовки и практической реализации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B4" w:rsidRDefault="00880F72">
    <w:pPr>
      <w:tabs>
        <w:tab w:val="center" w:pos="4320"/>
        <w:tab w:val="right" w:pos="8640"/>
      </w:tabs>
      <w:spacing w:after="0"/>
      <w:jc w:val="right"/>
      <w:rPr>
        <w:b/>
        <w:color w:val="808080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 w:rsidR="00C6626F">
      <w:rPr>
        <w:noProof/>
      </w:rPr>
      <w:t>1</w:t>
    </w:r>
    <w:r>
      <w:fldChar w:fldCharType="end"/>
    </w:r>
  </w:p>
  <w:p w:rsidR="002B61B4" w:rsidRPr="009228D8" w:rsidRDefault="00880F72">
    <w:pPr>
      <w:spacing w:after="708"/>
      <w:jc w:val="left"/>
      <w:rPr>
        <w:sz w:val="16"/>
        <w:szCs w:val="16"/>
        <w:lang w:val="ru-RU"/>
      </w:rPr>
    </w:pPr>
    <w:r w:rsidRPr="009228D8">
      <w:rPr>
        <w:b/>
        <w:sz w:val="16"/>
        <w:szCs w:val="16"/>
        <w:lang w:val="ru-RU"/>
      </w:rPr>
      <w:t>Модуль 4.</w:t>
    </w:r>
    <w:r w:rsidRPr="009228D8">
      <w:rPr>
        <w:sz w:val="16"/>
        <w:szCs w:val="16"/>
        <w:lang w:val="ru-RU"/>
      </w:rPr>
      <w:t xml:space="preserve">  Дорожная карта для подготовки и практической реализации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4B" w:rsidRDefault="0084334B">
      <w:pPr>
        <w:spacing w:after="0"/>
      </w:pPr>
      <w:r>
        <w:separator/>
      </w:r>
    </w:p>
  </w:footnote>
  <w:footnote w:type="continuationSeparator" w:id="0">
    <w:p w:rsidR="0084334B" w:rsidRDefault="0084334B">
      <w:pPr>
        <w:spacing w:after="0"/>
      </w:pPr>
      <w:r>
        <w:continuationSeparator/>
      </w:r>
    </w:p>
  </w:footnote>
  <w:footnote w:id="1">
    <w:p w:rsidR="002B61B4" w:rsidRPr="009228D8" w:rsidRDefault="00880F72">
      <w:pPr>
        <w:spacing w:after="0"/>
        <w:rPr>
          <w:sz w:val="16"/>
          <w:szCs w:val="16"/>
          <w:lang w:val="ru-RU"/>
        </w:rPr>
      </w:pPr>
      <w:r>
        <w:rPr>
          <w:vertAlign w:val="superscript"/>
        </w:rPr>
        <w:footnoteRef/>
      </w:r>
      <w:r w:rsidRPr="009228D8">
        <w:rPr>
          <w:sz w:val="16"/>
          <w:szCs w:val="16"/>
          <w:lang w:val="ru-RU"/>
        </w:rPr>
        <w:t>Финансы - администрирование и логистика для процедурных вопросов, Менеджмент, в основном, для вопросов обеспечения безопасности.</w:t>
      </w:r>
    </w:p>
  </w:footnote>
  <w:footnote w:id="2">
    <w:p w:rsidR="002B61B4" w:rsidRPr="009228D8" w:rsidRDefault="00880F72">
      <w:pPr>
        <w:spacing w:after="0"/>
        <w:rPr>
          <w:sz w:val="16"/>
          <w:szCs w:val="16"/>
          <w:lang w:val="ru-RU"/>
        </w:rPr>
      </w:pPr>
      <w:r>
        <w:rPr>
          <w:vertAlign w:val="superscript"/>
        </w:rPr>
        <w:footnoteRef/>
      </w:r>
      <w:r w:rsidRPr="009228D8">
        <w:rPr>
          <w:sz w:val="16"/>
          <w:szCs w:val="16"/>
          <w:lang w:val="ru-RU"/>
        </w:rPr>
        <w:t xml:space="preserve"> Коммуникация с бенефициарами и отчётность.</w:t>
      </w:r>
    </w:p>
  </w:footnote>
  <w:footnote w:id="3">
    <w:p w:rsidR="002B61B4" w:rsidRPr="009228D8" w:rsidRDefault="00880F72">
      <w:pPr>
        <w:spacing w:after="0"/>
        <w:rPr>
          <w:sz w:val="16"/>
          <w:szCs w:val="16"/>
          <w:lang w:val="ru-RU"/>
        </w:rPr>
      </w:pPr>
      <w:r>
        <w:rPr>
          <w:vertAlign w:val="superscript"/>
        </w:rPr>
        <w:footnoteRef/>
      </w:r>
      <w:r w:rsidRPr="009228D8">
        <w:rPr>
          <w:sz w:val="16"/>
          <w:szCs w:val="16"/>
          <w:lang w:val="ru-RU"/>
        </w:rPr>
        <w:t xml:space="preserve"> Вы можете зарегистрировать одного представителя бенефициара или нескольких (например, члены семьи), которые смогут заменить бенефициара при раздаче/выплатах, если бенефициар не сможет присутствовать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B4" w:rsidRPr="009228D8" w:rsidRDefault="00880F72">
    <w:pPr>
      <w:spacing w:before="708" w:after="0" w:line="288" w:lineRule="auto"/>
      <w:jc w:val="left"/>
      <w:rPr>
        <w:sz w:val="16"/>
        <w:szCs w:val="16"/>
        <w:lang w:val="ru-RU"/>
      </w:rPr>
    </w:pPr>
    <w:r w:rsidRPr="009228D8">
      <w:rPr>
        <w:color w:val="DC281E"/>
        <w:sz w:val="16"/>
        <w:szCs w:val="16"/>
        <w:lang w:val="ru-RU"/>
      </w:rPr>
      <w:t xml:space="preserve">Международное движение Красного Креста и Красного Полумесяца </w:t>
    </w:r>
    <w:r>
      <w:rPr>
        <w:b/>
        <w:sz w:val="16"/>
        <w:szCs w:val="16"/>
      </w:rPr>
      <w:t>I</w:t>
    </w:r>
    <w:r w:rsidRPr="009228D8">
      <w:rPr>
        <w:b/>
        <w:sz w:val="16"/>
        <w:szCs w:val="16"/>
        <w:lang w:val="ru-RU"/>
      </w:rPr>
      <w:t xml:space="preserve"> Денежные переводы при чрезвычайных ситуациях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B4" w:rsidRDefault="00880F72">
    <w:pPr>
      <w:spacing w:before="708" w:after="0" w:line="288" w:lineRule="auto"/>
      <w:jc w:val="left"/>
      <w:rPr>
        <w:b/>
        <w:sz w:val="24"/>
        <w:szCs w:val="24"/>
      </w:rPr>
    </w:pPr>
    <w:r>
      <w:rPr>
        <w:noProof/>
        <w:lang w:val="ru-RU" w:eastAsia="ru-RU"/>
      </w:rPr>
      <w:drawing>
        <wp:inline distT="0" distB="0" distL="114300" distR="114300" wp14:anchorId="66490705" wp14:editId="1A9F4900">
          <wp:extent cx="633730" cy="719512"/>
          <wp:effectExtent l="0" t="0" r="0" b="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228D8">
      <w:rPr>
        <w:b/>
        <w:sz w:val="24"/>
        <w:szCs w:val="24"/>
        <w:lang w:val="ru-RU"/>
      </w:rPr>
      <w:t xml:space="preserve">                                    </w:t>
    </w:r>
    <w:r w:rsidR="009228D8">
      <w:rPr>
        <w:noProof/>
        <w:lang w:val="ru-RU" w:eastAsia="ru-RU"/>
      </w:rPr>
      <w:drawing>
        <wp:inline distT="0" distB="0" distL="114300" distR="114300" wp14:anchorId="6BC033FA" wp14:editId="4796F9C0">
          <wp:extent cx="3200400" cy="299867"/>
          <wp:effectExtent l="0" t="0" r="0" b="0"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61B4" w:rsidRDefault="002B61B4">
    <w:pPr>
      <w:spacing w:after="0" w:line="288" w:lineRule="auto"/>
      <w:jc w:val="left"/>
      <w:rPr>
        <w:b/>
        <w:sz w:val="24"/>
        <w:szCs w:val="24"/>
      </w:rPr>
    </w:pPr>
  </w:p>
  <w:p w:rsidR="002B61B4" w:rsidRDefault="00880F72">
    <w:pPr>
      <w:spacing w:after="0" w:line="288" w:lineRule="auto"/>
      <w:jc w:val="left"/>
      <w:rPr>
        <w:rFonts w:ascii="Arial Bold" w:eastAsia="Arial Bold" w:hAnsi="Arial Bold" w:cs="Arial Bold"/>
        <w:b/>
        <w:color w:val="DC281E"/>
        <w:sz w:val="24"/>
        <w:szCs w:val="24"/>
      </w:rPr>
    </w:pPr>
    <w:r>
      <w:rPr>
        <w:rFonts w:ascii="Arial Bold" w:eastAsia="Arial Bold" w:hAnsi="Arial Bold" w:cs="Arial Bold"/>
        <w:b/>
        <w:color w:val="DC281E"/>
        <w:sz w:val="24"/>
        <w:szCs w:val="24"/>
      </w:rPr>
      <w:t>Денежные переводы при чрезвычайных ситуациях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6C79"/>
    <w:multiLevelType w:val="multilevel"/>
    <w:tmpl w:val="430C9D4A"/>
    <w:lvl w:ilvl="0">
      <w:start w:val="1"/>
      <w:numFmt w:val="bullet"/>
      <w:lvlText w:val="☑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61B4"/>
    <w:rsid w:val="002B61B4"/>
    <w:rsid w:val="002D6033"/>
    <w:rsid w:val="004B0B54"/>
    <w:rsid w:val="00557DC4"/>
    <w:rsid w:val="0084334B"/>
    <w:rsid w:val="00880F72"/>
    <w:rsid w:val="009228D8"/>
    <w:rsid w:val="00C6626F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A09FE-B685-4121-92DC-2B4987C3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360" w:after="240"/>
      <w:jc w:val="left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pPr>
      <w:keepNext/>
      <w:spacing w:before="240" w:after="240"/>
      <w:jc w:val="left"/>
      <w:outlineLvl w:val="1"/>
    </w:pPr>
    <w:rPr>
      <w:b/>
      <w:smallCaps/>
      <w:sz w:val="24"/>
      <w:szCs w:val="24"/>
      <w:highlight w:val="white"/>
    </w:rPr>
  </w:style>
  <w:style w:type="paragraph" w:styleId="3">
    <w:name w:val="heading 3"/>
    <w:basedOn w:val="a"/>
    <w:next w:val="a"/>
    <w:pPr>
      <w:keepNext/>
      <w:spacing w:before="240"/>
      <w:jc w:val="left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contextualSpacing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D9D9"/>
    </w:tcPr>
  </w:style>
  <w:style w:type="paragraph" w:styleId="a6">
    <w:name w:val="Balloon Text"/>
    <w:basedOn w:val="a"/>
    <w:link w:val="a7"/>
    <w:uiPriority w:val="99"/>
    <w:semiHidden/>
    <w:unhideWhenUsed/>
    <w:rsid w:val="009228D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8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28D8"/>
    <w:pPr>
      <w:tabs>
        <w:tab w:val="center" w:pos="4680"/>
        <w:tab w:val="right" w:pos="9360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9228D8"/>
  </w:style>
  <w:style w:type="paragraph" w:styleId="aa">
    <w:name w:val="footer"/>
    <w:basedOn w:val="a"/>
    <w:link w:val="ab"/>
    <w:uiPriority w:val="99"/>
    <w:unhideWhenUsed/>
    <w:rsid w:val="009228D8"/>
    <w:pPr>
      <w:tabs>
        <w:tab w:val="center" w:pos="4680"/>
        <w:tab w:val="right" w:pos="9360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92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againsthunger.org.uk/resource-centre/online-library/detail/media/implementing-cash-based-interventions-a-guideline-for-aid-workers/" TargetMode="External"/><Relationship Id="rId13" Type="http://schemas.openxmlformats.org/officeDocument/2006/relationships/hyperlink" Target="http://www.cashlearning.org/downloads/erc-guide-for-protection-in-cash-based-interventions-we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frc.org/Global/Publications/disasters/finance/cash-guidelines-en.pdf" TargetMode="External"/><Relationship Id="rId12" Type="http://schemas.openxmlformats.org/officeDocument/2006/relationships/hyperlink" Target="http://ec.europa.eu/echo/files/policies/sectoral/concept_paper_common_top_line_principles_en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hlearning.org/mpg-toolk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dihpn.org/documents%2Fgpr1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tionagainsthunger.org.uk/resource-centre/online-library/detail/media/implementing-cash-based-interventions-a-guideline-for-aid-workers/" TargetMode="External"/><Relationship Id="rId14" Type="http://schemas.openxmlformats.org/officeDocument/2006/relationships/hyperlink" Target="https://www-secure.ifrc.org/DMISII/Pages/03_response/0306_eru/030602_eru_relief/146900_relief%20ERU_EN_LR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FORMIN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Mareta GAZIKOVA</cp:lastModifiedBy>
  <cp:revision>5</cp:revision>
  <dcterms:created xsi:type="dcterms:W3CDTF">2017-04-07T08:25:00Z</dcterms:created>
  <dcterms:modified xsi:type="dcterms:W3CDTF">2017-04-20T09:56:00Z</dcterms:modified>
</cp:coreProperties>
</file>