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735F" w14:textId="547E7F0F" w:rsidR="00B91BA9" w:rsidRDefault="00ED5CA8" w:rsidP="00AD51A4">
      <w:pPr>
        <w:pStyle w:val="H1"/>
      </w:pPr>
      <w:r>
        <w:t xml:space="preserve">Дорожная карта для подготовительного </w:t>
      </w:r>
      <w:r w:rsidR="0052491A">
        <w:t xml:space="preserve">раздела </w:t>
      </w:r>
      <w:r>
        <w:t>программы</w:t>
      </w:r>
    </w:p>
    <w:tbl>
      <w:tblPr>
        <w:tblStyle w:val="a5"/>
        <w:tblW w:w="0" w:type="auto"/>
        <w:tblLook w:val="04A0" w:firstRow="1" w:lastRow="0" w:firstColumn="1" w:lastColumn="0" w:noHBand="0" w:noVBand="1"/>
      </w:tblPr>
      <w:tblGrid>
        <w:gridCol w:w="1957"/>
        <w:gridCol w:w="2125"/>
        <w:gridCol w:w="1892"/>
        <w:gridCol w:w="1951"/>
        <w:gridCol w:w="1923"/>
      </w:tblGrid>
      <w:tr w:rsidR="005316EC" w:rsidRPr="005E1C6E" w14:paraId="266535D5" w14:textId="77777777" w:rsidTr="00376873">
        <w:tc>
          <w:tcPr>
            <w:tcW w:w="9848" w:type="dxa"/>
            <w:gridSpan w:val="5"/>
          </w:tcPr>
          <w:p w14:paraId="0CBC1458" w14:textId="184FED23" w:rsidR="005316EC" w:rsidRPr="005E1C6E" w:rsidRDefault="005316EC" w:rsidP="005316EC">
            <w:pPr>
              <w:pStyle w:val="2"/>
              <w:pBdr>
                <w:top w:val="none" w:sz="0" w:space="0" w:color="auto"/>
              </w:pBdr>
              <w:jc w:val="center"/>
              <w:outlineLvl w:val="1"/>
              <w:rPr>
                <w:sz w:val="20"/>
                <w:szCs w:val="20"/>
              </w:rPr>
            </w:pPr>
            <w:r w:rsidRPr="005E1C6E">
              <w:rPr>
                <w:sz w:val="20"/>
                <w:szCs w:val="20"/>
              </w:rPr>
              <w:t xml:space="preserve">ПОДГОТОВКА И </w:t>
            </w:r>
            <w:r>
              <w:rPr>
                <w:sz w:val="20"/>
                <w:szCs w:val="20"/>
              </w:rPr>
              <w:t>РЕАЛИЗАЦИЯ</w:t>
            </w:r>
          </w:p>
        </w:tc>
      </w:tr>
      <w:tr w:rsidR="005316EC" w:rsidRPr="005E1C6E" w14:paraId="418D7FFB" w14:textId="77777777" w:rsidTr="00376873">
        <w:tc>
          <w:tcPr>
            <w:tcW w:w="1957" w:type="dxa"/>
          </w:tcPr>
          <w:p w14:paraId="13CEF942" w14:textId="77777777" w:rsidR="005316EC" w:rsidRPr="005E1C6E" w:rsidRDefault="005316EC" w:rsidP="00376873">
            <w:pPr>
              <w:pStyle w:val="NormalNo"/>
              <w:tabs>
                <w:tab w:val="left" w:pos="435"/>
              </w:tabs>
              <w:ind w:left="142" w:hanging="11"/>
              <w:rPr>
                <w:sz w:val="20"/>
              </w:rPr>
            </w:pPr>
            <w:r w:rsidRPr="005E1C6E">
              <w:rPr>
                <w:sz w:val="20"/>
              </w:rPr>
              <w:t>Подготовка программы</w:t>
            </w:r>
          </w:p>
        </w:tc>
        <w:tc>
          <w:tcPr>
            <w:tcW w:w="2125" w:type="dxa"/>
          </w:tcPr>
          <w:p w14:paraId="063D1A65" w14:textId="77777777" w:rsidR="005316EC" w:rsidRPr="005E1C6E" w:rsidRDefault="005316EC" w:rsidP="00376873">
            <w:pPr>
              <w:pStyle w:val="NormalNo"/>
              <w:tabs>
                <w:tab w:val="left" w:pos="386"/>
              </w:tabs>
              <w:ind w:left="103" w:hanging="50"/>
              <w:rPr>
                <w:sz w:val="20"/>
              </w:rPr>
            </w:pPr>
            <w:r w:rsidRPr="005E1C6E">
              <w:rPr>
                <w:sz w:val="20"/>
              </w:rPr>
              <w:t>Коммуникация с бенефициарами и отчётность</w:t>
            </w:r>
          </w:p>
        </w:tc>
        <w:tc>
          <w:tcPr>
            <w:tcW w:w="1892" w:type="dxa"/>
          </w:tcPr>
          <w:p w14:paraId="712A37C1" w14:textId="77777777" w:rsidR="005316EC" w:rsidRPr="005E1C6E" w:rsidRDefault="005316EC" w:rsidP="00376873">
            <w:pPr>
              <w:pStyle w:val="NormalNo"/>
              <w:tabs>
                <w:tab w:val="left" w:pos="381"/>
              </w:tabs>
              <w:ind w:left="103" w:hanging="50"/>
            </w:pPr>
            <w:r w:rsidRPr="005E1C6E">
              <w:rPr>
                <w:sz w:val="20"/>
              </w:rPr>
              <w:t xml:space="preserve">Договоры </w:t>
            </w:r>
            <w:r>
              <w:rPr>
                <w:sz w:val="20"/>
              </w:rPr>
              <w:t>с поставщиками услуг</w:t>
            </w:r>
          </w:p>
        </w:tc>
        <w:tc>
          <w:tcPr>
            <w:tcW w:w="1951" w:type="dxa"/>
          </w:tcPr>
          <w:p w14:paraId="7BA9E79D" w14:textId="77777777" w:rsidR="005316EC" w:rsidRPr="005E1C6E" w:rsidRDefault="005316EC" w:rsidP="00376873">
            <w:pPr>
              <w:pStyle w:val="NormalNo"/>
              <w:tabs>
                <w:tab w:val="left" w:pos="386"/>
              </w:tabs>
              <w:ind w:left="103" w:hanging="50"/>
            </w:pPr>
            <w:r>
              <w:rPr>
                <w:sz w:val="20"/>
              </w:rPr>
              <w:t>Регистрация и идентификация</w:t>
            </w:r>
          </w:p>
        </w:tc>
        <w:tc>
          <w:tcPr>
            <w:tcW w:w="1923" w:type="dxa"/>
          </w:tcPr>
          <w:p w14:paraId="40275FA8" w14:textId="77777777" w:rsidR="005316EC" w:rsidRPr="005E1C6E" w:rsidRDefault="005316EC" w:rsidP="00376873">
            <w:pPr>
              <w:pStyle w:val="NormalNo"/>
              <w:tabs>
                <w:tab w:val="left" w:pos="386"/>
              </w:tabs>
              <w:ind w:left="103" w:hanging="50"/>
            </w:pPr>
            <w:r w:rsidRPr="005E1C6E">
              <w:rPr>
                <w:sz w:val="20"/>
              </w:rPr>
              <w:t>Раздача и обналичивание</w:t>
            </w:r>
          </w:p>
        </w:tc>
      </w:tr>
      <w:tr w:rsidR="005316EC" w:rsidRPr="005E1C6E" w14:paraId="1815CEF6" w14:textId="77777777" w:rsidTr="005316EC">
        <w:tc>
          <w:tcPr>
            <w:tcW w:w="1957" w:type="dxa"/>
            <w:shd w:val="clear" w:color="auto" w:fill="C6D9F1" w:themeFill="text2" w:themeFillTint="33"/>
          </w:tcPr>
          <w:p w14:paraId="6C7392C1" w14:textId="77777777" w:rsidR="005316EC" w:rsidRDefault="005316EC" w:rsidP="00376873">
            <w:pPr>
              <w:jc w:val="left"/>
            </w:pPr>
            <w:r>
              <w:t>.1 Разработать оперативный план ПДП</w:t>
            </w:r>
          </w:p>
          <w:p w14:paraId="28D1D666" w14:textId="6D54936A" w:rsidR="005316EC" w:rsidRDefault="005316EC" w:rsidP="00376873">
            <w:pPr>
              <w:jc w:val="left"/>
            </w:pPr>
            <w:r>
              <w:t>.2 Внутреннее координирование</w:t>
            </w:r>
          </w:p>
          <w:p w14:paraId="151ACA45" w14:textId="7CD280F1" w:rsidR="005316EC" w:rsidRPr="005E1C6E" w:rsidRDefault="005316EC" w:rsidP="005316EC">
            <w:pPr>
              <w:jc w:val="left"/>
            </w:pPr>
            <w:r>
              <w:t>.3 Координирование с другими организациями</w:t>
            </w:r>
          </w:p>
        </w:tc>
        <w:tc>
          <w:tcPr>
            <w:tcW w:w="2125" w:type="dxa"/>
            <w:shd w:val="clear" w:color="auto" w:fill="auto"/>
          </w:tcPr>
          <w:p w14:paraId="3FCE69EC" w14:textId="77777777" w:rsidR="005316EC" w:rsidRDefault="005316EC" w:rsidP="00376873">
            <w:pPr>
              <w:jc w:val="left"/>
            </w:pPr>
            <w:r w:rsidRPr="005E1C6E">
              <w:t xml:space="preserve">.1 </w:t>
            </w:r>
            <w:r>
              <w:t>Разработать план КБО</w:t>
            </w:r>
          </w:p>
          <w:p w14:paraId="6CC246B1" w14:textId="77777777" w:rsidR="005316EC" w:rsidRDefault="005316EC" w:rsidP="00376873">
            <w:pPr>
              <w:jc w:val="left"/>
            </w:pPr>
            <w:r>
              <w:t>.2 Повысить квалификацию персонала</w:t>
            </w:r>
          </w:p>
          <w:p w14:paraId="741EEAD6" w14:textId="77777777" w:rsidR="005316EC" w:rsidRDefault="005316EC" w:rsidP="00376873">
            <w:pPr>
              <w:jc w:val="left"/>
            </w:pPr>
            <w:r>
              <w:t>.3 Выбрать каналы и инструменты коммуникации</w:t>
            </w:r>
          </w:p>
          <w:p w14:paraId="6123FB37" w14:textId="77777777" w:rsidR="005316EC" w:rsidRDefault="005316EC" w:rsidP="00376873">
            <w:pPr>
              <w:jc w:val="left"/>
            </w:pPr>
            <w:r>
              <w:t>.4 Разработать послания для целевых аудиторий</w:t>
            </w:r>
          </w:p>
          <w:p w14:paraId="3C696757" w14:textId="77777777" w:rsidR="005316EC" w:rsidRDefault="005316EC" w:rsidP="00376873">
            <w:pPr>
              <w:jc w:val="left"/>
            </w:pPr>
            <w:r>
              <w:t>.5 Разработать механизм для подачи отзывов и жалоб</w:t>
            </w:r>
          </w:p>
          <w:p w14:paraId="32AE3FD6" w14:textId="77777777" w:rsidR="005316EC" w:rsidRPr="005E1C6E" w:rsidRDefault="005316EC" w:rsidP="00376873">
            <w:pPr>
              <w:jc w:val="left"/>
            </w:pPr>
            <w:r>
              <w:t>.6 Ревизия и извлечение уроков</w:t>
            </w:r>
          </w:p>
        </w:tc>
        <w:tc>
          <w:tcPr>
            <w:tcW w:w="1892" w:type="dxa"/>
          </w:tcPr>
          <w:p w14:paraId="61D3B64D" w14:textId="77777777" w:rsidR="005316EC" w:rsidRDefault="005316EC" w:rsidP="00376873">
            <w:pPr>
              <w:jc w:val="left"/>
            </w:pPr>
            <w:r>
              <w:t>.1 Провести исследование потенциальных поставщиков услуг</w:t>
            </w:r>
          </w:p>
          <w:p w14:paraId="1205A5B5" w14:textId="77777777" w:rsidR="005316EC" w:rsidRDefault="005316EC" w:rsidP="00376873">
            <w:pPr>
              <w:jc w:val="left"/>
            </w:pPr>
            <w:r>
              <w:t>.2 Тендеры и выбор поставщиков услуг</w:t>
            </w:r>
          </w:p>
          <w:p w14:paraId="7DB2BC49" w14:textId="77777777" w:rsidR="005316EC" w:rsidRDefault="005316EC" w:rsidP="00376873">
            <w:pPr>
              <w:jc w:val="left"/>
            </w:pPr>
            <w:r>
              <w:t>.3 Заключение договоров и определение методов работы</w:t>
            </w:r>
          </w:p>
          <w:p w14:paraId="4CEE2AD0" w14:textId="77777777" w:rsidR="005316EC" w:rsidRPr="005E1C6E" w:rsidRDefault="005316EC" w:rsidP="00376873">
            <w:pPr>
              <w:jc w:val="left"/>
            </w:pPr>
            <w:r>
              <w:t>.4 Обработка и защита данных бенефициаров</w:t>
            </w:r>
          </w:p>
        </w:tc>
        <w:tc>
          <w:tcPr>
            <w:tcW w:w="1951" w:type="dxa"/>
          </w:tcPr>
          <w:p w14:paraId="67ED55C9" w14:textId="77777777" w:rsidR="005316EC" w:rsidRDefault="005316EC" w:rsidP="00376873">
            <w:pPr>
              <w:jc w:val="left"/>
            </w:pPr>
            <w:r>
              <w:t>.1 Спланировать регистрацию и подготовиться к ней</w:t>
            </w:r>
          </w:p>
          <w:p w14:paraId="1700F343" w14:textId="77777777" w:rsidR="005316EC" w:rsidRPr="005E1C6E" w:rsidRDefault="005316EC" w:rsidP="00376873">
            <w:pPr>
              <w:jc w:val="left"/>
            </w:pPr>
            <w:r>
              <w:t>.2 Идентификация и проверка</w:t>
            </w:r>
          </w:p>
        </w:tc>
        <w:tc>
          <w:tcPr>
            <w:tcW w:w="1923" w:type="dxa"/>
          </w:tcPr>
          <w:p w14:paraId="1A8112C1" w14:textId="77777777" w:rsidR="005316EC" w:rsidRDefault="005316EC" w:rsidP="00376873">
            <w:pPr>
              <w:jc w:val="left"/>
            </w:pPr>
            <w:r>
              <w:t>.1 Обучение и коммуникация</w:t>
            </w:r>
          </w:p>
          <w:p w14:paraId="64B93F8B" w14:textId="77777777" w:rsidR="005316EC" w:rsidRDefault="005316EC" w:rsidP="00376873">
            <w:pPr>
              <w:jc w:val="left"/>
            </w:pPr>
            <w:r>
              <w:t>.2 Планирование и осуществление раздач</w:t>
            </w:r>
          </w:p>
          <w:p w14:paraId="31C791A3" w14:textId="77777777" w:rsidR="005316EC" w:rsidRDefault="005316EC" w:rsidP="00376873">
            <w:pPr>
              <w:jc w:val="left"/>
            </w:pPr>
            <w:r>
              <w:t>.3 Планирование обналичивания</w:t>
            </w:r>
          </w:p>
          <w:p w14:paraId="502AE165" w14:textId="77777777" w:rsidR="005316EC" w:rsidRPr="005E1C6E" w:rsidRDefault="005316EC" w:rsidP="00376873">
            <w:pPr>
              <w:jc w:val="left"/>
            </w:pPr>
            <w:r>
              <w:t>.4 Осуществление обналичивания</w:t>
            </w:r>
          </w:p>
        </w:tc>
      </w:tr>
    </w:tbl>
    <w:p w14:paraId="1BDD6326" w14:textId="17316606" w:rsidR="00FD0E83" w:rsidRPr="007E00C6" w:rsidRDefault="00FD0E83" w:rsidP="00AD51A4">
      <w:pPr>
        <w:pStyle w:val="2"/>
      </w:pPr>
      <w:r>
        <w:t>ВВЕДЕНИЕ</w:t>
      </w:r>
    </w:p>
    <w:p w14:paraId="162A5B98" w14:textId="6F331077" w:rsidR="000712F6" w:rsidRPr="00916DFE" w:rsidRDefault="000712F6" w:rsidP="00916DFE">
      <w:r>
        <w:t xml:space="preserve">Эта дорожная </w:t>
      </w:r>
      <w:r w:rsidR="005316EC">
        <w:t xml:space="preserve">карта послужит вам ориентиром </w:t>
      </w:r>
      <w:r>
        <w:t xml:space="preserve">при подготовке программы. Она включает руководство по разработке оперативного плана действий, а также по налаживанию механизмов внутреннего и внешнего координирования. </w:t>
      </w:r>
    </w:p>
    <w:p w14:paraId="20F96C71" w14:textId="47CBA3AB" w:rsidR="00F54205" w:rsidRPr="00916DFE" w:rsidRDefault="00926EA4" w:rsidP="00916DFE">
      <w:r>
        <w:t xml:space="preserve">Кроме того, в дорожной карте выражены предположения о том, какие инструменты </w:t>
      </w:r>
      <w:r w:rsidR="00571B78">
        <w:t>методических материалов «</w:t>
      </w:r>
      <w:r>
        <w:t>Денежны</w:t>
      </w:r>
      <w:r w:rsidR="00571B78">
        <w:t>е</w:t>
      </w:r>
      <w:r>
        <w:t xml:space="preserve"> перевод</w:t>
      </w:r>
      <w:r w:rsidR="00571B78">
        <w:t>ы</w:t>
      </w:r>
      <w:r>
        <w:t xml:space="preserve"> в чрезвычайных ситуациях</w:t>
      </w:r>
      <w:r w:rsidR="00571B78">
        <w:t>»</w:t>
      </w:r>
      <w:r>
        <w:t xml:space="preserve"> </w:t>
      </w:r>
      <w:r w:rsidR="005316EC">
        <w:t xml:space="preserve">будут </w:t>
      </w:r>
      <w:r>
        <w:t xml:space="preserve">наиболее полезны для данного </w:t>
      </w:r>
      <w:r w:rsidR="0052491A">
        <w:t>раздела и подразделов</w:t>
      </w:r>
      <w:r>
        <w:t xml:space="preserve">. Эти инструменты будет необходимо скорректировать согласно вашим потребностям и условиям.  </w:t>
      </w:r>
    </w:p>
    <w:p w14:paraId="1BC1E68C" w14:textId="15E3F5F8" w:rsidR="00F54205" w:rsidRPr="00916DFE" w:rsidRDefault="00F54205" w:rsidP="00916DFE">
      <w:r>
        <w:t>Вы должны всегда стремиться соблюдать минимал</w:t>
      </w:r>
      <w:r w:rsidR="0052491A">
        <w:t>ьные стандарты, перечисленные в этом разделе</w:t>
      </w:r>
      <w:r>
        <w:t xml:space="preserve">.  Это поможет повысить уровень качества ваших действий. </w:t>
      </w:r>
    </w:p>
    <w:p w14:paraId="78B644E0" w14:textId="4D96295B" w:rsidR="00F54205" w:rsidRPr="00C56C52" w:rsidRDefault="00F54205" w:rsidP="00916DFE">
      <w:r>
        <w:t>Вероятно, по мере того как завершаются процессы и инфор</w:t>
      </w:r>
      <w:r w:rsidR="0052491A">
        <w:t>мация поступает в каждый подраздел</w:t>
      </w:r>
      <w:r>
        <w:t xml:space="preserve">, для принятия решений вам потребуется </w:t>
      </w:r>
      <w:r>
        <w:rPr>
          <w:b/>
        </w:rPr>
        <w:t>переходить от одного под</w:t>
      </w:r>
      <w:r w:rsidR="0052491A">
        <w:rPr>
          <w:b/>
        </w:rPr>
        <w:t>раздела</w:t>
      </w:r>
      <w:r>
        <w:rPr>
          <w:b/>
        </w:rPr>
        <w:t xml:space="preserve"> к другому</w:t>
      </w:r>
      <w:r>
        <w:t>.</w:t>
      </w:r>
    </w:p>
    <w:p w14:paraId="037D322D" w14:textId="7107D5D7" w:rsidR="00F54205" w:rsidRPr="00916DFE" w:rsidRDefault="00F54205" w:rsidP="00916DFE">
      <w:r>
        <w:t>Если вам потребуется более детальное руководство в в</w:t>
      </w:r>
      <w:r w:rsidR="005316EC">
        <w:t>опросах подготовки программы,</w:t>
      </w:r>
      <w:r>
        <w:t xml:space="preserve"> обратитесь к справочным документам, перечисленным в конце данной дорожной карты.</w:t>
      </w:r>
    </w:p>
    <w:p w14:paraId="106CC852" w14:textId="4159D101" w:rsidR="000712F6" w:rsidRPr="007E00C6" w:rsidRDefault="00FD0E83" w:rsidP="00AD51A4">
      <w:pPr>
        <w:pStyle w:val="2"/>
      </w:pPr>
      <w:r>
        <w:lastRenderedPageBreak/>
        <w:t>МИНИМАЛЬНЫЕ СТАНДАРТЫ</w:t>
      </w:r>
    </w:p>
    <w:p w14:paraId="057DA5AA" w14:textId="58971348" w:rsidR="00FD0E83" w:rsidRDefault="00FD0E83" w:rsidP="00916DFE">
      <w:pPr>
        <w:pStyle w:val="Bullet1"/>
      </w:pPr>
      <w:r>
        <w:t>Оперативный план действий должен включать логическую структуру с измеряемыми индикаторами для каждого ожидаемого итога и результата.</w:t>
      </w:r>
    </w:p>
    <w:p w14:paraId="76AA5428" w14:textId="77777777" w:rsidR="00200A5E" w:rsidRDefault="00200A5E" w:rsidP="00200A5E">
      <w:pPr>
        <w:pStyle w:val="Bullet1"/>
        <w:rPr>
          <w:rFonts w:cs="Arial"/>
        </w:rPr>
      </w:pPr>
      <w:r>
        <w:t xml:space="preserve">Число индикаторов должно быть ограничено, они должны быть сфокусированы на процессах, результатах, итогах и рынках. </w:t>
      </w:r>
    </w:p>
    <w:p w14:paraId="5230FACD" w14:textId="136399B0" w:rsidR="0087780B" w:rsidRPr="00303B3A" w:rsidRDefault="00200A5E" w:rsidP="00200A5E">
      <w:pPr>
        <w:pStyle w:val="Bullet1"/>
      </w:pPr>
      <w:r>
        <w:t>В случае многоцелевых денежных пособий (МЦП) индикаторы должны б</w:t>
      </w:r>
      <w:r w:rsidR="006E352A">
        <w:t>ыть достаточно широкими, чтобы учесть</w:t>
      </w:r>
      <w:r>
        <w:t xml:space="preserve"> вторичное воздействие.</w:t>
      </w:r>
    </w:p>
    <w:p w14:paraId="40492940" w14:textId="3354A1E0" w:rsidR="00FD0E83" w:rsidRPr="00303B3A" w:rsidRDefault="00FD0E83" w:rsidP="00916DFE">
      <w:pPr>
        <w:pStyle w:val="Bullet1"/>
      </w:pPr>
      <w:r>
        <w:t>Задания и мероприятия</w:t>
      </w:r>
      <w:r w:rsidR="006E352A">
        <w:t>, перечисленные</w:t>
      </w:r>
      <w:r>
        <w:t xml:space="preserve"> в оперативном плане</w:t>
      </w:r>
      <w:r w:rsidR="006E352A">
        <w:t>,</w:t>
      </w:r>
      <w:r>
        <w:t xml:space="preserve"> следует согласовать с </w:t>
      </w:r>
      <w:bookmarkStart w:id="0" w:name="_GoBack"/>
      <w:bookmarkEnd w:id="0"/>
      <w:r>
        <w:t>внутренними и внешними партнёрами, включая правительство.</w:t>
      </w:r>
    </w:p>
    <w:p w14:paraId="689021DB" w14:textId="558A4582" w:rsidR="00FD0E83" w:rsidRPr="00303B3A" w:rsidRDefault="00FD0E83" w:rsidP="00916DFE">
      <w:pPr>
        <w:pStyle w:val="Bullet1"/>
      </w:pPr>
      <w:r>
        <w:t>Внутренние роли и зоны ответственности должны быть определены в соответствии с существующим стандартным регламентом (СОП) и согласованы с организацией.</w:t>
      </w:r>
    </w:p>
    <w:p w14:paraId="2DB3F213" w14:textId="6B29B664" w:rsidR="00FD0E83" w:rsidRPr="00303B3A" w:rsidRDefault="00FD0E83" w:rsidP="00916DFE">
      <w:pPr>
        <w:pStyle w:val="Bullet1"/>
      </w:pPr>
      <w:r>
        <w:t>Следует обеспечить участие в существующих координационных механизмах, чтобы координировать методы работы, избегать повторений и пропусков и обмениваться опытом.</w:t>
      </w:r>
    </w:p>
    <w:p w14:paraId="6690ACC1" w14:textId="50C34E1D" w:rsidR="0079696F" w:rsidRPr="007E00C6" w:rsidRDefault="0052491A" w:rsidP="00AD51A4">
      <w:pPr>
        <w:pStyle w:val="2"/>
      </w:pPr>
      <w:r>
        <w:t>ПОДраздел</w:t>
      </w:r>
      <w:r w:rsidR="00FD0E83">
        <w:t>Ы И ИНСТРУМЕНТЫ</w:t>
      </w:r>
    </w:p>
    <w:p w14:paraId="134A2590" w14:textId="36CBA093" w:rsidR="00452787" w:rsidRPr="00303B3A" w:rsidRDefault="00E611F1" w:rsidP="00916DFE">
      <w:pPr>
        <w:pStyle w:val="3"/>
      </w:pPr>
      <w:r>
        <w:t>Разработайте оперативный план</w:t>
      </w:r>
    </w:p>
    <w:p w14:paraId="2468C25E" w14:textId="3CDC0510" w:rsidR="00B91BA9" w:rsidRPr="00916DFE" w:rsidRDefault="003334E5" w:rsidP="00E531EB">
      <w:r>
        <w:t xml:space="preserve">Хорошо составленный план действий является принципиально важным для любой программы.  Он должен быть подготовлен после завершения фазы оценки и анализа реагирования. В оперативном плане действий вы сможете детально описать общую стратегию, конкретные цели, полевую структуру, ресурсы и затраты программы оказания помощи с использованием денежных средств. Кроме того, план поможет вам определить ожидаемые итоги и результаты, которые будут использованы позже при оценке эффективности реагирования. </w:t>
      </w:r>
    </w:p>
    <w:p w14:paraId="2399DF73" w14:textId="031B9A63" w:rsidR="000850B0" w:rsidRPr="00916DFE" w:rsidRDefault="0052491A" w:rsidP="000850B0">
      <w:pPr>
        <w:spacing w:line="276" w:lineRule="auto"/>
      </w:pPr>
      <w:r>
        <w:t>В этом подразделе</w:t>
      </w:r>
      <w:r w:rsidR="000850B0">
        <w:t xml:space="preserve"> вы найдёте набор шаблонов, которые помогут вам в разработке ПД, включая:</w:t>
      </w:r>
    </w:p>
    <w:p w14:paraId="611DFDB7" w14:textId="4473C51F" w:rsidR="000850B0" w:rsidRPr="000850B0" w:rsidRDefault="000850B0" w:rsidP="00916DFE">
      <w:pPr>
        <w:pStyle w:val="Bullet2"/>
      </w:pPr>
      <w:r>
        <w:t>Логическую структуру</w:t>
      </w:r>
    </w:p>
    <w:p w14:paraId="569B457F" w14:textId="1D2249CA" w:rsidR="000850B0" w:rsidRPr="000850B0" w:rsidRDefault="000850B0" w:rsidP="00916DFE">
      <w:pPr>
        <w:pStyle w:val="Bullet2"/>
      </w:pPr>
      <w:r>
        <w:t>Шаблон бюджета</w:t>
      </w:r>
    </w:p>
    <w:p w14:paraId="1DC6082F" w14:textId="1A4A46C3" w:rsidR="000850B0" w:rsidRPr="000850B0" w:rsidRDefault="000850B0" w:rsidP="00916DFE">
      <w:pPr>
        <w:pStyle w:val="Bullet2"/>
      </w:pPr>
      <w:r>
        <w:t>Матрицу рисков</w:t>
      </w:r>
    </w:p>
    <w:p w14:paraId="5134ADE4" w14:textId="7D433ED2" w:rsidR="000850B0" w:rsidRPr="000850B0" w:rsidRDefault="000850B0" w:rsidP="00916DFE">
      <w:pPr>
        <w:pStyle w:val="Bullet2"/>
      </w:pPr>
      <w:r>
        <w:t xml:space="preserve">Кадровый план и </w:t>
      </w:r>
    </w:p>
    <w:p w14:paraId="6CFFF438" w14:textId="31D31102" w:rsidR="000850B0" w:rsidRPr="000850B0" w:rsidRDefault="000850B0" w:rsidP="00916DFE">
      <w:pPr>
        <w:pStyle w:val="Bullet2"/>
      </w:pPr>
      <w:r>
        <w:t>Подробный план работы.</w:t>
      </w:r>
    </w:p>
    <w:p w14:paraId="4B928CC4" w14:textId="67136A95" w:rsidR="00535C63" w:rsidRPr="00916DFE" w:rsidRDefault="00567AF9" w:rsidP="00535C63">
      <w:r>
        <w:t>Помните, создание механизм</w:t>
      </w:r>
      <w:r w:rsidR="006E352A">
        <w:t>а</w:t>
      </w:r>
      <w:r>
        <w:t xml:space="preserve"> раздачи с нуля занимает много времени, часто более двух месяцев. Количество времени, необходимое для завершения процесса подготовки, будет зависеть от таких факторов как условия и масштаб операции, а также от активности поставщика услуг и агентства. В этом под</w:t>
      </w:r>
      <w:r w:rsidR="0052491A">
        <w:t>разделе</w:t>
      </w:r>
      <w:r>
        <w:t xml:space="preserve"> вы найдёте руководство по планированию процесса электронных переводов и расписание. </w:t>
      </w:r>
      <w:r w:rsidR="006E352A">
        <w:t>Вот н</w:t>
      </w:r>
      <w:r>
        <w:t>екоторые действия, которые можно предпринять, чтобы ускорить подготовку системы раздачи денег:</w:t>
      </w:r>
    </w:p>
    <w:p w14:paraId="502F0754" w14:textId="3D67D277" w:rsidR="00535C63" w:rsidRPr="00535C63" w:rsidRDefault="00535C63" w:rsidP="00916DFE">
      <w:pPr>
        <w:pStyle w:val="Bullet2"/>
        <w:keepNext/>
      </w:pPr>
      <w:r>
        <w:t xml:space="preserve">Обдумайте </w:t>
      </w:r>
      <w:r w:rsidR="006E352A">
        <w:t>вариант раздачи</w:t>
      </w:r>
      <w:r>
        <w:t xml:space="preserve"> денег в конвертах или ваучеров, пока вы налаживаете другой механизм</w:t>
      </w:r>
    </w:p>
    <w:p w14:paraId="37391056" w14:textId="77777777" w:rsidR="00535C63" w:rsidRPr="00535C63" w:rsidRDefault="00535C63" w:rsidP="00916DFE">
      <w:pPr>
        <w:pStyle w:val="Bullet2"/>
      </w:pPr>
      <w:r>
        <w:t>Сотрудничество с другими агентствами и использование существующего механизма</w:t>
      </w:r>
    </w:p>
    <w:p w14:paraId="23347F85" w14:textId="77777777" w:rsidR="00535C63" w:rsidRPr="00535C63" w:rsidRDefault="00535C63" w:rsidP="00916DFE">
      <w:pPr>
        <w:pStyle w:val="Bullet2"/>
      </w:pPr>
      <w:r>
        <w:t xml:space="preserve">Использование существующих проверенных механизмов раздачи (созданных для программ социальной защиты или уже используемых другими гуманитарными организациями). </w:t>
      </w:r>
    </w:p>
    <w:p w14:paraId="300CE7B6" w14:textId="4282E342" w:rsidR="00535C63" w:rsidRPr="00535C63" w:rsidRDefault="00535C63" w:rsidP="00916DFE">
      <w:pPr>
        <w:pStyle w:val="Bullet2"/>
      </w:pPr>
      <w:r>
        <w:t xml:space="preserve">Сравните, не будет ли процесс идти быстрее и эффективнее, если договоры для механизма раздачи будет заключать принимающее национальное общество, </w:t>
      </w:r>
      <w:r w:rsidR="006E352A">
        <w:t>учитывая юридические и административные аспекты и его потенциал, а не МФОККиКП или МККК.</w:t>
      </w:r>
    </w:p>
    <w:p w14:paraId="56C9C90A" w14:textId="0AD4FC38" w:rsidR="00B91BA9" w:rsidRPr="00303B3A" w:rsidRDefault="00B91BA9" w:rsidP="00916DFE">
      <w:pPr>
        <w:pStyle w:val="3"/>
      </w:pPr>
      <w:r>
        <w:t>Внутренн</w:t>
      </w:r>
      <w:r w:rsidR="006E352A">
        <w:t>ее координирование</w:t>
      </w:r>
    </w:p>
    <w:p w14:paraId="3DB24EBB" w14:textId="42DD02DF" w:rsidR="00114235" w:rsidRPr="00916DFE" w:rsidRDefault="00E611F1" w:rsidP="00E531EB">
      <w:r>
        <w:t>Движение Красного Креста и Красного Полумесяца должно осуществлять внутреннее координирование для поддержки принимающего национального общества (ПН</w:t>
      </w:r>
      <w:r w:rsidR="006E352A">
        <w:t>О</w:t>
      </w:r>
      <w:r>
        <w:t xml:space="preserve">) во внутренних операциях. </w:t>
      </w:r>
      <w:r w:rsidR="006E352A">
        <w:t>Именно ПНО</w:t>
      </w:r>
      <w:r>
        <w:t xml:space="preserve"> будет осуществлять программу при поддержке от партнёров Движения КК/КП, а в случаях</w:t>
      </w:r>
      <w:r w:rsidR="006E352A">
        <w:t>, когда не оно отвечает за реализацию программы, оно</w:t>
      </w:r>
      <w:r>
        <w:t xml:space="preserve"> будет</w:t>
      </w:r>
      <w:r w:rsidR="006E352A">
        <w:t>,</w:t>
      </w:r>
      <w:r>
        <w:t xml:space="preserve"> несомненно</w:t>
      </w:r>
      <w:r w:rsidR="006E352A">
        <w:t>,</w:t>
      </w:r>
      <w:r>
        <w:t xml:space="preserve"> </w:t>
      </w:r>
      <w:r>
        <w:lastRenderedPageBreak/>
        <w:t xml:space="preserve">присутствовать </w:t>
      </w:r>
      <w:r w:rsidR="006E352A">
        <w:t xml:space="preserve">в регионе </w:t>
      </w:r>
      <w:r>
        <w:t>и возможно осуществлять контакт с населением, которому оказывается помощ</w:t>
      </w:r>
      <w:r w:rsidR="006E352A">
        <w:t>ь, после окончания программы. С</w:t>
      </w:r>
      <w:r>
        <w:t xml:space="preserve">ледовательно, </w:t>
      </w:r>
      <w:r w:rsidR="006E352A">
        <w:t xml:space="preserve">ПНО </w:t>
      </w:r>
      <w:r>
        <w:t>должно привлекаться к работе программы и одобрять подход, используемый в работе программы денежных переводов.</w:t>
      </w:r>
    </w:p>
    <w:p w14:paraId="1D4C5011" w14:textId="112B2020" w:rsidR="00B91BA9" w:rsidRPr="00916DFE" w:rsidRDefault="00B91BA9" w:rsidP="00E531EB">
      <w:r>
        <w:t xml:space="preserve">Внутри организации каждый отдел должен будет участвовать в конкретных аспектах программы денежных переводов. Роли и зоны ответственности должны быть подробно описаны в СОП, разработанном </w:t>
      </w:r>
      <w:r w:rsidR="006E352A">
        <w:t>во время подготовительных мероприятий</w:t>
      </w:r>
      <w:r>
        <w:t xml:space="preserve">. Если нет возможности обратиться к СОП, предположения об основных ролях </w:t>
      </w:r>
      <w:r w:rsidR="006E352A">
        <w:t xml:space="preserve">в ходе </w:t>
      </w:r>
      <w:r>
        <w:t xml:space="preserve">ПДП и возможном </w:t>
      </w:r>
      <w:r w:rsidR="006E352A">
        <w:t>распределении</w:t>
      </w:r>
      <w:r>
        <w:t xml:space="preserve"> заданий можно найти в инструментах этого под</w:t>
      </w:r>
      <w:r w:rsidR="0052491A">
        <w:t>раздела</w:t>
      </w:r>
      <w:r>
        <w:t xml:space="preserve">. Решение о том, кто отвечает за что в вашей программе ПДП, должно быть согласовано со всеми отделами. В разделе ОСНОВНЫЕ ДОКУМЕНТЫ ДВИЖЕНИЯ </w:t>
      </w:r>
      <w:r w:rsidR="00571B78">
        <w:t>КККП вы найдёте СОП МФОККиКП и М</w:t>
      </w:r>
      <w:r>
        <w:t xml:space="preserve">ККК по вопросам ПДП, где определяются роли различных сотрудников/отделов для разного типа и способа денежных переводов.  </w:t>
      </w:r>
    </w:p>
    <w:p w14:paraId="13A84AEF" w14:textId="316FD259" w:rsidR="00B91BA9" w:rsidRPr="00303B3A" w:rsidRDefault="00E611F1" w:rsidP="00916DFE">
      <w:pPr>
        <w:pStyle w:val="3"/>
      </w:pPr>
      <w:r>
        <w:t>Координирование с другими участниками</w:t>
      </w:r>
    </w:p>
    <w:p w14:paraId="506F9C1B" w14:textId="74F8740E" w:rsidR="00FA7C4C" w:rsidRDefault="00A52A09" w:rsidP="00E531EB">
      <w:r>
        <w:t xml:space="preserve">Участники Движения Красного Креста и Красного Полумесяца должны всегда обмениваться информацией и искать пути сотрудничества с другими организациями. В зависимости от типа программы основными партнёрами могут быть министерства (например, социальной защиты, труда, сельского хозяйства, торговли, поставок и коммерции), ведомства, отвечающие за гражданскую защиту/оборону, вооружённые силы, </w:t>
      </w:r>
      <w:r w:rsidR="006E352A">
        <w:t>ООН</w:t>
      </w:r>
      <w:r>
        <w:t xml:space="preserve">, международные и местные НПО. Соответствующие учреждения и организации нужно привлекать к активному сотрудничеству в разработке и подготовке мероприятий реагирования. Где это будет выгодно, Движение КК\КП должно участвовать в существующих координационных органах, часто созданных и </w:t>
      </w:r>
      <w:r w:rsidR="006E352A">
        <w:t>возглавляемых</w:t>
      </w:r>
      <w:r>
        <w:t xml:space="preserve"> местным правительством, кластерами МПК (InterAgency Standing Committee, Межучрежденческий постоянный комитет) и другими НПО. В результате этих мероприятий могут быть созданы общие базы данных (либо можно получить доступ к общим базам данных), которые могут быть использованы при проведении скоординированной</w:t>
      </w:r>
      <w:r w:rsidR="006E352A">
        <w:t xml:space="preserve"> оценки, анализа данных, раздач</w:t>
      </w:r>
      <w:r>
        <w:t>,</w:t>
      </w:r>
      <w:r w:rsidR="006E352A">
        <w:t xml:space="preserve"> при</w:t>
      </w:r>
      <w:r>
        <w:t xml:space="preserve"> составлении отчётов и проведении мониторинга и т.д.</w:t>
      </w:r>
    </w:p>
    <w:p w14:paraId="150E52E3" w14:textId="7F2E5118" w:rsidR="00B91BA9" w:rsidRPr="002968CF" w:rsidRDefault="00FA7C4C" w:rsidP="00E531EB">
      <w:pPr>
        <w:rPr>
          <w:i/>
        </w:rPr>
      </w:pPr>
      <w:r>
        <w:t>В случае ПДП особенно важно наладить сотрудничество с правительством, чтобы обеспечить принятие программы. Сотрудничество с государственными органами и международными организациями (такими как Всемирный банк), занятыми в обеспечении национальной безопасности, позволит избежать дублирований или конфликта с существующими системами безопасности, или, что ещё лучше, позволит адаптировать их для гуманитарного контекста. Обязательно назначьте координатора ПДП, который будет посещать координационные собрания и соответствующим образом представлять Движение.</w:t>
      </w:r>
      <w:r>
        <w:rPr>
          <w:i/>
        </w:rPr>
        <w:t xml:space="preserve"> </w:t>
      </w:r>
    </w:p>
    <w:p w14:paraId="75C6654A" w14:textId="3A68F521" w:rsidR="00E33CF8" w:rsidRPr="00916DFE" w:rsidRDefault="00B91BA9" w:rsidP="0060132D">
      <w:pPr>
        <w:keepNext/>
        <w:keepLines/>
        <w:spacing w:after="360"/>
      </w:pPr>
      <w:r>
        <w:t>В инструментах данного под</w:t>
      </w:r>
      <w:r w:rsidR="0052491A">
        <w:t>раздела</w:t>
      </w:r>
      <w:r>
        <w:t xml:space="preserve"> представлено руководство, как встроить координирование ПДП в более широкую координационную систему. В системе кластерного координирования МПК приветствуется создание тематических рабочих групп, в которых обсуждаются специфичные для каждого сектора вопросы. Денежные переводы не являются односекторным методом реагирования, это метод, который может использоваться многими секторами.  Поэтому возможно создание Координационной группы по денежным переводам. Движение должно быть </w:t>
      </w:r>
      <w:r w:rsidR="00B31A09">
        <w:t xml:space="preserve">всегда </w:t>
      </w:r>
      <w:r>
        <w:t>представ</w:t>
      </w:r>
      <w:r w:rsidR="00B31A09">
        <w:t xml:space="preserve">лено на заседаниях группы, чтобы </w:t>
      </w:r>
      <w:r>
        <w:t xml:space="preserve">информировать других участников о мероприятиях Движения в области ПДП, и чтобы </w:t>
      </w:r>
      <w:r w:rsidR="00B31A09">
        <w:t>убедиться</w:t>
      </w:r>
      <w:r>
        <w:t>, что программы ПДП записаны в матрице 4-х вопросов (где, что, кто, когда). Это подходящая площадка, где можно заручиться дополнительной технической поддержкой коллег и обменяться идеями.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848"/>
      </w:tblGrid>
      <w:tr w:rsidR="00F024C1" w:rsidRPr="00F024C1" w14:paraId="5A842525" w14:textId="77777777" w:rsidTr="00F024C1">
        <w:tc>
          <w:tcPr>
            <w:tcW w:w="9848" w:type="dxa"/>
            <w:shd w:val="clear" w:color="auto" w:fill="D9D9D9"/>
          </w:tcPr>
          <w:p w14:paraId="0C4F5532" w14:textId="77777777" w:rsidR="00F024C1" w:rsidRPr="00F024C1" w:rsidRDefault="00F024C1" w:rsidP="004C14FB">
            <w:pPr>
              <w:pStyle w:val="RefTitre"/>
              <w:spacing w:before="240"/>
              <w:rPr>
                <w:rFonts w:eastAsia="Calibri"/>
              </w:rPr>
            </w:pPr>
            <w:r>
              <w:t>СПРАВОЧНЫЕ ДОКУМЕНТЫ</w:t>
            </w:r>
          </w:p>
        </w:tc>
      </w:tr>
      <w:tr w:rsidR="00F024C1" w:rsidRPr="00F024C1" w14:paraId="6B966EA2" w14:textId="77777777" w:rsidTr="00F024C1">
        <w:tc>
          <w:tcPr>
            <w:tcW w:w="9848" w:type="dxa"/>
            <w:shd w:val="clear" w:color="auto" w:fill="D9D9D9"/>
          </w:tcPr>
          <w:p w14:paraId="5F349DFD" w14:textId="009DDF09" w:rsidR="007A53CA" w:rsidRDefault="007A53CA" w:rsidP="002F2DDF">
            <w:pPr>
              <w:pStyle w:val="RefItem1"/>
              <w:rPr>
                <w:rFonts w:cs="Arial"/>
                <w:szCs w:val="20"/>
              </w:rPr>
            </w:pPr>
            <w:r>
              <w:t xml:space="preserve">МФОККиКП, Пособие по работе на местах для отрядов реагирования при ЧС / IFRC (2008) Relief ERU field manual. </w:t>
            </w:r>
            <w:hyperlink r:id="rId8" w:history="1">
              <w:r>
                <w:rPr>
                  <w:rStyle w:val="af3"/>
                </w:rPr>
                <w:t>https://www-secure.ifrc.org/DMISII/Pages/03_response/0306_eru/030602_eru_relief/146900_relief%20ERU_EN_LR.pdf</w:t>
              </w:r>
            </w:hyperlink>
          </w:p>
          <w:p w14:paraId="1A91EF4F" w14:textId="47438BD4" w:rsidR="00F024C1" w:rsidRPr="00F024C1" w:rsidRDefault="00B31A09" w:rsidP="00B31A09">
            <w:pPr>
              <w:pStyle w:val="RefItem1"/>
              <w:rPr>
                <w:rFonts w:cs="Arial"/>
                <w:szCs w:val="20"/>
              </w:rPr>
            </w:pPr>
            <w:r>
              <w:t>Выступление в поддержку денег:</w:t>
            </w:r>
            <w:r w:rsidR="00F024C1">
              <w:t xml:space="preserve"> Руководство для работы на местах:  переговоры с банками при реализации программ денежных переводов / </w:t>
            </w:r>
            <w:r>
              <w:t xml:space="preserve">Making the Case For Cash: </w:t>
            </w:r>
            <w:r w:rsidR="00F024C1">
              <w:t xml:space="preserve">A field guide to negotiating with banks in cash transfer programming (2011) CaLP </w:t>
            </w:r>
            <w:hyperlink r:id="rId9" w:history="1">
              <w:r w:rsidR="00F024C1">
                <w:rPr>
                  <w:rStyle w:val="af3"/>
                </w:rPr>
                <w:t>http://www.cashlearning.org/resources/library/34-working-with-banks-a-field-guide-to-negotiating-with-banks-in-cash-transfer-programming-screen-version</w:t>
              </w:r>
            </w:hyperlink>
          </w:p>
        </w:tc>
      </w:tr>
      <w:tr w:rsidR="00F024C1" w:rsidRPr="00F024C1" w14:paraId="15574ECF" w14:textId="77777777" w:rsidTr="00F024C1">
        <w:tc>
          <w:tcPr>
            <w:tcW w:w="9848" w:type="dxa"/>
            <w:shd w:val="clear" w:color="auto" w:fill="D9D9D9"/>
          </w:tcPr>
          <w:p w14:paraId="051F1AE4" w14:textId="5B4E8E6B" w:rsidR="00F024C1" w:rsidRPr="00F024C1" w:rsidRDefault="00F024C1" w:rsidP="00B31A09">
            <w:pPr>
              <w:pStyle w:val="RefItem1"/>
              <w:rPr>
                <w:rFonts w:cs="Arial"/>
                <w:szCs w:val="20"/>
              </w:rPr>
            </w:pPr>
            <w:r>
              <w:t xml:space="preserve">Руководство по координированию </w:t>
            </w:r>
            <w:r w:rsidR="00B31A09">
              <w:t>–</w:t>
            </w:r>
            <w:r>
              <w:t xml:space="preserve"> </w:t>
            </w:r>
            <w:r w:rsidR="00B31A09">
              <w:t>Методические материалы</w:t>
            </w:r>
            <w:r>
              <w:t xml:space="preserve"> для координирования CaLP / Guidance on coordination - Coordination toolkit CaLP </w:t>
            </w:r>
            <w:r>
              <w:br/>
            </w:r>
            <w:hyperlink r:id="rId10" w:history="1">
              <w:r>
                <w:rPr>
                  <w:rStyle w:val="af3"/>
                </w:rPr>
                <w:t>http://www.cashlearning.org/resources/coordination-toolkit</w:t>
              </w:r>
            </w:hyperlink>
          </w:p>
        </w:tc>
      </w:tr>
      <w:tr w:rsidR="00F024C1" w:rsidRPr="0052491A" w14:paraId="605DEA4D" w14:textId="77777777" w:rsidTr="00F024C1">
        <w:tc>
          <w:tcPr>
            <w:tcW w:w="9848" w:type="dxa"/>
            <w:shd w:val="clear" w:color="auto" w:fill="D9D9D9"/>
          </w:tcPr>
          <w:p w14:paraId="15825BDF" w14:textId="62E67448" w:rsidR="00F024C1" w:rsidRDefault="00F024C1" w:rsidP="002F2DDF">
            <w:pPr>
              <w:pStyle w:val="RefItem1"/>
              <w:rPr>
                <w:rStyle w:val="af3"/>
                <w:rFonts w:eastAsia="Times New Roman" w:cs="Arial"/>
                <w:szCs w:val="20"/>
              </w:rPr>
            </w:pPr>
            <w:r>
              <w:t xml:space="preserve">Руководство по работе на местах для ПДП </w:t>
            </w:r>
            <w:r w:rsidR="00B31A09">
              <w:t>–</w:t>
            </w:r>
            <w:r>
              <w:t xml:space="preserve"> </w:t>
            </w:r>
            <w:r w:rsidR="00B31A09">
              <w:t>Методические материалы</w:t>
            </w:r>
            <w:r>
              <w:t xml:space="preserve"> для координирования CaLP / Field advocacy guide for CTP - Coordination toolkit CaLP</w:t>
            </w:r>
            <w:r>
              <w:br/>
            </w:r>
            <w:hyperlink r:id="rId11" w:history="1">
              <w:r>
                <w:rPr>
                  <w:rStyle w:val="af3"/>
                </w:rPr>
                <w:t>http://www.cashlearning.org/resources/coordination-toolkit</w:t>
              </w:r>
            </w:hyperlink>
          </w:p>
          <w:p w14:paraId="450B2732" w14:textId="465C8083" w:rsidR="002F2DDF" w:rsidRPr="00571B78" w:rsidRDefault="002F2DDF" w:rsidP="002F2DDF">
            <w:pPr>
              <w:rPr>
                <w:rFonts w:eastAsia="Times New Roman"/>
                <w:lang w:val="en-US"/>
              </w:rPr>
            </w:pPr>
            <w:r>
              <w:t>Инструмент защиты от рисков и анализа преимуществ</w:t>
            </w:r>
            <w:r w:rsidR="00B31A09">
              <w:t>.</w:t>
            </w:r>
            <w:r>
              <w:t xml:space="preserve"> Приложение 2 в </w:t>
            </w:r>
            <w:r w:rsidR="00B31A09">
              <w:t>методических материалах</w:t>
            </w:r>
            <w:r>
              <w:t xml:space="preserve"> для многоцелевых денежных пособий / </w:t>
            </w:r>
            <w:r w:rsidR="00B31A09">
              <w:t xml:space="preserve">Protection Risks and Benefits Analysis Tool. </w:t>
            </w:r>
            <w:r w:rsidRPr="00571B78">
              <w:rPr>
                <w:lang w:val="en-US"/>
              </w:rPr>
              <w:t xml:space="preserve">Annex 2 in the Multi-Purpose Cash Grants Toolkit. </w:t>
            </w:r>
            <w:r>
              <w:t>УВКБООН</w:t>
            </w:r>
            <w:r w:rsidRPr="00571B78">
              <w:rPr>
                <w:lang w:val="en-US"/>
              </w:rPr>
              <w:t xml:space="preserve"> / UNHCR (2016) </w:t>
            </w:r>
            <w:hyperlink r:id="rId12" w:history="1">
              <w:r w:rsidRPr="00571B78">
                <w:rPr>
                  <w:rStyle w:val="af3"/>
                  <w:rFonts w:asciiTheme="majorHAnsi" w:hAnsiTheme="majorHAnsi"/>
                  <w:sz w:val="22"/>
                  <w:lang w:val="en-US"/>
                </w:rPr>
                <w:t>http://www.cashlearning.org/downloads/mpg-toolkit-pdfs/mpg-annex2.pdf</w:t>
              </w:r>
            </w:hyperlink>
            <w:r w:rsidRPr="00571B78">
              <w:rPr>
                <w:rStyle w:val="af3"/>
                <w:rFonts w:asciiTheme="majorHAnsi" w:hAnsiTheme="majorHAnsi"/>
                <w:sz w:val="22"/>
                <w:lang w:val="en-US"/>
              </w:rPr>
              <w:t xml:space="preserve"> </w:t>
            </w:r>
          </w:p>
          <w:p w14:paraId="51771498" w14:textId="5CD0EA3F" w:rsidR="002F2DDF" w:rsidRPr="00571B78" w:rsidRDefault="002F2DDF" w:rsidP="00571B78">
            <w:pPr>
              <w:pStyle w:val="RefItem1"/>
              <w:rPr>
                <w:rFonts w:cs="Arial"/>
                <w:szCs w:val="20"/>
                <w:lang w:val="en-US"/>
              </w:rPr>
            </w:pPr>
            <w:r>
              <w:rPr>
                <w:color w:val="auto"/>
              </w:rPr>
              <w:t>Шаблон</w:t>
            </w:r>
            <w:r w:rsidRPr="00571B78">
              <w:rPr>
                <w:color w:val="auto"/>
              </w:rPr>
              <w:t xml:space="preserve"> </w:t>
            </w:r>
            <w:r>
              <w:rPr>
                <w:color w:val="auto"/>
              </w:rPr>
              <w:t>СОП</w:t>
            </w:r>
            <w:r w:rsidRPr="00571B78">
              <w:rPr>
                <w:color w:val="auto"/>
              </w:rPr>
              <w:t xml:space="preserve"> </w:t>
            </w:r>
            <w:r>
              <w:rPr>
                <w:color w:val="auto"/>
              </w:rPr>
              <w:t>для</w:t>
            </w:r>
            <w:r w:rsidRPr="00571B78">
              <w:rPr>
                <w:color w:val="auto"/>
              </w:rPr>
              <w:t xml:space="preserve"> </w:t>
            </w:r>
            <w:r>
              <w:rPr>
                <w:color w:val="auto"/>
              </w:rPr>
              <w:t>разработки</w:t>
            </w:r>
            <w:r w:rsidRPr="00571B78">
              <w:rPr>
                <w:color w:val="auto"/>
              </w:rPr>
              <w:t xml:space="preserve"> </w:t>
            </w:r>
            <w:r>
              <w:rPr>
                <w:color w:val="auto"/>
              </w:rPr>
              <w:t>и</w:t>
            </w:r>
            <w:r w:rsidRPr="00571B78">
              <w:rPr>
                <w:color w:val="auto"/>
              </w:rPr>
              <w:t xml:space="preserve"> </w:t>
            </w:r>
            <w:r>
              <w:rPr>
                <w:color w:val="auto"/>
              </w:rPr>
              <w:t>осуществления</w:t>
            </w:r>
            <w:r w:rsidRPr="00571B78">
              <w:rPr>
                <w:color w:val="auto"/>
              </w:rPr>
              <w:t xml:space="preserve"> </w:t>
            </w:r>
            <w:r>
              <w:rPr>
                <w:color w:val="auto"/>
              </w:rPr>
              <w:t>скоординированной</w:t>
            </w:r>
            <w:r w:rsidRPr="00571B78">
              <w:rPr>
                <w:color w:val="auto"/>
              </w:rPr>
              <w:t xml:space="preserve"> </w:t>
            </w:r>
            <w:r>
              <w:rPr>
                <w:color w:val="auto"/>
              </w:rPr>
              <w:t>программы</w:t>
            </w:r>
            <w:r w:rsidRPr="00571B78">
              <w:rPr>
                <w:color w:val="auto"/>
              </w:rPr>
              <w:t xml:space="preserve"> </w:t>
            </w:r>
            <w:r>
              <w:rPr>
                <w:color w:val="auto"/>
              </w:rPr>
              <w:t>многоцелевых</w:t>
            </w:r>
            <w:r w:rsidRPr="00571B78">
              <w:rPr>
                <w:color w:val="auto"/>
              </w:rPr>
              <w:t xml:space="preserve"> </w:t>
            </w:r>
            <w:r>
              <w:rPr>
                <w:color w:val="auto"/>
              </w:rPr>
              <w:t>денежных</w:t>
            </w:r>
            <w:r w:rsidRPr="00571B78">
              <w:rPr>
                <w:color w:val="auto"/>
              </w:rPr>
              <w:t xml:space="preserve"> </w:t>
            </w:r>
            <w:r>
              <w:rPr>
                <w:color w:val="auto"/>
              </w:rPr>
              <w:t>пособий</w:t>
            </w:r>
            <w:r w:rsidR="00571B78">
              <w:rPr>
                <w:color w:val="auto"/>
              </w:rPr>
              <w:t>.</w:t>
            </w:r>
            <w:r w:rsidRPr="00571B78">
              <w:rPr>
                <w:color w:val="auto"/>
              </w:rPr>
              <w:t xml:space="preserve"> </w:t>
            </w:r>
            <w:r w:rsidR="00571B78">
              <w:t>Приложение</w:t>
            </w:r>
            <w:r w:rsidR="00571B78" w:rsidRPr="00571B78">
              <w:rPr>
                <w:lang w:val="en-US"/>
              </w:rPr>
              <w:t xml:space="preserve"> 3 </w:t>
            </w:r>
            <w:r w:rsidR="00571B78">
              <w:t>в</w:t>
            </w:r>
            <w:r w:rsidR="00571B78" w:rsidRPr="00571B78">
              <w:rPr>
                <w:lang w:val="en-US"/>
              </w:rPr>
              <w:t xml:space="preserve"> </w:t>
            </w:r>
            <w:r w:rsidR="00571B78">
              <w:t>Наборе</w:t>
            </w:r>
            <w:r w:rsidR="00571B78" w:rsidRPr="00571B78">
              <w:rPr>
                <w:lang w:val="en-US"/>
              </w:rPr>
              <w:t xml:space="preserve"> </w:t>
            </w:r>
            <w:r w:rsidR="00571B78">
              <w:t>инструментов</w:t>
            </w:r>
            <w:r w:rsidR="00571B78" w:rsidRPr="00571B78">
              <w:rPr>
                <w:lang w:val="en-US"/>
              </w:rPr>
              <w:t xml:space="preserve"> </w:t>
            </w:r>
            <w:r w:rsidR="00571B78">
              <w:t>для</w:t>
            </w:r>
            <w:r w:rsidR="00571B78" w:rsidRPr="00571B78">
              <w:rPr>
                <w:lang w:val="en-US"/>
              </w:rPr>
              <w:t xml:space="preserve"> </w:t>
            </w:r>
            <w:r w:rsidR="00571B78">
              <w:t>многоцелевых</w:t>
            </w:r>
            <w:r w:rsidR="00571B78" w:rsidRPr="00571B78">
              <w:rPr>
                <w:lang w:val="en-US"/>
              </w:rPr>
              <w:t xml:space="preserve"> </w:t>
            </w:r>
            <w:r w:rsidR="00571B78">
              <w:t>денежных</w:t>
            </w:r>
            <w:r w:rsidR="00571B78" w:rsidRPr="00571B78">
              <w:rPr>
                <w:lang w:val="en-US"/>
              </w:rPr>
              <w:t xml:space="preserve"> </w:t>
            </w:r>
            <w:r w:rsidR="00571B78">
              <w:t>пособий</w:t>
            </w:r>
            <w:r w:rsidR="00571B78" w:rsidRPr="00571B78">
              <w:rPr>
                <w:color w:val="auto"/>
                <w:lang w:val="en-US"/>
              </w:rPr>
              <w:t xml:space="preserve"> </w:t>
            </w:r>
            <w:r w:rsidRPr="00571B78">
              <w:rPr>
                <w:color w:val="auto"/>
                <w:lang w:val="en-US"/>
              </w:rPr>
              <w:t xml:space="preserve">/ </w:t>
            </w:r>
            <w:r w:rsidR="00571B78" w:rsidRPr="00571B78">
              <w:rPr>
                <w:rFonts w:eastAsia="Times New Roman"/>
                <w:color w:val="auto"/>
                <w:lang w:val="en-US"/>
              </w:rPr>
              <w:t xml:space="preserve">Template of Standard Operating Procedures for the Design and Implementation of Coordinated Multi-Purpose Cash Grants. Annex 3 of the Multi-Purpose Cash Grant Toolkit (2016) </w:t>
            </w:r>
            <w:hyperlink r:id="rId13" w:history="1">
              <w:r w:rsidR="00571B78" w:rsidRPr="00571B78">
                <w:rPr>
                  <w:rStyle w:val="af3"/>
                  <w:rFonts w:asciiTheme="majorHAnsi" w:eastAsia="Times New Roman" w:hAnsiTheme="majorHAnsi"/>
                  <w:sz w:val="22"/>
                  <w:lang w:val="en-US"/>
                </w:rPr>
                <w:t>http://www.cashlearning.org/downloads/mpg-toolkit-pdfs/mpg-annex3.pdf</w:t>
              </w:r>
            </w:hyperlink>
          </w:p>
        </w:tc>
      </w:tr>
    </w:tbl>
    <w:p w14:paraId="3FEB0DAB" w14:textId="77777777" w:rsidR="00F024C1" w:rsidRPr="00571B78" w:rsidRDefault="00F024C1" w:rsidP="00F024C1">
      <w:pPr>
        <w:jc w:val="left"/>
        <w:rPr>
          <w:lang w:val="en-US"/>
        </w:rPr>
      </w:pPr>
    </w:p>
    <w:sectPr w:rsidR="00F024C1" w:rsidRPr="00571B78" w:rsidSect="0017276B">
      <w:headerReference w:type="default" r:id="rId14"/>
      <w:footerReference w:type="default" r:id="rId15"/>
      <w:headerReference w:type="first" r:id="rId16"/>
      <w:footerReference w:type="first" r:id="rId17"/>
      <w:pgSz w:w="11900"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99A7B" w14:textId="77777777" w:rsidR="00D44FFE" w:rsidRDefault="00D44FFE" w:rsidP="0086012C">
      <w:r>
        <w:separator/>
      </w:r>
    </w:p>
  </w:endnote>
  <w:endnote w:type="continuationSeparator" w:id="0">
    <w:p w14:paraId="08ED8C6B" w14:textId="77777777" w:rsidR="00D44FFE" w:rsidRDefault="00D44FFE" w:rsidP="008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w:charset w:val="00"/>
    <w:family w:val="auto"/>
    <w:pitch w:val="variable"/>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1621" w14:textId="4762FBDE" w:rsidR="00FA7C4C" w:rsidRPr="00B45C74" w:rsidRDefault="00FA7C4C" w:rsidP="00A52A09">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2491A">
      <w:rPr>
        <w:b/>
        <w:noProof/>
        <w:color w:val="808080" w:themeColor="background1" w:themeShade="80"/>
        <w:sz w:val="18"/>
        <w:szCs w:val="18"/>
      </w:rPr>
      <w:t>2</w:t>
    </w:r>
    <w:r w:rsidRPr="00B45C74">
      <w:rPr>
        <w:b/>
        <w:color w:val="808080" w:themeColor="background1" w:themeShade="80"/>
        <w:sz w:val="18"/>
        <w:szCs w:val="18"/>
      </w:rPr>
      <w:fldChar w:fldCharType="end"/>
    </w:r>
  </w:p>
  <w:p w14:paraId="49F1FA15" w14:textId="386045D3" w:rsidR="00FA7C4C" w:rsidRPr="003A3500" w:rsidRDefault="00FA7C4C" w:rsidP="00A52A09">
    <w:pPr>
      <w:pStyle w:val="af0"/>
    </w:pPr>
    <w:r>
      <w:rPr>
        <w:b/>
      </w:rPr>
      <w:t>Модуль 4.</w:t>
    </w:r>
    <w:r>
      <w:t xml:space="preserve"> </w:t>
    </w:r>
    <w:fldSimple w:instr=" STYLEREF  H1 \t  \* MERGEFORMAT ">
      <w:r w:rsidR="0052491A">
        <w:rPr>
          <w:noProof/>
        </w:rPr>
        <w:t>Дорожная карта для подготовительного раздела программы</w:t>
      </w:r>
    </w:fldSimple>
    <w:r w:rsidR="006E352A" w:rsidRPr="003A350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A198" w14:textId="7110D0B7" w:rsidR="00FA7C4C" w:rsidRPr="00B45C74" w:rsidRDefault="00FA7C4C" w:rsidP="00A52A09">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2491A">
      <w:rPr>
        <w:b/>
        <w:noProof/>
        <w:color w:val="808080" w:themeColor="background1" w:themeShade="80"/>
        <w:sz w:val="18"/>
        <w:szCs w:val="18"/>
      </w:rPr>
      <w:t>1</w:t>
    </w:r>
    <w:r w:rsidRPr="00B45C74">
      <w:rPr>
        <w:b/>
        <w:color w:val="808080" w:themeColor="background1" w:themeShade="80"/>
        <w:sz w:val="18"/>
        <w:szCs w:val="18"/>
      </w:rPr>
      <w:fldChar w:fldCharType="end"/>
    </w:r>
  </w:p>
  <w:p w14:paraId="6988F3DF" w14:textId="55FB35D7" w:rsidR="00FA7C4C" w:rsidRPr="003A3500" w:rsidRDefault="00FA7C4C" w:rsidP="00A52A09">
    <w:pPr>
      <w:pStyle w:val="af0"/>
    </w:pPr>
    <w:r>
      <w:rPr>
        <w:b/>
      </w:rPr>
      <w:t>Модуль 4.</w:t>
    </w:r>
    <w:r>
      <w:t xml:space="preserve"> </w:t>
    </w:r>
    <w:r w:rsidR="00D44FFE">
      <w:fldChar w:fldCharType="begin"/>
    </w:r>
    <w:r w:rsidR="00D44FFE">
      <w:instrText xml:space="preserve"> STYLEREF  H1 \t  \* MERGEFORMAT </w:instrText>
    </w:r>
    <w:r w:rsidR="00D44FFE">
      <w:fldChar w:fldCharType="separate"/>
    </w:r>
    <w:r w:rsidR="0052491A" w:rsidRPr="0052491A">
      <w:rPr>
        <w:bCs/>
        <w:noProof/>
      </w:rPr>
      <w:t>Дорожная карта для</w:t>
    </w:r>
    <w:r w:rsidR="0052491A">
      <w:rPr>
        <w:noProof/>
      </w:rPr>
      <w:t xml:space="preserve"> подготовительного раздела программы</w:t>
    </w:r>
    <w:r w:rsidR="00D44F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2B1F" w14:textId="77777777" w:rsidR="00D44FFE" w:rsidRDefault="00D44FFE" w:rsidP="0086012C">
      <w:r>
        <w:separator/>
      </w:r>
    </w:p>
  </w:footnote>
  <w:footnote w:type="continuationSeparator" w:id="0">
    <w:p w14:paraId="2AADCAA4" w14:textId="77777777" w:rsidR="00D44FFE" w:rsidRDefault="00D44FFE" w:rsidP="0086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813A" w14:textId="77777777" w:rsidR="00FA7C4C" w:rsidRPr="00074036" w:rsidRDefault="00FA7C4C" w:rsidP="00A52A09">
    <w:pPr>
      <w:pStyle w:val="ae"/>
      <w:rPr>
        <w:szCs w:val="16"/>
      </w:rPr>
    </w:pPr>
    <w:r>
      <w:rPr>
        <w:rStyle w:val="Pantone485"/>
      </w:rPr>
      <w:t>Международное движение Красного Креста и Красного Полумесяца</w:t>
    </w:r>
    <w:r>
      <w:rPr>
        <w:color w:val="FF0000"/>
        <w:szCs w:val="16"/>
      </w:rPr>
      <w:t xml:space="preserve"> </w:t>
    </w:r>
    <w:r>
      <w:rPr>
        <w:rStyle w:val="af2"/>
        <w:bCs/>
        <w:szCs w:val="16"/>
      </w:rPr>
      <w:t xml:space="preserve"> I</w:t>
    </w:r>
    <w:r>
      <w:rPr>
        <w:rStyle w:val="af2"/>
        <w:szCs w:val="16"/>
      </w:rPr>
      <w:t xml:space="preserve"> </w:t>
    </w:r>
    <w:r>
      <w:rPr>
        <w:rStyle w:val="af2"/>
        <w:color w:val="FF0000"/>
        <w:szCs w:val="16"/>
      </w:rPr>
      <w:t xml:space="preserve"> </w:t>
    </w:r>
    <w:r>
      <w:rPr>
        <w:szCs w:val="16"/>
      </w:rPr>
      <w:t>Денежные переводы при чрезвычайных ситуациях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9445" w14:textId="77777777" w:rsidR="00FA7C4C" w:rsidRDefault="00FA7C4C" w:rsidP="00A52A09">
    <w:pPr>
      <w:pStyle w:val="Header1"/>
    </w:pPr>
    <w:r>
      <w:rPr>
        <w:noProof/>
        <w:lang w:eastAsia="ru-RU"/>
      </w:rPr>
      <w:drawing>
        <wp:anchor distT="0" distB="0" distL="114300" distR="114300" simplePos="0" relativeHeight="251660288" behindDoc="0" locked="0" layoutInCell="1" allowOverlap="1" wp14:anchorId="73B2349E" wp14:editId="169996A0">
          <wp:simplePos x="0" y="0"/>
          <wp:positionH relativeFrom="page">
            <wp:posOffset>1080135</wp:posOffset>
          </wp:positionH>
          <wp:positionV relativeFrom="page">
            <wp:posOffset>377825</wp:posOffset>
          </wp:positionV>
          <wp:extent cx="633730" cy="71951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EN-1metre.jpg"/>
                  <pic:cNvPicPr/>
                </pic:nvPicPr>
                <pic:blipFill>
                  <a:blip r:embed="rId1">
                    <a:extLst>
                      <a:ext uri="{28A0092B-C50C-407E-A947-70E740481C1C}">
                        <a14:useLocalDpi xmlns:a14="http://schemas.microsoft.com/office/drawing/2010/main" val="0"/>
                      </a:ext>
                    </a:extLst>
                  </a:blip>
                  <a:stretch>
                    <a:fillRect/>
                  </a:stretch>
                </pic:blipFill>
                <pic:spPr>
                  <a:xfrm>
                    <a:off x="0" y="0"/>
                    <a:ext cx="633730" cy="719512"/>
                  </a:xfrm>
                  <a:prstGeom prst="rect">
                    <a:avLst/>
                  </a:prstGeom>
                </pic:spPr>
              </pic:pic>
            </a:graphicData>
          </a:graphic>
          <wp14:sizeRelH relativeFrom="page">
            <wp14:pctWidth>0</wp14:pctWidth>
          </wp14:sizeRelH>
          <wp14:sizeRelV relativeFrom="page">
            <wp14:pctHeight>0</wp14:pctHeight>
          </wp14:sizeRelV>
        </wp:anchor>
      </w:drawing>
    </w:r>
  </w:p>
  <w:p w14:paraId="43A6DF54" w14:textId="77777777" w:rsidR="00FA7C4C" w:rsidRDefault="00FA7C4C" w:rsidP="00A52A09">
    <w:pPr>
      <w:pStyle w:val="Header1"/>
    </w:pPr>
  </w:p>
  <w:p w14:paraId="73D25F32" w14:textId="77777777" w:rsidR="00FA7C4C" w:rsidRDefault="00FA7C4C" w:rsidP="00A52A09">
    <w:pPr>
      <w:pStyle w:val="ae"/>
      <w:rPr>
        <w:color w:val="DC281E"/>
        <w:sz w:val="24"/>
        <w:szCs w:val="24"/>
      </w:rPr>
    </w:pPr>
    <w:r>
      <w:rPr>
        <w:noProof/>
        <w:lang w:eastAsia="ru-RU"/>
      </w:rPr>
      <w:drawing>
        <wp:anchor distT="0" distB="0" distL="114300" distR="114300" simplePos="0" relativeHeight="251659264" behindDoc="0" locked="0" layoutInCell="1" allowOverlap="1" wp14:anchorId="1D3429F4" wp14:editId="753A4776">
          <wp:simplePos x="0" y="0"/>
          <wp:positionH relativeFrom="page">
            <wp:posOffset>3366135</wp:posOffset>
          </wp:positionH>
          <wp:positionV relativeFrom="page">
            <wp:posOffset>784225</wp:posOffset>
          </wp:positionV>
          <wp:extent cx="3200400" cy="299867"/>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EN-1metre.jpg"/>
                  <pic:cNvPicPr/>
                </pic:nvPicPr>
                <pic:blipFill>
                  <a:blip r:embed="rId2">
                    <a:extLst>
                      <a:ext uri="{28A0092B-C50C-407E-A947-70E740481C1C}">
                        <a14:useLocalDpi xmlns:a14="http://schemas.microsoft.com/office/drawing/2010/main" val="0"/>
                      </a:ext>
                    </a:extLst>
                  </a:blip>
                  <a:stretch>
                    <a:fillRect/>
                  </a:stretch>
                </pic:blipFill>
                <pic:spPr>
                  <a:xfrm>
                    <a:off x="0" y="0"/>
                    <a:ext cx="3200400" cy="299867"/>
                  </a:xfrm>
                  <a:prstGeom prst="rect">
                    <a:avLst/>
                  </a:prstGeom>
                </pic:spPr>
              </pic:pic>
            </a:graphicData>
          </a:graphic>
          <wp14:sizeRelH relativeFrom="page">
            <wp14:pctWidth>0</wp14:pctWidth>
          </wp14:sizeRelH>
          <wp14:sizeRelV relativeFrom="page">
            <wp14:pctHeight>0</wp14:pctHeight>
          </wp14:sizeRelV>
        </wp:anchor>
      </w:drawing>
    </w:r>
  </w:p>
  <w:p w14:paraId="689AFE84" w14:textId="77777777" w:rsidR="00FA7C4C" w:rsidRDefault="00FA7C4C" w:rsidP="00A52A09">
    <w:pPr>
      <w:pStyle w:val="ae"/>
      <w:spacing w:line="240" w:lineRule="auto"/>
      <w:rPr>
        <w:b/>
        <w:color w:val="DC281E"/>
        <w:sz w:val="24"/>
        <w:szCs w:val="24"/>
      </w:rPr>
    </w:pPr>
  </w:p>
  <w:p w14:paraId="1D2309D0" w14:textId="77777777" w:rsidR="00FA7C4C" w:rsidRDefault="00FA7C4C" w:rsidP="00A52A09">
    <w:pPr>
      <w:pStyle w:val="ae"/>
      <w:spacing w:line="240" w:lineRule="auto"/>
      <w:rPr>
        <w:b/>
        <w:color w:val="DC281E"/>
        <w:sz w:val="24"/>
        <w:szCs w:val="24"/>
      </w:rPr>
    </w:pPr>
  </w:p>
  <w:p w14:paraId="643C2DB4" w14:textId="77777777" w:rsidR="00FA7C4C" w:rsidRPr="00AD7AA6" w:rsidRDefault="00FA7C4C" w:rsidP="00A52A09">
    <w:pPr>
      <w:pStyle w:val="Header1"/>
      <w:rPr>
        <w:rFonts w:ascii="Arial Bold" w:hAnsi="Arial Bold" w:hint="eastAsia"/>
        <w:color w:val="DC281E"/>
      </w:rPr>
    </w:pPr>
    <w:r>
      <w:rPr>
        <w:rFonts w:ascii="Arial Bold" w:hAnsi="Arial Bold"/>
        <w:color w:val="DC281E"/>
      </w:rPr>
      <w:t>Денежные переводы при чрезвычайных ситуациях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15342"/>
    <w:multiLevelType w:val="multilevel"/>
    <w:tmpl w:val="C7BABB4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B7238"/>
    <w:multiLevelType w:val="multilevel"/>
    <w:tmpl w:val="956CB68C"/>
    <w:lvl w:ilvl="0">
      <w:start w:val="1"/>
      <w:numFmt w:val="bullet"/>
      <w:lvlText w:val=""/>
      <w:lvlJc w:val="left"/>
      <w:pPr>
        <w:ind w:left="720" w:hanging="360"/>
      </w:pPr>
      <w:rPr>
        <w:rFonts w:ascii="Wingdings" w:hAnsi="Wingdings" w:hint="default"/>
        <w:color w:val="3366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3072F"/>
    <w:multiLevelType w:val="hybridMultilevel"/>
    <w:tmpl w:val="956CB68C"/>
    <w:lvl w:ilvl="0" w:tplc="7CDA5062">
      <w:start w:val="1"/>
      <w:numFmt w:val="bullet"/>
      <w:lvlText w:val=""/>
      <w:lvlJc w:val="left"/>
      <w:pPr>
        <w:ind w:left="720" w:hanging="360"/>
      </w:pPr>
      <w:rPr>
        <w:rFonts w:ascii="Wingdings" w:hAnsi="Wingdings" w:hint="default"/>
        <w:color w:val="3366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E6C07"/>
    <w:multiLevelType w:val="hybridMultilevel"/>
    <w:tmpl w:val="1568741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301D9"/>
    <w:multiLevelType w:val="multilevel"/>
    <w:tmpl w:val="15861FC0"/>
    <w:lvl w:ilvl="0">
      <w:start w:val="1"/>
      <w:numFmt w:val="bullet"/>
      <w:lvlText w:val=""/>
      <w:lvlJc w:val="left"/>
      <w:pPr>
        <w:ind w:left="720" w:hanging="360"/>
      </w:pPr>
      <w:rPr>
        <w:rFonts w:ascii="Wingdings" w:hAnsi="Wingdings" w:hint="default"/>
        <w:color w:val="0000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B52718"/>
    <w:multiLevelType w:val="hybridMultilevel"/>
    <w:tmpl w:val="EE106C8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2E1E01F7"/>
    <w:multiLevelType w:val="hybridMultilevel"/>
    <w:tmpl w:val="2E4208B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DA5753"/>
    <w:multiLevelType w:val="hybridMultilevel"/>
    <w:tmpl w:val="C3344A4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3500F"/>
    <w:multiLevelType w:val="hybridMultilevel"/>
    <w:tmpl w:val="15861FC0"/>
    <w:lvl w:ilvl="0" w:tplc="96386C08">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D7C25"/>
    <w:multiLevelType w:val="hybridMultilevel"/>
    <w:tmpl w:val="C7BABB4C"/>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510A9"/>
    <w:multiLevelType w:val="hybridMultilevel"/>
    <w:tmpl w:val="C9E2635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745776"/>
    <w:multiLevelType w:val="hybridMultilevel"/>
    <w:tmpl w:val="02CA7B8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050309C"/>
    <w:multiLevelType w:val="hybridMultilevel"/>
    <w:tmpl w:val="37D2EC7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73113"/>
    <w:multiLevelType w:val="hybridMultilevel"/>
    <w:tmpl w:val="C7686B5C"/>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13EDC"/>
    <w:multiLevelType w:val="multilevel"/>
    <w:tmpl w:val="C7686B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7E3250"/>
    <w:multiLevelType w:val="hybridMultilevel"/>
    <w:tmpl w:val="E44602E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CD15AF"/>
    <w:multiLevelType w:val="hybridMultilevel"/>
    <w:tmpl w:val="02D2A4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D847487"/>
    <w:multiLevelType w:val="hybridMultilevel"/>
    <w:tmpl w:val="3A94A06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19"/>
  </w:num>
  <w:num w:numId="5">
    <w:abstractNumId w:val="9"/>
  </w:num>
  <w:num w:numId="6">
    <w:abstractNumId w:val="14"/>
  </w:num>
  <w:num w:numId="7">
    <w:abstractNumId w:val="26"/>
  </w:num>
  <w:num w:numId="8">
    <w:abstractNumId w:val="24"/>
  </w:num>
  <w:num w:numId="9">
    <w:abstractNumId w:val="22"/>
  </w:num>
  <w:num w:numId="10">
    <w:abstractNumId w:val="13"/>
  </w:num>
  <w:num w:numId="11">
    <w:abstractNumId w:val="1"/>
  </w:num>
  <w:num w:numId="12">
    <w:abstractNumId w:val="21"/>
  </w:num>
  <w:num w:numId="13">
    <w:abstractNumId w:val="23"/>
  </w:num>
  <w:num w:numId="14">
    <w:abstractNumId w:val="12"/>
  </w:num>
  <w:num w:numId="15">
    <w:abstractNumId w:val="7"/>
  </w:num>
  <w:num w:numId="16">
    <w:abstractNumId w:val="3"/>
  </w:num>
  <w:num w:numId="17">
    <w:abstractNumId w:val="2"/>
  </w:num>
  <w:num w:numId="18">
    <w:abstractNumId w:val="6"/>
  </w:num>
  <w:num w:numId="19">
    <w:abstractNumId w:val="25"/>
  </w:num>
  <w:num w:numId="20">
    <w:abstractNumId w:val="8"/>
  </w:num>
  <w:num w:numId="21">
    <w:abstractNumId w:val="0"/>
  </w:num>
  <w:num w:numId="22">
    <w:abstractNumId w:val="15"/>
  </w:num>
  <w:num w:numId="23">
    <w:abstractNumId w:val="5"/>
  </w:num>
  <w:num w:numId="24">
    <w:abstractNumId w:val="16"/>
  </w:num>
  <w:num w:numId="25">
    <w:abstractNumId w:val="20"/>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219B7"/>
    <w:rsid w:val="000712F6"/>
    <w:rsid w:val="000846DE"/>
    <w:rsid w:val="000850B0"/>
    <w:rsid w:val="000B1078"/>
    <w:rsid w:val="000B5182"/>
    <w:rsid w:val="000B646D"/>
    <w:rsid w:val="00113C18"/>
    <w:rsid w:val="00114235"/>
    <w:rsid w:val="00117B94"/>
    <w:rsid w:val="001527A1"/>
    <w:rsid w:val="00157A64"/>
    <w:rsid w:val="00164DC0"/>
    <w:rsid w:val="0017276B"/>
    <w:rsid w:val="00184932"/>
    <w:rsid w:val="001A66BD"/>
    <w:rsid w:val="00200A5E"/>
    <w:rsid w:val="00213C59"/>
    <w:rsid w:val="00234BD9"/>
    <w:rsid w:val="002843DB"/>
    <w:rsid w:val="002968CF"/>
    <w:rsid w:val="002D3CB3"/>
    <w:rsid w:val="002E0DDC"/>
    <w:rsid w:val="002F2DDF"/>
    <w:rsid w:val="002F696C"/>
    <w:rsid w:val="00303B3A"/>
    <w:rsid w:val="0031284B"/>
    <w:rsid w:val="003334E5"/>
    <w:rsid w:val="0034099A"/>
    <w:rsid w:val="00342E95"/>
    <w:rsid w:val="003516D7"/>
    <w:rsid w:val="00360B6B"/>
    <w:rsid w:val="00380087"/>
    <w:rsid w:val="0039084E"/>
    <w:rsid w:val="003B3707"/>
    <w:rsid w:val="003E023B"/>
    <w:rsid w:val="003F22B5"/>
    <w:rsid w:val="003F59EC"/>
    <w:rsid w:val="003F5C27"/>
    <w:rsid w:val="0040036E"/>
    <w:rsid w:val="0040680D"/>
    <w:rsid w:val="00415FCB"/>
    <w:rsid w:val="00422EB9"/>
    <w:rsid w:val="00445F12"/>
    <w:rsid w:val="00447CD5"/>
    <w:rsid w:val="00452787"/>
    <w:rsid w:val="00471E31"/>
    <w:rsid w:val="004919C8"/>
    <w:rsid w:val="004C14FB"/>
    <w:rsid w:val="004D19A7"/>
    <w:rsid w:val="004F4D84"/>
    <w:rsid w:val="0051587F"/>
    <w:rsid w:val="0052491A"/>
    <w:rsid w:val="005316EC"/>
    <w:rsid w:val="00535C63"/>
    <w:rsid w:val="00567AF9"/>
    <w:rsid w:val="00571B78"/>
    <w:rsid w:val="00577D0D"/>
    <w:rsid w:val="00597274"/>
    <w:rsid w:val="0060132D"/>
    <w:rsid w:val="0062370D"/>
    <w:rsid w:val="006845A9"/>
    <w:rsid w:val="00695F1C"/>
    <w:rsid w:val="006C2FA7"/>
    <w:rsid w:val="006D7328"/>
    <w:rsid w:val="006E352A"/>
    <w:rsid w:val="006E5331"/>
    <w:rsid w:val="006E6BC8"/>
    <w:rsid w:val="006F1AE9"/>
    <w:rsid w:val="0070110F"/>
    <w:rsid w:val="007530B8"/>
    <w:rsid w:val="0079696F"/>
    <w:rsid w:val="007A53CA"/>
    <w:rsid w:val="007E00C6"/>
    <w:rsid w:val="007E30B4"/>
    <w:rsid w:val="007F7647"/>
    <w:rsid w:val="00846727"/>
    <w:rsid w:val="0086012C"/>
    <w:rsid w:val="008648AB"/>
    <w:rsid w:val="0087780B"/>
    <w:rsid w:val="00896BD6"/>
    <w:rsid w:val="008D571F"/>
    <w:rsid w:val="008E6F84"/>
    <w:rsid w:val="008F3A81"/>
    <w:rsid w:val="00916DFE"/>
    <w:rsid w:val="009173CC"/>
    <w:rsid w:val="00926EA4"/>
    <w:rsid w:val="0093271C"/>
    <w:rsid w:val="00933E61"/>
    <w:rsid w:val="009461B2"/>
    <w:rsid w:val="00967955"/>
    <w:rsid w:val="00975035"/>
    <w:rsid w:val="00980845"/>
    <w:rsid w:val="009A2FDB"/>
    <w:rsid w:val="009D0E7D"/>
    <w:rsid w:val="009E3BED"/>
    <w:rsid w:val="00A070F1"/>
    <w:rsid w:val="00A254EB"/>
    <w:rsid w:val="00A2577F"/>
    <w:rsid w:val="00A32119"/>
    <w:rsid w:val="00A34C19"/>
    <w:rsid w:val="00A36B7B"/>
    <w:rsid w:val="00A40658"/>
    <w:rsid w:val="00A51FEC"/>
    <w:rsid w:val="00A52A09"/>
    <w:rsid w:val="00A72748"/>
    <w:rsid w:val="00A75B17"/>
    <w:rsid w:val="00AC5BA4"/>
    <w:rsid w:val="00AD51A4"/>
    <w:rsid w:val="00AD7AA6"/>
    <w:rsid w:val="00B026C1"/>
    <w:rsid w:val="00B10740"/>
    <w:rsid w:val="00B31A09"/>
    <w:rsid w:val="00B35F2E"/>
    <w:rsid w:val="00B5259E"/>
    <w:rsid w:val="00B738B0"/>
    <w:rsid w:val="00B74F74"/>
    <w:rsid w:val="00B91BA9"/>
    <w:rsid w:val="00C302DE"/>
    <w:rsid w:val="00C6279A"/>
    <w:rsid w:val="00C71307"/>
    <w:rsid w:val="00CD42AD"/>
    <w:rsid w:val="00D143BF"/>
    <w:rsid w:val="00D44FFE"/>
    <w:rsid w:val="00DA1973"/>
    <w:rsid w:val="00E33CF8"/>
    <w:rsid w:val="00E4000C"/>
    <w:rsid w:val="00E531EB"/>
    <w:rsid w:val="00E611F1"/>
    <w:rsid w:val="00ED5CA8"/>
    <w:rsid w:val="00F024C1"/>
    <w:rsid w:val="00F055FF"/>
    <w:rsid w:val="00F11E14"/>
    <w:rsid w:val="00F14B82"/>
    <w:rsid w:val="00F4692D"/>
    <w:rsid w:val="00F54205"/>
    <w:rsid w:val="00F61C02"/>
    <w:rsid w:val="00F871C5"/>
    <w:rsid w:val="00FA7C4C"/>
    <w:rsid w:val="00FC37E3"/>
    <w:rsid w:val="00FD0E83"/>
    <w:rsid w:val="00FE0C5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EE0F45"/>
  <w15:docId w15:val="{46E251CD-16B5-4993-95FB-47CA20E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D51A4"/>
    <w:pPr>
      <w:spacing w:after="120"/>
      <w:jc w:val="both"/>
    </w:pPr>
    <w:rPr>
      <w:rFonts w:ascii="Arial" w:eastAsiaTheme="minorEastAsia" w:hAnsi="Arial" w:cs="Times New Roman"/>
      <w:sz w:val="20"/>
      <w:szCs w:val="20"/>
    </w:rPr>
  </w:style>
  <w:style w:type="paragraph" w:styleId="1">
    <w:name w:val="heading 1"/>
    <w:basedOn w:val="H1"/>
    <w:next w:val="a"/>
    <w:link w:val="10"/>
    <w:uiPriority w:val="9"/>
    <w:rsid w:val="00AD51A4"/>
  </w:style>
  <w:style w:type="paragraph" w:styleId="2">
    <w:name w:val="heading 2"/>
    <w:basedOn w:val="a"/>
    <w:next w:val="a"/>
    <w:link w:val="20"/>
    <w:uiPriority w:val="9"/>
    <w:unhideWhenUsed/>
    <w:qFormat/>
    <w:rsid w:val="00AD51A4"/>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AD51A4"/>
    <w:pPr>
      <w:keepNext/>
      <w:spacing w:before="240"/>
      <w:jc w:val="left"/>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51A4"/>
    <w:pPr>
      <w:spacing w:after="240"/>
      <w:ind w:left="720"/>
      <w:contextualSpacing/>
    </w:pPr>
    <w:rPr>
      <w:rFonts w:eastAsiaTheme="minorHAnsi" w:cstheme="minorBidi"/>
      <w:szCs w:val="22"/>
    </w:rPr>
  </w:style>
  <w:style w:type="table" w:styleId="a5">
    <w:name w:val="Table Grid"/>
    <w:basedOn w:val="a1"/>
    <w:uiPriority w:val="59"/>
    <w:rsid w:val="00AD51A4"/>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D51A4"/>
    <w:rPr>
      <w:sz w:val="18"/>
      <w:szCs w:val="18"/>
    </w:rPr>
  </w:style>
  <w:style w:type="paragraph" w:styleId="a7">
    <w:name w:val="annotation text"/>
    <w:basedOn w:val="a"/>
    <w:link w:val="a8"/>
    <w:uiPriority w:val="99"/>
    <w:semiHidden/>
    <w:unhideWhenUsed/>
    <w:rsid w:val="000B5182"/>
  </w:style>
  <w:style w:type="character" w:customStyle="1" w:styleId="a8">
    <w:name w:val="Текст примечания Знак"/>
    <w:basedOn w:val="a0"/>
    <w:link w:val="a7"/>
    <w:uiPriority w:val="99"/>
    <w:semiHidden/>
    <w:rsid w:val="000B5182"/>
    <w:rPr>
      <w:rFonts w:asciiTheme="majorHAnsi" w:hAnsiTheme="majorHAnsi"/>
      <w:sz w:val="20"/>
      <w:szCs w:val="20"/>
      <w:lang w:val="ru-RU"/>
    </w:rPr>
  </w:style>
  <w:style w:type="paragraph" w:styleId="a9">
    <w:name w:val="annotation subject"/>
    <w:basedOn w:val="a"/>
    <w:link w:val="aa"/>
    <w:uiPriority w:val="99"/>
    <w:semiHidden/>
    <w:unhideWhenUsed/>
    <w:rsid w:val="00AD51A4"/>
    <w:rPr>
      <w:b/>
      <w:bCs/>
    </w:rPr>
  </w:style>
  <w:style w:type="character" w:customStyle="1" w:styleId="aa">
    <w:name w:val="Тема примечания Знак"/>
    <w:basedOn w:val="a0"/>
    <w:link w:val="a9"/>
    <w:uiPriority w:val="99"/>
    <w:semiHidden/>
    <w:rsid w:val="00AD51A4"/>
    <w:rPr>
      <w:rFonts w:ascii="Arial" w:eastAsiaTheme="minorEastAsia" w:hAnsi="Arial" w:cs="Times New Roman"/>
      <w:b/>
      <w:bCs/>
      <w:sz w:val="20"/>
      <w:szCs w:val="20"/>
    </w:rPr>
  </w:style>
  <w:style w:type="paragraph" w:styleId="ab">
    <w:name w:val="Balloon Text"/>
    <w:basedOn w:val="a"/>
    <w:link w:val="ac"/>
    <w:uiPriority w:val="99"/>
    <w:semiHidden/>
    <w:unhideWhenUsed/>
    <w:rsid w:val="00AD51A4"/>
    <w:pPr>
      <w:spacing w:after="0"/>
    </w:pPr>
    <w:rPr>
      <w:rFonts w:ascii="Lucida Grande" w:hAnsi="Lucida Grande" w:cs="Lucida Grande"/>
      <w:sz w:val="18"/>
      <w:szCs w:val="18"/>
    </w:rPr>
  </w:style>
  <w:style w:type="character" w:customStyle="1" w:styleId="ac">
    <w:name w:val="Текст выноски Знак"/>
    <w:basedOn w:val="a0"/>
    <w:link w:val="ab"/>
    <w:uiPriority w:val="99"/>
    <w:semiHidden/>
    <w:rsid w:val="00AD51A4"/>
    <w:rPr>
      <w:rFonts w:ascii="Lucida Grande" w:eastAsiaTheme="minorEastAsia" w:hAnsi="Lucida Grande" w:cs="Lucida Grande"/>
      <w:sz w:val="18"/>
      <w:szCs w:val="18"/>
    </w:rPr>
  </w:style>
  <w:style w:type="paragraph" w:styleId="ad">
    <w:name w:val="Revision"/>
    <w:hidden/>
    <w:uiPriority w:val="99"/>
    <w:semiHidden/>
    <w:rsid w:val="00AD51A4"/>
    <w:rPr>
      <w:rFonts w:ascii="Arial" w:eastAsiaTheme="minorEastAsia" w:hAnsi="Arial" w:cs="Arial"/>
      <w:sz w:val="21"/>
      <w:szCs w:val="21"/>
    </w:rPr>
  </w:style>
  <w:style w:type="character" w:customStyle="1" w:styleId="a4">
    <w:name w:val="Абзац списка Знак"/>
    <w:basedOn w:val="a0"/>
    <w:link w:val="a3"/>
    <w:uiPriority w:val="34"/>
    <w:rsid w:val="00AD51A4"/>
    <w:rPr>
      <w:rFonts w:ascii="Arial" w:hAnsi="Arial"/>
      <w:sz w:val="20"/>
      <w:szCs w:val="22"/>
    </w:rPr>
  </w:style>
  <w:style w:type="paragraph" w:styleId="ae">
    <w:name w:val="header"/>
    <w:basedOn w:val="a"/>
    <w:link w:val="af"/>
    <w:uiPriority w:val="99"/>
    <w:unhideWhenUsed/>
    <w:rsid w:val="00AD51A4"/>
    <w:pPr>
      <w:spacing w:after="0" w:line="288" w:lineRule="auto"/>
      <w:jc w:val="left"/>
    </w:pPr>
    <w:rPr>
      <w:sz w:val="16"/>
    </w:rPr>
  </w:style>
  <w:style w:type="character" w:customStyle="1" w:styleId="af">
    <w:name w:val="Верхний колонтитул Знак"/>
    <w:basedOn w:val="a0"/>
    <w:link w:val="ae"/>
    <w:uiPriority w:val="99"/>
    <w:rsid w:val="00AD51A4"/>
    <w:rPr>
      <w:rFonts w:ascii="Arial" w:eastAsiaTheme="minorEastAsia" w:hAnsi="Arial" w:cs="Times New Roman"/>
      <w:sz w:val="16"/>
      <w:szCs w:val="20"/>
    </w:rPr>
  </w:style>
  <w:style w:type="paragraph" w:styleId="af0">
    <w:name w:val="footer"/>
    <w:basedOn w:val="a"/>
    <w:link w:val="af1"/>
    <w:uiPriority w:val="99"/>
    <w:unhideWhenUsed/>
    <w:rsid w:val="00AD51A4"/>
    <w:pPr>
      <w:spacing w:after="0"/>
      <w:jc w:val="left"/>
    </w:pPr>
    <w:rPr>
      <w:sz w:val="16"/>
      <w:szCs w:val="18"/>
    </w:rPr>
  </w:style>
  <w:style w:type="character" w:customStyle="1" w:styleId="af1">
    <w:name w:val="Нижний колонтитул Знак"/>
    <w:basedOn w:val="a0"/>
    <w:link w:val="af0"/>
    <w:uiPriority w:val="99"/>
    <w:rsid w:val="00AD51A4"/>
    <w:rPr>
      <w:rFonts w:ascii="Arial" w:eastAsiaTheme="minorEastAsia" w:hAnsi="Arial" w:cs="Times New Roman"/>
      <w:sz w:val="16"/>
      <w:szCs w:val="18"/>
    </w:rPr>
  </w:style>
  <w:style w:type="character" w:customStyle="1" w:styleId="10">
    <w:name w:val="Заголовок 1 Знак"/>
    <w:basedOn w:val="a0"/>
    <w:link w:val="1"/>
    <w:uiPriority w:val="9"/>
    <w:rsid w:val="00AD51A4"/>
    <w:rPr>
      <w:rFonts w:ascii="Arial" w:eastAsiaTheme="minorEastAsia" w:hAnsi="Arial" w:cs="Times New Roman"/>
      <w:b/>
      <w:sz w:val="40"/>
      <w:szCs w:val="52"/>
    </w:rPr>
  </w:style>
  <w:style w:type="character" w:customStyle="1" w:styleId="20">
    <w:name w:val="Заголовок 2 Знак"/>
    <w:basedOn w:val="a0"/>
    <w:link w:val="2"/>
    <w:uiPriority w:val="9"/>
    <w:rsid w:val="00AD51A4"/>
    <w:rPr>
      <w:rFonts w:ascii="Arial" w:eastAsiaTheme="minorEastAsia" w:hAnsi="Arial" w:cs="Times New Roman"/>
      <w:b/>
      <w:caps/>
      <w:szCs w:val="26"/>
    </w:rPr>
  </w:style>
  <w:style w:type="character" w:customStyle="1" w:styleId="30">
    <w:name w:val="Заголовок 3 Знак"/>
    <w:basedOn w:val="a0"/>
    <w:link w:val="3"/>
    <w:uiPriority w:val="9"/>
    <w:rsid w:val="00AD51A4"/>
    <w:rPr>
      <w:rFonts w:ascii="Arial" w:eastAsiaTheme="minorEastAsia" w:hAnsi="Arial" w:cs="Times New Roman"/>
      <w:b/>
      <w:sz w:val="22"/>
    </w:rPr>
  </w:style>
  <w:style w:type="paragraph" w:customStyle="1" w:styleId="Default">
    <w:name w:val="Default"/>
    <w:rsid w:val="00AD51A4"/>
    <w:pPr>
      <w:widowControl w:val="0"/>
      <w:autoSpaceDE w:val="0"/>
      <w:autoSpaceDN w:val="0"/>
      <w:adjustRightInd w:val="0"/>
    </w:pPr>
    <w:rPr>
      <w:rFonts w:ascii="Arial" w:eastAsiaTheme="minorEastAsia" w:hAnsi="Arial" w:cs="Arial"/>
      <w:color w:val="000000"/>
    </w:rPr>
  </w:style>
  <w:style w:type="character" w:styleId="af2">
    <w:name w:val="page number"/>
    <w:basedOn w:val="a0"/>
    <w:uiPriority w:val="99"/>
    <w:unhideWhenUsed/>
    <w:rsid w:val="00AD51A4"/>
    <w:rPr>
      <w:b/>
    </w:rPr>
  </w:style>
  <w:style w:type="character" w:styleId="af3">
    <w:name w:val="Hyperlink"/>
    <w:basedOn w:val="a0"/>
    <w:uiPriority w:val="99"/>
    <w:unhideWhenUsed/>
    <w:rsid w:val="00AD51A4"/>
    <w:rPr>
      <w:color w:val="0000FF" w:themeColor="hyperlink"/>
      <w:u w:val="single"/>
    </w:rPr>
  </w:style>
  <w:style w:type="character" w:styleId="af4">
    <w:name w:val="FollowedHyperlink"/>
    <w:basedOn w:val="a0"/>
    <w:uiPriority w:val="99"/>
    <w:semiHidden/>
    <w:unhideWhenUsed/>
    <w:rsid w:val="00AD51A4"/>
    <w:rPr>
      <w:color w:val="800080" w:themeColor="followedHyperlink"/>
      <w:u w:val="single"/>
    </w:rPr>
  </w:style>
  <w:style w:type="paragraph" w:styleId="af5">
    <w:name w:val="footnote text"/>
    <w:basedOn w:val="a"/>
    <w:link w:val="af6"/>
    <w:uiPriority w:val="99"/>
    <w:unhideWhenUsed/>
    <w:rsid w:val="00AD51A4"/>
    <w:pPr>
      <w:spacing w:after="0"/>
    </w:pPr>
    <w:rPr>
      <w:sz w:val="16"/>
      <w:szCs w:val="22"/>
    </w:rPr>
  </w:style>
  <w:style w:type="character" w:customStyle="1" w:styleId="af6">
    <w:name w:val="Текст сноски Знак"/>
    <w:basedOn w:val="a0"/>
    <w:link w:val="af5"/>
    <w:uiPriority w:val="99"/>
    <w:rsid w:val="00AD51A4"/>
    <w:rPr>
      <w:rFonts w:ascii="Arial" w:eastAsiaTheme="minorEastAsia" w:hAnsi="Arial" w:cs="Times New Roman"/>
      <w:sz w:val="16"/>
      <w:szCs w:val="22"/>
    </w:rPr>
  </w:style>
  <w:style w:type="character" w:styleId="af7">
    <w:name w:val="footnote reference"/>
    <w:basedOn w:val="a0"/>
    <w:uiPriority w:val="99"/>
    <w:unhideWhenUsed/>
    <w:rsid w:val="00AD51A4"/>
    <w:rPr>
      <w:vertAlign w:val="superscript"/>
    </w:rPr>
  </w:style>
  <w:style w:type="paragraph" w:customStyle="1" w:styleId="BasicParagraph">
    <w:name w:val="[Basic Paragraph]"/>
    <w:basedOn w:val="a"/>
    <w:uiPriority w:val="99"/>
    <w:rsid w:val="00AD51A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AD51A4"/>
    <w:pPr>
      <w:spacing w:before="360" w:after="240"/>
      <w:jc w:val="left"/>
      <w:outlineLvl w:val="0"/>
    </w:pPr>
    <w:rPr>
      <w:b/>
      <w:sz w:val="40"/>
      <w:szCs w:val="52"/>
    </w:rPr>
  </w:style>
  <w:style w:type="paragraph" w:customStyle="1" w:styleId="Bullet1">
    <w:name w:val="Bullet 1"/>
    <w:basedOn w:val="a"/>
    <w:rsid w:val="00AD51A4"/>
    <w:pPr>
      <w:numPr>
        <w:numId w:val="23"/>
      </w:numPr>
      <w:spacing w:before="60"/>
    </w:pPr>
    <w:rPr>
      <w:rFonts w:eastAsia="Times New Roman"/>
      <w:color w:val="000000"/>
    </w:rPr>
  </w:style>
  <w:style w:type="paragraph" w:customStyle="1" w:styleId="RefItem1">
    <w:name w:val="Ref Item 1"/>
    <w:basedOn w:val="a"/>
    <w:rsid w:val="00AD51A4"/>
    <w:pPr>
      <w:jc w:val="left"/>
    </w:pPr>
    <w:rPr>
      <w:color w:val="000000"/>
      <w:szCs w:val="24"/>
      <w:lang w:eastAsia="it-IT"/>
    </w:rPr>
  </w:style>
  <w:style w:type="paragraph" w:customStyle="1" w:styleId="RefTitre">
    <w:name w:val="Ref Titre"/>
    <w:basedOn w:val="a"/>
    <w:rsid w:val="00AD51A4"/>
    <w:pPr>
      <w:jc w:val="left"/>
    </w:pPr>
    <w:rPr>
      <w:rFonts w:eastAsia="Times New Roman"/>
      <w:b/>
      <w:bCs/>
      <w:sz w:val="26"/>
      <w:szCs w:val="26"/>
    </w:rPr>
  </w:style>
  <w:style w:type="paragraph" w:customStyle="1" w:styleId="Header1">
    <w:name w:val="Header 1"/>
    <w:basedOn w:val="ae"/>
    <w:rsid w:val="00AD51A4"/>
    <w:rPr>
      <w:b/>
      <w:sz w:val="24"/>
      <w:szCs w:val="24"/>
    </w:rPr>
  </w:style>
  <w:style w:type="character" w:customStyle="1" w:styleId="Pantone485">
    <w:name w:val="Pantone 485"/>
    <w:basedOn w:val="a0"/>
    <w:uiPriority w:val="1"/>
    <w:qFormat/>
    <w:rsid w:val="00AD51A4"/>
    <w:rPr>
      <w:rFonts w:cs="Caecilia-Light"/>
      <w:color w:val="DC281E"/>
      <w:szCs w:val="16"/>
    </w:rPr>
  </w:style>
  <w:style w:type="character" w:customStyle="1" w:styleId="H1Char">
    <w:name w:val="H1 Char"/>
    <w:basedOn w:val="a0"/>
    <w:link w:val="H1"/>
    <w:rsid w:val="00AD51A4"/>
    <w:rPr>
      <w:rFonts w:ascii="Arial" w:eastAsiaTheme="minorEastAsia" w:hAnsi="Arial" w:cs="Times New Roman"/>
      <w:b/>
      <w:sz w:val="40"/>
      <w:szCs w:val="52"/>
    </w:rPr>
  </w:style>
  <w:style w:type="table" w:customStyle="1" w:styleId="TableGray">
    <w:name w:val="Table Gray"/>
    <w:basedOn w:val="a1"/>
    <w:uiPriority w:val="99"/>
    <w:rsid w:val="00AD51A4"/>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3"/>
    <w:rsid w:val="00916DFE"/>
    <w:pPr>
      <w:numPr>
        <w:numId w:val="24"/>
      </w:numPr>
      <w:tabs>
        <w:tab w:val="left" w:pos="7230"/>
      </w:tabs>
      <w:spacing w:before="120" w:after="120"/>
      <w:ind w:left="714" w:hanging="357"/>
      <w:contextualSpacing w:val="0"/>
    </w:pPr>
    <w:rPr>
      <w:rFonts w:cs="Arial"/>
    </w:rPr>
  </w:style>
  <w:style w:type="paragraph" w:customStyle="1" w:styleId="ListNumber1">
    <w:name w:val="List Number 1"/>
    <w:basedOn w:val="a"/>
    <w:rsid w:val="00AD51A4"/>
    <w:pPr>
      <w:numPr>
        <w:ilvl w:val="1"/>
        <w:numId w:val="21"/>
      </w:numPr>
      <w:contextualSpacing/>
    </w:pPr>
    <w:rPr>
      <w:rFonts w:eastAsiaTheme="minorHAnsi" w:cstheme="minorHAnsi"/>
      <w:szCs w:val="22"/>
    </w:rPr>
  </w:style>
  <w:style w:type="paragraph" w:customStyle="1" w:styleId="NormalNo">
    <w:name w:val="Normal + No"/>
    <w:basedOn w:val="a"/>
    <w:qFormat/>
    <w:rsid w:val="00AD51A4"/>
    <w:pPr>
      <w:numPr>
        <w:numId w:val="22"/>
      </w:numPr>
    </w:pPr>
    <w:rPr>
      <w:rFonts w:eastAsia="MS Mincho"/>
      <w:b/>
      <w:sz w:val="22"/>
    </w:rPr>
  </w:style>
  <w:style w:type="paragraph" w:customStyle="1" w:styleId="Bullet3">
    <w:name w:val="Bullet 3"/>
    <w:basedOn w:val="a3"/>
    <w:qFormat/>
    <w:rsid w:val="00AD51A4"/>
    <w:pPr>
      <w:numPr>
        <w:numId w:val="25"/>
      </w:numPr>
      <w:spacing w:before="120" w:after="120"/>
      <w:ind w:right="425"/>
    </w:pPr>
    <w:rPr>
      <w:rFonts w:cs="Arial"/>
      <w:i/>
      <w:iCs/>
    </w:rPr>
  </w:style>
  <w:style w:type="paragraph" w:customStyle="1" w:styleId="Indent">
    <w:name w:val="Indent"/>
    <w:basedOn w:val="a"/>
    <w:qFormat/>
    <w:rsid w:val="00AD51A4"/>
    <w:pPr>
      <w:ind w:left="567"/>
    </w:pPr>
    <w:rPr>
      <w:rFonts w:cs="Arial"/>
      <w:b/>
    </w:rPr>
  </w:style>
  <w:style w:type="paragraph" w:customStyle="1" w:styleId="TitreTableau">
    <w:name w:val="Titre Tableau"/>
    <w:basedOn w:val="a"/>
    <w:qFormat/>
    <w:rsid w:val="00AD51A4"/>
    <w:pPr>
      <w:spacing w:before="120"/>
      <w:jc w:val="center"/>
    </w:pPr>
    <w:rPr>
      <w:rFonts w:cs="Arial"/>
      <w:b/>
      <w:bCs/>
      <w:color w:val="FFFFFF" w:themeColor="background1"/>
    </w:rPr>
  </w:style>
  <w:style w:type="paragraph" w:customStyle="1" w:styleId="BulletTableau">
    <w:name w:val="Bullet Tableau"/>
    <w:basedOn w:val="Bullet2"/>
    <w:qFormat/>
    <w:rsid w:val="00AD51A4"/>
    <w:pPr>
      <w:keepNext/>
      <w:keepLines/>
      <w:framePr w:hSpace="141" w:wrap="around" w:vAnchor="text" w:hAnchor="margin" w:y="402"/>
      <w:numPr>
        <w:numId w:val="26"/>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9404">
      <w:bodyDiv w:val="1"/>
      <w:marLeft w:val="0"/>
      <w:marRight w:val="0"/>
      <w:marTop w:val="0"/>
      <w:marBottom w:val="0"/>
      <w:divBdr>
        <w:top w:val="none" w:sz="0" w:space="0" w:color="auto"/>
        <w:left w:val="none" w:sz="0" w:space="0" w:color="auto"/>
        <w:bottom w:val="none" w:sz="0" w:space="0" w:color="auto"/>
        <w:right w:val="none" w:sz="0" w:space="0" w:color="auto"/>
      </w:divBdr>
    </w:div>
    <w:div w:id="1587419199">
      <w:bodyDiv w:val="1"/>
      <w:marLeft w:val="0"/>
      <w:marRight w:val="0"/>
      <w:marTop w:val="0"/>
      <w:marBottom w:val="0"/>
      <w:divBdr>
        <w:top w:val="none" w:sz="0" w:space="0" w:color="auto"/>
        <w:left w:val="none" w:sz="0" w:space="0" w:color="auto"/>
        <w:bottom w:val="none" w:sz="0" w:space="0" w:color="auto"/>
        <w:right w:val="none" w:sz="0" w:space="0" w:color="auto"/>
      </w:divBdr>
    </w:div>
    <w:div w:id="2097433521">
      <w:bodyDiv w:val="1"/>
      <w:marLeft w:val="0"/>
      <w:marRight w:val="0"/>
      <w:marTop w:val="0"/>
      <w:marBottom w:val="0"/>
      <w:divBdr>
        <w:top w:val="none" w:sz="0" w:space="0" w:color="auto"/>
        <w:left w:val="none" w:sz="0" w:space="0" w:color="auto"/>
        <w:bottom w:val="none" w:sz="0" w:space="0" w:color="auto"/>
        <w:right w:val="none" w:sz="0" w:space="0" w:color="auto"/>
      </w:divBdr>
    </w:div>
    <w:div w:id="21328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ure.ifrc.org/DMISII/Pages/03_response/0306_eru/030602_eru_relief/146900_relief%20ERU_EN_LR.pdf" TargetMode="External"/><Relationship Id="rId13" Type="http://schemas.openxmlformats.org/officeDocument/2006/relationships/hyperlink" Target="http://www.cashlearning.org/downloads/mpg-toolkit-pdfs/mpg-annex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hlearning.org/downloads/mpg-toolkit-pdfs/mpg-annex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hlearning.org/resources/coordination-toolk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shlearning.org/resources/coordination-toolk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shlearning.org/resources/library/30-making-the-case-for-cash-a-field-guide-to-advocacy-for-cash-transfer-programming-screen-versio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A7B3-1191-45FF-BD42-F9BC12FD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79</TotalTime>
  <Pages>4</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Pantaleo</dc:creator>
  <cp:keywords/>
  <cp:lastModifiedBy>Mareta GAZIKOVA</cp:lastModifiedBy>
  <cp:revision>9</cp:revision>
  <cp:lastPrinted>2015-09-29T08:45:00Z</cp:lastPrinted>
  <dcterms:created xsi:type="dcterms:W3CDTF">2016-08-04T08:54:00Z</dcterms:created>
  <dcterms:modified xsi:type="dcterms:W3CDTF">2017-04-20T10:03:00Z</dcterms:modified>
</cp:coreProperties>
</file>