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2645" w:rsidRPr="00A70D75" w:rsidRDefault="00A70D75">
      <w:pPr>
        <w:spacing w:before="360" w:after="240"/>
        <w:jc w:val="left"/>
        <w:rPr>
          <w:b/>
          <w:sz w:val="40"/>
          <w:szCs w:val="40"/>
          <w:lang w:val="ru-RU"/>
        </w:rPr>
      </w:pPr>
      <w:r w:rsidRPr="00A70D75">
        <w:rPr>
          <w:b/>
          <w:sz w:val="40"/>
          <w:szCs w:val="40"/>
          <w:lang w:val="ru-RU"/>
        </w:rPr>
        <w:t>Шаблон оперативного плана ПДП</w:t>
      </w:r>
    </w:p>
    <w:p w:rsidR="00592645" w:rsidRPr="00A70D75" w:rsidRDefault="00A70D75">
      <w:pPr>
        <w:rPr>
          <w:lang w:val="ru-RU"/>
        </w:rPr>
      </w:pPr>
      <w:r w:rsidRPr="00A70D75">
        <w:rPr>
          <w:b/>
          <w:lang w:val="ru-RU"/>
        </w:rPr>
        <w:t xml:space="preserve">Цель:  </w:t>
      </w:r>
      <w:r w:rsidRPr="00A70D75">
        <w:rPr>
          <w:lang w:val="ru-RU"/>
        </w:rPr>
        <w:t>Оперативный план действий помогает команде, занимающейся оказанием помощи, определить, чего они хотят добиться для бенефициаров.  В плане устанавливаются приоритеты, кроме того, план является дорожной картой, помогающей команде не терять ориентир и работать для достижения ожидаемых результатов.</w:t>
      </w:r>
    </w:p>
    <w:p w:rsidR="00592645" w:rsidRPr="00A70D75" w:rsidRDefault="00A70D75">
      <w:pPr>
        <w:rPr>
          <w:lang w:val="ru-RU"/>
        </w:rPr>
      </w:pPr>
      <w:bookmarkStart w:id="0" w:name="_gjdgxs" w:colFirst="0" w:colLast="0"/>
      <w:bookmarkEnd w:id="0"/>
      <w:r w:rsidRPr="00A70D75">
        <w:rPr>
          <w:lang w:val="ru-RU"/>
        </w:rPr>
        <w:t>Тщательно подготовленный план действий при чрезвычайной ситуации является ключевой составляющей качественной программной деятельности, так как в плане определяется общая стратегия, конкретные цели и структура работы на местах всей операции.  План следует составлять по завершении оценочной фазы и использовать в качестве инструмента координ</w:t>
      </w:r>
      <w:r w:rsidR="0046694E">
        <w:rPr>
          <w:lang w:val="ru-RU"/>
        </w:rPr>
        <w:t>ирования</w:t>
      </w:r>
      <w:r w:rsidRPr="00A70D75">
        <w:rPr>
          <w:lang w:val="ru-RU"/>
        </w:rPr>
        <w:t xml:space="preserve"> работы с другими участниками Движения.</w:t>
      </w:r>
    </w:p>
    <w:p w:rsidR="00592645" w:rsidRDefault="00A70D75">
      <w:pPr>
        <w:rPr>
          <w:lang w:val="ru-RU"/>
        </w:rPr>
      </w:pPr>
      <w:r w:rsidRPr="00A70D75">
        <w:rPr>
          <w:b/>
          <w:lang w:val="ru-RU"/>
        </w:rPr>
        <w:t xml:space="preserve">Как </w:t>
      </w:r>
      <w:r w:rsidR="0046694E">
        <w:rPr>
          <w:b/>
          <w:lang w:val="ru-RU"/>
        </w:rPr>
        <w:t>заполнять данный документ</w:t>
      </w:r>
      <w:r w:rsidRPr="00A70D75">
        <w:rPr>
          <w:b/>
          <w:lang w:val="ru-RU"/>
        </w:rPr>
        <w:t xml:space="preserve">:  </w:t>
      </w:r>
      <w:r w:rsidRPr="00A70D75">
        <w:rPr>
          <w:lang w:val="ru-RU"/>
        </w:rPr>
        <w:t xml:space="preserve">С помощью представленного руководства </w:t>
      </w:r>
      <w:r w:rsidR="0046694E">
        <w:rPr>
          <w:lang w:val="ru-RU"/>
        </w:rPr>
        <w:t>заполните</w:t>
      </w:r>
      <w:r w:rsidRPr="00A70D75">
        <w:rPr>
          <w:lang w:val="ru-RU"/>
        </w:rPr>
        <w:t xml:space="preserve"> каждый раздел.  Кроме того, план действий при ЧС должен соответствовать структуре вашей организации.  Помимо информационного сообщения он должен содержать: логическую структуру, матрицу рисков, кадровый план, бюджет и подробный план работы.</w:t>
      </w:r>
    </w:p>
    <w:p w:rsidR="0046694E" w:rsidRPr="00A70D75" w:rsidRDefault="0046694E">
      <w:pPr>
        <w:rPr>
          <w:lang w:val="ru-RU"/>
        </w:rPr>
      </w:pPr>
    </w:p>
    <w:p w:rsidR="00592645" w:rsidRDefault="00A70D75">
      <w:pPr>
        <w:spacing w:after="240"/>
        <w:rPr>
          <w:b/>
        </w:rPr>
      </w:pPr>
      <w:r>
        <w:rPr>
          <w:b/>
        </w:rPr>
        <w:t>Содержание плана действий: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Общая информация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Анализ ситуации</w:t>
      </w:r>
    </w:p>
    <w:p w:rsidR="00592645" w:rsidRPr="00A70D75" w:rsidRDefault="00A70D75">
      <w:pPr>
        <w:numPr>
          <w:ilvl w:val="0"/>
          <w:numId w:val="4"/>
        </w:numPr>
        <w:spacing w:after="0" w:line="480" w:lineRule="auto"/>
        <w:ind w:hanging="720"/>
        <w:contextualSpacing/>
        <w:rPr>
          <w:lang w:val="ru-RU"/>
        </w:rPr>
      </w:pPr>
      <w:r w:rsidRPr="00A70D75">
        <w:rPr>
          <w:lang w:val="ru-RU"/>
        </w:rPr>
        <w:t>Предлагаемый оперативный план реагирования при ЧС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Бюджет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Логическая структура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Матрица рисков</w:t>
      </w:r>
    </w:p>
    <w:p w:rsidR="00592645" w:rsidRDefault="00A70D75">
      <w:pPr>
        <w:numPr>
          <w:ilvl w:val="0"/>
          <w:numId w:val="4"/>
        </w:numPr>
        <w:spacing w:after="0" w:line="480" w:lineRule="auto"/>
        <w:ind w:hanging="720"/>
        <w:contextualSpacing/>
      </w:pPr>
      <w:r>
        <w:t>Кадровый план</w:t>
      </w:r>
    </w:p>
    <w:p w:rsidR="00592645" w:rsidRDefault="00A70D75">
      <w:pPr>
        <w:numPr>
          <w:ilvl w:val="0"/>
          <w:numId w:val="4"/>
        </w:numPr>
        <w:spacing w:after="240" w:line="480" w:lineRule="auto"/>
        <w:ind w:hanging="720"/>
        <w:contextualSpacing/>
      </w:pPr>
      <w:r>
        <w:t>План работы</w:t>
      </w:r>
      <w:bookmarkStart w:id="1" w:name="_GoBack"/>
      <w:bookmarkEnd w:id="1"/>
    </w:p>
    <w:p w:rsidR="00592645" w:rsidRDefault="00A70D75">
      <w:r>
        <w:br w:type="page"/>
      </w:r>
    </w:p>
    <w:p w:rsidR="00592645" w:rsidRDefault="00592645">
      <w:pPr>
        <w:spacing w:after="200" w:line="480" w:lineRule="auto"/>
        <w:jc w:val="left"/>
        <w:rPr>
          <w:b/>
          <w:sz w:val="22"/>
          <w:szCs w:val="22"/>
        </w:rPr>
      </w:pPr>
    </w:p>
    <w:p w:rsidR="00592645" w:rsidRDefault="00A70D7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Полные разделы</w:t>
      </w:r>
    </w:p>
    <w:p w:rsidR="00592645" w:rsidRDefault="00A70D75">
      <w:pPr>
        <w:pStyle w:val="2"/>
      </w:pPr>
      <w:r>
        <w:t>I. Общая информация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 xml:space="preserve">Дата, </w:t>
      </w:r>
      <w:r w:rsidR="0046694E">
        <w:rPr>
          <w:lang w:val="ru-RU"/>
        </w:rPr>
        <w:t>место расположения</w:t>
      </w:r>
      <w:r w:rsidRPr="00A70D75">
        <w:rPr>
          <w:lang w:val="ru-RU"/>
        </w:rPr>
        <w:t>, национальное общество и задействованные участники Движения: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Цель Плана действий: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Некоторые примеры включают:</w:t>
      </w:r>
    </w:p>
    <w:p w:rsidR="00592645" w:rsidRPr="00A70D75" w:rsidRDefault="00592645">
      <w:pPr>
        <w:spacing w:after="0"/>
        <w:ind w:left="720" w:hanging="360"/>
        <w:rPr>
          <w:i/>
          <w:shd w:val="clear" w:color="auto" w:fill="E6E6E6"/>
          <w:lang w:val="ru-RU"/>
        </w:rPr>
      </w:pPr>
    </w:p>
    <w:p w:rsidR="00592645" w:rsidRPr="00A70D75" w:rsidRDefault="0046694E">
      <w:pPr>
        <w:numPr>
          <w:ilvl w:val="0"/>
          <w:numId w:val="3"/>
        </w:numPr>
        <w:spacing w:before="120" w:after="0"/>
        <w:ind w:left="714" w:hanging="357"/>
        <w:rPr>
          <w:i/>
          <w:shd w:val="clear" w:color="auto" w:fill="E6E6E6"/>
          <w:lang w:val="ru-RU"/>
        </w:rPr>
      </w:pPr>
      <w:r>
        <w:rPr>
          <w:i/>
          <w:shd w:val="clear" w:color="auto" w:fill="E6E6E6"/>
          <w:lang w:val="ru-RU"/>
        </w:rPr>
        <w:t>Помочь</w:t>
      </w:r>
      <w:r w:rsidR="00A70D75" w:rsidRPr="00A70D75">
        <w:rPr>
          <w:i/>
          <w:shd w:val="clear" w:color="auto" w:fill="E6E6E6"/>
          <w:lang w:val="ru-RU"/>
        </w:rPr>
        <w:t xml:space="preserve"> принимающему национальному обществу и всем участникам Международного движения Красного Креста и Красного Полумесяца достичь согласия по мероприятиям и задачам, которые будут являться частью операции</w:t>
      </w:r>
    </w:p>
    <w:p w:rsidR="00592645" w:rsidRPr="00A70D75" w:rsidRDefault="00A70D75">
      <w:pPr>
        <w:numPr>
          <w:ilvl w:val="0"/>
          <w:numId w:val="3"/>
        </w:numPr>
        <w:spacing w:before="120" w:after="0"/>
        <w:ind w:left="714" w:hanging="357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 xml:space="preserve">Представить краткий обзор мероприятий, ресурсов и затрат для </w:t>
      </w:r>
      <w:r w:rsidR="0046694E">
        <w:rPr>
          <w:i/>
          <w:shd w:val="clear" w:color="auto" w:fill="E6E6E6"/>
          <w:lang w:val="ru-RU"/>
        </w:rPr>
        <w:t>операции реагирования</w:t>
      </w:r>
      <w:r w:rsidRPr="00A70D75">
        <w:rPr>
          <w:i/>
          <w:shd w:val="clear" w:color="auto" w:fill="E6E6E6"/>
          <w:lang w:val="ru-RU"/>
        </w:rPr>
        <w:t xml:space="preserve"> (включая денежные средства)</w:t>
      </w:r>
    </w:p>
    <w:p w:rsidR="00592645" w:rsidRPr="00A70D75" w:rsidRDefault="00A70D75">
      <w:pPr>
        <w:numPr>
          <w:ilvl w:val="0"/>
          <w:numId w:val="3"/>
        </w:numPr>
        <w:spacing w:before="120" w:after="0"/>
        <w:ind w:left="714" w:hanging="357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Представить ряд установленных целей и предполагаемых результатов для оценки эффективности реагирования.</w:t>
      </w:r>
    </w:p>
    <w:p w:rsidR="00592645" w:rsidRPr="00A70D75" w:rsidRDefault="00592645">
      <w:pPr>
        <w:spacing w:after="0"/>
        <w:ind w:left="720" w:hanging="360"/>
        <w:rPr>
          <w:i/>
          <w:shd w:val="clear" w:color="auto" w:fill="E6E6E6"/>
          <w:lang w:val="ru-RU"/>
        </w:rPr>
      </w:pPr>
    </w:p>
    <w:p w:rsidR="00592645" w:rsidRPr="00A70D75" w:rsidRDefault="00A70D75">
      <w:pPr>
        <w:pStyle w:val="2"/>
        <w:rPr>
          <w:lang w:val="ru-RU"/>
        </w:rPr>
      </w:pPr>
      <w:r>
        <w:t>II</w:t>
      </w:r>
      <w:r w:rsidRPr="00A70D75">
        <w:rPr>
          <w:lang w:val="ru-RU"/>
        </w:rPr>
        <w:t>. Анализ ситуации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Описание стихийного бедствия или конфликта (формат см. в конкретных планах действий МФОККиКП и МККК)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Сделайте обзор</w:t>
      </w:r>
      <w:r w:rsidR="0046694E">
        <w:rPr>
          <w:i/>
          <w:lang w:val="ru-RU"/>
        </w:rPr>
        <w:t xml:space="preserve"> ситуации, основываясь на имеюще</w:t>
      </w:r>
      <w:r w:rsidRPr="00A70D75">
        <w:rPr>
          <w:i/>
          <w:lang w:val="ru-RU"/>
        </w:rPr>
        <w:t>йся на данный момент информации, в том числе: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Тип чрезвычайной ситуации: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Места расположения: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Масштаб и охват чрезвычайной ситуации в отношении ущерба и/или численности пострадавшего населения: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Как ситуация развивалась или изменялась.</w:t>
      </w:r>
    </w:p>
    <w:p w:rsidR="00592645" w:rsidRPr="00A70D75" w:rsidRDefault="00A70D75">
      <w:pPr>
        <w:pStyle w:val="3"/>
        <w:keepLines/>
        <w:rPr>
          <w:lang w:val="ru-RU"/>
        </w:rPr>
      </w:pPr>
      <w:r w:rsidRPr="00A70D75">
        <w:rPr>
          <w:lang w:val="ru-RU"/>
        </w:rPr>
        <w:t>Обзор ответных мер, принятых Движением на настоящее время</w:t>
      </w:r>
    </w:p>
    <w:p w:rsidR="00592645" w:rsidRPr="00A70D75" w:rsidRDefault="00A70D75">
      <w:pPr>
        <w:keepNext/>
        <w:keepLines/>
        <w:rPr>
          <w:b/>
          <w:lang w:val="ru-RU"/>
        </w:rPr>
      </w:pPr>
      <w:r w:rsidRPr="00A70D75">
        <w:rPr>
          <w:b/>
          <w:lang w:val="ru-RU"/>
        </w:rPr>
        <w:t>Краткая информация о принимающем национальном обществе</w:t>
      </w:r>
    </w:p>
    <w:p w:rsidR="00592645" w:rsidRPr="00A70D75" w:rsidRDefault="00A70D75">
      <w:pPr>
        <w:rPr>
          <w:lang w:val="ru-RU"/>
        </w:rPr>
      </w:pPr>
      <w:r w:rsidRPr="00A70D75">
        <w:rPr>
          <w:i/>
          <w:lang w:val="ru-RU"/>
        </w:rPr>
        <w:t xml:space="preserve">Кратко опишите действия, предпринятые национальным обществом в ответ на чрезвычайную ситуацию. Включите в обзор любую имеющуюся информацию о работе общества в стране, а также конкретный опыт работы в ПДП </w:t>
      </w:r>
      <w:r w:rsidRPr="00A70D75">
        <w:rPr>
          <w:lang w:val="ru-RU"/>
        </w:rPr>
        <w:t>и имеющиеся у общества ресурсы для управления операцией.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Обзор Движения Красного Креста и Красного Полумесяца в стране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 xml:space="preserve">Опишите, в чём выражается присутствие МККК и МФОККиКП в стране и/или в регионе, а также </w:t>
      </w:r>
      <w:r w:rsidR="0046694E">
        <w:rPr>
          <w:i/>
          <w:lang w:val="ru-RU"/>
        </w:rPr>
        <w:t>все</w:t>
      </w:r>
      <w:r w:rsidRPr="00A70D75">
        <w:rPr>
          <w:i/>
          <w:lang w:val="ru-RU"/>
        </w:rPr>
        <w:t xml:space="preserve"> национальные общества - партнёры.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Координирование со стороны Движения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Опишите ожидаемые или планируемые процессы или протокол для координирования поддержки операции со стороны Движения ККиКП и практического осуществления операции.</w:t>
      </w:r>
    </w:p>
    <w:p w:rsidR="00592645" w:rsidRPr="00A70D75" w:rsidRDefault="00A70D75">
      <w:pPr>
        <w:rPr>
          <w:b/>
          <w:lang w:val="ru-RU"/>
        </w:rPr>
      </w:pPr>
      <w:r w:rsidRPr="00A70D75">
        <w:rPr>
          <w:b/>
          <w:lang w:val="ru-RU"/>
        </w:rPr>
        <w:t>Краткий обзор организаций в стране - не-ККиКП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 xml:space="preserve">По возможности опишите, что делают другие организации (Правительство, Гражданская защита / </w:t>
      </w:r>
      <w:r w:rsidRPr="00A70D75">
        <w:rPr>
          <w:i/>
          <w:lang w:val="ru-RU"/>
        </w:rPr>
        <w:lastRenderedPageBreak/>
        <w:t>оборона, военные, ООН, международные неправительственные организации, местные неправительственные организации), а также любые конкретные действующие механизмы координирования ПДП, такие как объединения или правительственные координирующие органы.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Анализ потребностей и оценка возможности реализации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lang w:val="ru-RU"/>
        </w:rPr>
        <w:t>Обобщите данные оценки чрезвычайной ситуации относительно первоочередных потребностей пострадавших людей и распространите информацию о результатах оценки, укажите источник и данные (т.е. оценки ККиКП, данные правительства, данные других организаций</w:t>
      </w:r>
      <w:r w:rsidR="0046694E">
        <w:rPr>
          <w:lang w:val="ru-RU"/>
        </w:rPr>
        <w:t>)</w:t>
      </w:r>
      <w:r w:rsidRPr="00A70D75">
        <w:rPr>
          <w:lang w:val="ru-RU"/>
        </w:rPr>
        <w:t xml:space="preserve">.  </w:t>
      </w:r>
      <w:r w:rsidRPr="00A70D75">
        <w:rPr>
          <w:i/>
          <w:lang w:val="ru-RU"/>
        </w:rPr>
        <w:t>Объясните, на каком основании выбраны приоритеты.  Если предлагаются ответные меры с использованием денежных средств, опишите, как переводы денежных средств связаны с другими компонентами операции и другими типами мероприятий.</w:t>
      </w:r>
    </w:p>
    <w:p w:rsidR="00592645" w:rsidRPr="00A70D75" w:rsidRDefault="00A70D75">
      <w:pPr>
        <w:rPr>
          <w:i/>
          <w:lang w:val="ru-RU"/>
        </w:rPr>
      </w:pPr>
      <w:r w:rsidRPr="0046694E">
        <w:rPr>
          <w:i/>
          <w:u w:val="single"/>
          <w:lang w:val="ru-RU"/>
        </w:rPr>
        <w:t>Помните.</w:t>
      </w:r>
      <w:r w:rsidRPr="0046694E">
        <w:rPr>
          <w:i/>
          <w:lang w:val="ru-RU"/>
        </w:rPr>
        <w:t xml:space="preserve"> Денежные средства являются одним из многих возможных инструментов.  </w:t>
      </w:r>
      <w:r w:rsidRPr="00A70D75">
        <w:rPr>
          <w:i/>
          <w:lang w:val="ru-RU"/>
        </w:rPr>
        <w:t>Цели и результаты мероприятий по оказанию помощи при ЧС будут те же независимо от того, используются денежные средства или нет.</w:t>
      </w:r>
    </w:p>
    <w:p w:rsidR="00592645" w:rsidRDefault="00A70D75">
      <w:pPr>
        <w:keepNext/>
        <w:keepLines/>
        <w:rPr>
          <w:i/>
        </w:rPr>
      </w:pPr>
      <w:r>
        <w:rPr>
          <w:i/>
        </w:rPr>
        <w:t>Включите: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lang w:val="ru-RU"/>
        </w:rPr>
      </w:pPr>
      <w:r w:rsidRPr="00A70D75">
        <w:rPr>
          <w:i/>
          <w:lang w:val="ru-RU"/>
        </w:rPr>
        <w:t xml:space="preserve">Потребности на уровне домохозяйств в отношении источника средств к существованию / </w:t>
      </w:r>
      <w:r w:rsidR="0046694E">
        <w:rPr>
          <w:i/>
          <w:lang w:val="ru-RU"/>
        </w:rPr>
        <w:t xml:space="preserve">секторов </w:t>
      </w:r>
      <w:r w:rsidRPr="00A70D75">
        <w:rPr>
          <w:i/>
          <w:lang w:val="ru-RU"/>
        </w:rPr>
        <w:t>и/или членов домохозяйства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</w:rPr>
      </w:pPr>
      <w:r>
        <w:rPr>
          <w:i/>
        </w:rPr>
        <w:t>Результаты оценки рынка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</w:rPr>
      </w:pPr>
      <w:r>
        <w:rPr>
          <w:i/>
        </w:rPr>
        <w:t>Возможность осуществления программы денежных переводов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</w:rPr>
      </w:pPr>
      <w:r>
        <w:rPr>
          <w:i/>
        </w:rPr>
        <w:t>Мероприятия других организаций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lang w:val="ru-RU"/>
        </w:rPr>
      </w:pPr>
      <w:r w:rsidRPr="00A70D75">
        <w:rPr>
          <w:i/>
          <w:lang w:val="ru-RU"/>
        </w:rPr>
        <w:t>Пробелы в текущем оказании помощи, которые могут служить обоснованием для мероприятий</w:t>
      </w:r>
    </w:p>
    <w:p w:rsidR="00592645" w:rsidRDefault="00A70D75">
      <w:pPr>
        <w:rPr>
          <w:i/>
        </w:rPr>
      </w:pPr>
      <w:r>
        <w:rPr>
          <w:i/>
        </w:rPr>
        <w:t>Включите результаты оценки потребностей: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</w:rPr>
      </w:pPr>
      <w:r>
        <w:rPr>
          <w:i/>
          <w:shd w:val="clear" w:color="auto" w:fill="E6E6E6"/>
        </w:rPr>
        <w:t>оценку потребностей предполагаемых бенефициаров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срочность и временные рамки для удовлетворения этих потребностей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</w:rPr>
      </w:pPr>
      <w:r>
        <w:rPr>
          <w:i/>
          <w:shd w:val="clear" w:color="auto" w:fill="E6E6E6"/>
        </w:rPr>
        <w:t>предполагаемые методы выбора участников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предпочтения бенефициаров в отношении формы оказания помощи (денежные средства, неденежная помощь или их комбинация; какая форма денежных переводов)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внутри-домохозяйственные вопросы, связанные с контролированием денежных и неденежных ресурсов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 xml:space="preserve">обычные средства доступа целевых домохозяйств к денежным средствам 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результаты оценки рынка, включая наличие достаточного количества продуктов на местных рынках, соответствующего выявленным потребностям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физический доступ к рынкам предполагаемых бенефициаров</w:t>
      </w:r>
    </w:p>
    <w:p w:rsidR="00592645" w:rsidRPr="00A70D75" w:rsidRDefault="00A70D75">
      <w:pPr>
        <w:rPr>
          <w:i/>
          <w:lang w:val="ru-RU"/>
        </w:rPr>
      </w:pPr>
      <w:bookmarkStart w:id="2" w:name="_30j0zll" w:colFirst="0" w:colLast="0"/>
      <w:bookmarkEnd w:id="2"/>
      <w:r w:rsidRPr="00A70D75">
        <w:rPr>
          <w:i/>
          <w:lang w:val="ru-RU"/>
        </w:rPr>
        <w:t>Включите результаты оценки возможности практического осуществления ПДП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работу рынков (конкуренцию между торговцами, связи между рынками, способность реагировать на растущий спрос)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</w:rPr>
      </w:pPr>
      <w:r>
        <w:rPr>
          <w:i/>
          <w:shd w:val="clear" w:color="auto" w:fill="E6E6E6"/>
        </w:rPr>
        <w:t>имеющиеся механизмы денежных переводов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 xml:space="preserve">наличие товаров соответствующего качества, отвечающих стандартам качества, здоровья и безопасности (например, пищевой алюминий или нержавеющая сталь для </w:t>
      </w:r>
      <w:r w:rsidR="0046694E">
        <w:rPr>
          <w:i/>
          <w:shd w:val="clear" w:color="auto" w:fill="E6E6E6"/>
          <w:lang w:val="ru-RU"/>
        </w:rPr>
        <w:t>предотвращения</w:t>
      </w:r>
      <w:r w:rsidRPr="00A70D75">
        <w:rPr>
          <w:i/>
          <w:shd w:val="clear" w:color="auto" w:fill="E6E6E6"/>
          <w:lang w:val="ru-RU"/>
        </w:rPr>
        <w:t xml:space="preserve"> миграции металлов, тип краски, уровень защиты от ультрафиолета для брезента, способность одеял сохранять тепло и устойчивость к скатыванию и т.п.)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Оценка возможности практического осуществления предоставит информацию о рисках, связанных с: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общим объёмом передаваемых денежных средств, суммой на одного бенефициара и на один регион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</w:rPr>
      </w:pPr>
      <w:r>
        <w:rPr>
          <w:i/>
          <w:shd w:val="clear" w:color="auto" w:fill="E6E6E6"/>
        </w:rPr>
        <w:t>частотой выплат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lastRenderedPageBreak/>
        <w:t>числом бенефициаров, которых будет необходимо обслужить в одном месте в установленные сроки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обычным способом получения денежных средств в стране, а также в целевых домохозяйствах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тем, насколько целевые группы населения знакомы  с различными существующими механизмами денежных переводов, таких как банковские счета, банкоматы, мобильный банк и т.п.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Оценка риска ПДП</w:t>
      </w:r>
    </w:p>
    <w:p w:rsidR="00592645" w:rsidRPr="0046694E" w:rsidRDefault="00A70D75">
      <w:pPr>
        <w:rPr>
          <w:lang w:val="ru-RU"/>
        </w:rPr>
      </w:pPr>
      <w:r w:rsidRPr="00A70D75">
        <w:rPr>
          <w:lang w:val="ru-RU"/>
        </w:rPr>
        <w:t xml:space="preserve">Кратко опишите любые известные или ожидаемые риски, которые могут повлиять на реализацию программы (т.е. ситуацию в отношении безопасности, состояния дорог и сложности доступа), а также любые конкретные риски, определённые с помощью </w:t>
      </w:r>
      <w:r w:rsidRPr="0046694E">
        <w:rPr>
          <w:lang w:val="ru-RU"/>
        </w:rPr>
        <w:t>Матрицы рисков, и мероприятия, направленные на их снижение, с помощью Регистра рисков ПДП.</w:t>
      </w:r>
    </w:p>
    <w:p w:rsidR="00592645" w:rsidRDefault="00A70D75">
      <w:pPr>
        <w:keepNext/>
        <w:keepLines/>
        <w:rPr>
          <w:i/>
        </w:rPr>
      </w:pPr>
      <w:r>
        <w:rPr>
          <w:i/>
        </w:rPr>
        <w:t>Включите в приложение: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связанные с контекстом риски безопасности, определённые в матрице рисков (физическая безопасность)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риски безопасности, относящиеся к программе / оперативные риски, определённые в матрице рисков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институциональные риски, определённые в матрице рисков</w:t>
      </w:r>
    </w:p>
    <w:p w:rsidR="00592645" w:rsidRPr="00A70D75" w:rsidRDefault="00A70D75">
      <w:pPr>
        <w:keepNext/>
        <w:keepLines/>
        <w:rPr>
          <w:i/>
          <w:lang w:val="ru-RU"/>
        </w:rPr>
      </w:pPr>
      <w:r w:rsidRPr="00A70D75">
        <w:rPr>
          <w:i/>
          <w:lang w:val="ru-RU"/>
        </w:rPr>
        <w:t>В результате оценки возможности практического осуществления будет получена информация по рискам, связанным с</w:t>
      </w:r>
      <w:r w:rsidR="0046694E">
        <w:rPr>
          <w:i/>
          <w:lang w:val="ru-RU"/>
        </w:rPr>
        <w:t>о следующими вопросами</w:t>
      </w:r>
      <w:r w:rsidRPr="00A70D75">
        <w:rPr>
          <w:i/>
          <w:lang w:val="ru-RU"/>
        </w:rPr>
        <w:t>:</w:t>
      </w:r>
    </w:p>
    <w:p w:rsidR="0059264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</w:rPr>
      </w:pPr>
      <w:r w:rsidRPr="00A70D75">
        <w:rPr>
          <w:i/>
          <w:shd w:val="clear" w:color="auto" w:fill="E6E6E6"/>
          <w:lang w:val="ru-RU"/>
        </w:rPr>
        <w:t xml:space="preserve">Какой механизм финансовых переводов является наиболее безопасным (для организации и для бенефициара)? </w:t>
      </w:r>
      <w:r>
        <w:rPr>
          <w:i/>
          <w:shd w:val="clear" w:color="auto" w:fill="E6E6E6"/>
        </w:rPr>
        <w:t>Какова угроза безопасности?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Имеют ли существующие механизмы финансовых переводов достаточный потенциал для осуществления выплат (сумма / сотрудники / время)?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Какова надёжность существующих механизмов финансовых переводов (коррупция и риски мошенничества)?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Каковы затраты на транспорт от места раздачи/</w:t>
      </w:r>
      <w:r w:rsidR="0046694E">
        <w:rPr>
          <w:i/>
          <w:shd w:val="clear" w:color="auto" w:fill="E6E6E6"/>
          <w:lang w:val="ru-RU"/>
        </w:rPr>
        <w:t>обналичивания</w:t>
      </w:r>
      <w:r w:rsidRPr="00A70D75">
        <w:rPr>
          <w:i/>
          <w:shd w:val="clear" w:color="auto" w:fill="E6E6E6"/>
          <w:lang w:val="ru-RU"/>
        </w:rPr>
        <w:t xml:space="preserve"> до дома бенефициара?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Являются ли рынки, на которых бенефициары могут сами купить нужные товары, конкурентными, функционирующими и интегрированными?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i/>
          <w:shd w:val="clear" w:color="auto" w:fill="E6E6E6"/>
          <w:lang w:val="ru-RU"/>
        </w:rPr>
      </w:pPr>
      <w:r w:rsidRPr="00A70D75">
        <w:rPr>
          <w:i/>
          <w:shd w:val="clear" w:color="auto" w:fill="E6E6E6"/>
          <w:lang w:val="ru-RU"/>
        </w:rPr>
        <w:t>По сравнению с имеющимися в запасе у МККК, являются ли товары качественными, безопасными и недорогими?</w:t>
      </w:r>
    </w:p>
    <w:p w:rsidR="00592645" w:rsidRPr="00A70D75" w:rsidRDefault="00A70D75">
      <w:pPr>
        <w:pStyle w:val="2"/>
        <w:rPr>
          <w:lang w:val="ru-RU"/>
        </w:rPr>
      </w:pPr>
      <w:r>
        <w:t>III</w:t>
      </w:r>
      <w:r w:rsidRPr="00A70D75">
        <w:rPr>
          <w:lang w:val="ru-RU"/>
        </w:rPr>
        <w:t>. Предлагаемая стратегия и план действий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1. Цели операции (создать отдельную логико-структурную схему)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Кратко сформулируйте общую цель операции, включая, если это уместно, готовность к ожидаемому кризису, а также, только если это имеет отношение к делу, почему национальное общество концентрируется на определенных секторах.</w:t>
      </w:r>
    </w:p>
    <w:p w:rsidR="00592645" w:rsidRDefault="00A70D75">
      <w:pPr>
        <w:numPr>
          <w:ilvl w:val="0"/>
          <w:numId w:val="5"/>
        </w:numPr>
        <w:tabs>
          <w:tab w:val="left" w:pos="146"/>
        </w:tabs>
        <w:ind w:left="150" w:hanging="150"/>
        <w:contextualSpacing/>
        <w:rPr>
          <w:i/>
        </w:rPr>
      </w:pPr>
      <w:r>
        <w:rPr>
          <w:i/>
        </w:rPr>
        <w:t>Общая цель</w:t>
      </w:r>
    </w:p>
    <w:p w:rsidR="00592645" w:rsidRDefault="00A70D75">
      <w:pPr>
        <w:numPr>
          <w:ilvl w:val="0"/>
          <w:numId w:val="5"/>
        </w:numPr>
        <w:tabs>
          <w:tab w:val="left" w:pos="146"/>
        </w:tabs>
        <w:ind w:left="150" w:hanging="150"/>
        <w:contextualSpacing/>
        <w:rPr>
          <w:i/>
        </w:rPr>
      </w:pPr>
      <w:r>
        <w:rPr>
          <w:i/>
        </w:rPr>
        <w:t>Итоги</w:t>
      </w:r>
    </w:p>
    <w:p w:rsidR="00592645" w:rsidRDefault="00A70D75">
      <w:pPr>
        <w:numPr>
          <w:ilvl w:val="0"/>
          <w:numId w:val="5"/>
        </w:numPr>
        <w:tabs>
          <w:tab w:val="left" w:pos="146"/>
        </w:tabs>
        <w:ind w:left="150" w:hanging="150"/>
        <w:contextualSpacing/>
        <w:rPr>
          <w:i/>
        </w:rPr>
      </w:pPr>
      <w:r>
        <w:rPr>
          <w:i/>
        </w:rPr>
        <w:t>Ожидаемые результаты</w:t>
      </w:r>
    </w:p>
    <w:p w:rsidR="00592645" w:rsidRDefault="00A70D75">
      <w:pPr>
        <w:spacing w:before="240" w:after="0"/>
        <w:rPr>
          <w:i/>
          <w:lang w:val="ru-RU"/>
        </w:rPr>
      </w:pPr>
      <w:r w:rsidRPr="00A70D75">
        <w:rPr>
          <w:i/>
          <w:lang w:val="ru-RU"/>
        </w:rPr>
        <w:t xml:space="preserve">Среди примеров </w:t>
      </w:r>
      <w:r w:rsidRPr="00A70D75">
        <w:rPr>
          <w:b/>
          <w:i/>
          <w:lang w:val="ru-RU"/>
        </w:rPr>
        <w:t xml:space="preserve">итогов мероприятий, проводимых при ЧС, </w:t>
      </w:r>
      <w:r w:rsidRPr="00A70D75">
        <w:rPr>
          <w:i/>
          <w:lang w:val="ru-RU"/>
        </w:rPr>
        <w:t xml:space="preserve">были неденежные программы переводов.  </w:t>
      </w:r>
      <w:r w:rsidR="00672A9A" w:rsidRPr="00A70D75">
        <w:rPr>
          <w:i/>
          <w:lang w:val="ru-RU"/>
        </w:rPr>
        <w:t xml:space="preserve">На </w:t>
      </w:r>
      <w:r w:rsidRPr="00A70D75">
        <w:rPr>
          <w:i/>
          <w:lang w:val="ru-RU"/>
        </w:rPr>
        <w:t xml:space="preserve">основе проведенной вами оценки потребностей и оценки возможности </w:t>
      </w:r>
      <w:r w:rsidR="0046694E">
        <w:rPr>
          <w:i/>
          <w:lang w:val="ru-RU"/>
        </w:rPr>
        <w:t>реализации</w:t>
      </w:r>
      <w:r w:rsidRPr="00A70D75">
        <w:rPr>
          <w:i/>
          <w:lang w:val="ru-RU"/>
        </w:rPr>
        <w:t xml:space="preserve"> ПДП</w:t>
      </w:r>
      <w:r w:rsidR="00672A9A" w:rsidRPr="00672A9A">
        <w:rPr>
          <w:i/>
          <w:lang w:val="ru-RU"/>
        </w:rPr>
        <w:t xml:space="preserve"> </w:t>
      </w:r>
      <w:r w:rsidR="00672A9A" w:rsidRPr="00A70D75">
        <w:rPr>
          <w:i/>
          <w:lang w:val="ru-RU"/>
        </w:rPr>
        <w:t>Можно также рассмотреть ряд</w:t>
      </w:r>
      <w:r w:rsidR="00672A9A">
        <w:rPr>
          <w:i/>
          <w:lang w:val="ru-RU"/>
        </w:rPr>
        <w:t xml:space="preserve"> комбинированных мероприятий, в которых оказывается денежная и неденежная помощь</w:t>
      </w:r>
      <w:r w:rsidRPr="00A70D75">
        <w:rPr>
          <w:i/>
          <w:lang w:val="ru-RU"/>
        </w:rPr>
        <w:t>:</w:t>
      </w:r>
    </w:p>
    <w:p w:rsidR="0046694E" w:rsidRDefault="0046694E" w:rsidP="0046694E">
      <w:pPr>
        <w:spacing w:before="120"/>
        <w:ind w:left="720"/>
        <w:contextualSpacing/>
        <w:jc w:val="left"/>
        <w:rPr>
          <w:i/>
          <w:shd w:val="clear" w:color="auto" w:fill="E6E6E6"/>
          <w:lang w:val="ru-RU"/>
        </w:rPr>
      </w:pP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lastRenderedPageBreak/>
        <w:t>Удовлетворены насущные хозяйственно-бытовые потребности населения, пострадавшего в результате стихийного бедствия / конфликта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Удовлетворены насущные продовольственные потребности населения, пострадавшего в результате стихийного бедствия / конфликта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Удовлетворены насущные потребности целевой группы населения в укрытии и размещении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В целевом сообществе достигнуто немедленное снижение уровня риска возникновения заболеваний, возбудители которых переносятся водой, а также заболеваний, связанных с водой</w:t>
      </w:r>
    </w:p>
    <w:p w:rsidR="00592645" w:rsidRPr="001B617D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  <w:lang w:val="ru-RU"/>
        </w:rPr>
      </w:pPr>
      <w:r w:rsidRPr="001B617D">
        <w:rPr>
          <w:i/>
          <w:lang w:val="ru-RU"/>
        </w:rPr>
        <w:t>Экономическая безопасность достигнута / источники средств к существованию защищены, среди пострадавших групп населения / домохозяйств снижено число негативных стратегий адаптации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Улучшена критическая ситуация с питанием в целевом сообществе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Среди пострадавших домохозяйств повышен уровень продовольственной безопасности</w:t>
      </w:r>
    </w:p>
    <w:p w:rsidR="00592645" w:rsidRPr="001B617D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  <w:lang w:val="ru-RU"/>
        </w:rPr>
      </w:pPr>
      <w:r w:rsidRPr="001B617D">
        <w:rPr>
          <w:i/>
          <w:lang w:val="ru-RU"/>
        </w:rPr>
        <w:t>Источники средств к существованию защищены и среди пострадавших групп населения/домохозяйств снижено число негативных стратегий адаптации</w:t>
      </w:r>
    </w:p>
    <w:p w:rsidR="00592645" w:rsidRPr="00672A9A" w:rsidRDefault="00A70D75" w:rsidP="00672A9A">
      <w:pPr>
        <w:pStyle w:val="Bullet2"/>
        <w:numPr>
          <w:ilvl w:val="0"/>
          <w:numId w:val="3"/>
        </w:numPr>
        <w:shd w:val="clear" w:color="auto" w:fill="E6E6E6"/>
        <w:ind w:hanging="360"/>
        <w:jc w:val="left"/>
        <w:rPr>
          <w:i/>
        </w:rPr>
      </w:pPr>
      <w:r w:rsidRPr="00672A9A">
        <w:rPr>
          <w:i/>
        </w:rPr>
        <w:t>Руководящие операцией лица получают информацию с помощью комплексной системы мониторинга и оценки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2. Выбранные бенефициары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 Число бенефициаров в зоне мероприятий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Критерии отбора (географический, сообщества, домохозяйства или отдельные люди, в зависимости от ситуации)</w:t>
      </w:r>
    </w:p>
    <w:p w:rsidR="00592645" w:rsidRPr="00A70D75" w:rsidRDefault="00A70D75">
      <w:pPr>
        <w:rPr>
          <w:lang w:val="ru-RU"/>
        </w:rPr>
      </w:pPr>
      <w:r>
        <w:t>c</w:t>
      </w:r>
      <w:r w:rsidRPr="00A70D75">
        <w:rPr>
          <w:lang w:val="ru-RU"/>
        </w:rPr>
        <w:t>. Анализ положения бенефициаров в отношении предполагаемых мероприятий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3. Выбранный механизм денежных переводов (включая агента, осуществляющего раздачу, и метод раздачи)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 Обоснование выбора метода перевода средств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Тип механизма перевода (агент, осуществляющий раздачу, и метод раздачи)</w:t>
      </w:r>
    </w:p>
    <w:p w:rsidR="00592645" w:rsidRPr="00A70D75" w:rsidRDefault="00A70D75">
      <w:pPr>
        <w:rPr>
          <w:lang w:val="ru-RU"/>
        </w:rPr>
      </w:pPr>
      <w:r>
        <w:t>c</w:t>
      </w:r>
      <w:r w:rsidRPr="00A70D75">
        <w:rPr>
          <w:lang w:val="ru-RU"/>
        </w:rPr>
        <w:t>. Регулярность платежей и сумма денежных переводов</w:t>
      </w:r>
    </w:p>
    <w:p w:rsidR="00592645" w:rsidRPr="00A70D75" w:rsidRDefault="00A70D75">
      <w:pPr>
        <w:pStyle w:val="3"/>
        <w:keepLines/>
        <w:rPr>
          <w:lang w:val="ru-RU"/>
        </w:rPr>
      </w:pPr>
      <w:r w:rsidRPr="00A70D75">
        <w:rPr>
          <w:lang w:val="ru-RU"/>
        </w:rPr>
        <w:t>4. Результаты анализа рисков</w:t>
      </w:r>
    </w:p>
    <w:p w:rsidR="00592645" w:rsidRPr="00A70D75" w:rsidRDefault="00A70D75">
      <w:pPr>
        <w:keepNext/>
        <w:keepLines/>
        <w:ind w:left="284" w:hanging="284"/>
        <w:rPr>
          <w:i/>
          <w:lang w:val="ru-RU"/>
        </w:rPr>
      </w:pPr>
      <w:r w:rsidRPr="00A70D75">
        <w:rPr>
          <w:i/>
          <w:lang w:val="ru-RU"/>
        </w:rPr>
        <w:t>Опишите результаты анализа рисков и включите в приложение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 Основные выявленные риски в Бланк регистрации рисков ПДП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Меры по снижению рисков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5. План раздачи помощи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Создайте подробный план работы / график Гантта с указанием времени проведения мероприятий и включите в приложение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6. Отчётность перед бенефициарами / партнёрами</w:t>
      </w:r>
    </w:p>
    <w:p w:rsidR="00592645" w:rsidRPr="00A70D75" w:rsidRDefault="00A70D75">
      <w:pPr>
        <w:tabs>
          <w:tab w:val="left" w:pos="284"/>
        </w:tabs>
        <w:rPr>
          <w:i/>
          <w:lang w:val="ru-RU"/>
        </w:rPr>
      </w:pPr>
      <w:r w:rsidRPr="00A70D75">
        <w:rPr>
          <w:i/>
          <w:lang w:val="ru-RU"/>
        </w:rPr>
        <w:t>Опишите планируемую систему отчётности перед бенефициарами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 Коммуникация с бенефициарами / партнерами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Система обратной связи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lastRenderedPageBreak/>
        <w:t>7. Вспомогательные службы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 Кадровая служба (создайте подробный план кадровой работы и приложение)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 xml:space="preserve">Персонал, необходимый для завершения запланированных работ - </w:t>
      </w:r>
      <w:r w:rsidR="00672A9A">
        <w:rPr>
          <w:i/>
          <w:lang w:val="ru-RU"/>
        </w:rPr>
        <w:t>добровольцы</w:t>
      </w:r>
      <w:r w:rsidRPr="00A70D75">
        <w:rPr>
          <w:i/>
          <w:lang w:val="ru-RU"/>
        </w:rPr>
        <w:t>, персонал национальных обществ, дополнительные сотрудники в стране/в регионе, делегаты и т.д.  Основываясь на требованиях конкретной операции, определите кадровые потребности, отразите затраты на персонал в бюджете на поддержку операции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Логистика и поставки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Планы закупок и тендеры для ваучерных программ</w:t>
      </w:r>
    </w:p>
    <w:p w:rsidR="00592645" w:rsidRPr="00A70D75" w:rsidRDefault="00A70D75">
      <w:pPr>
        <w:rPr>
          <w:lang w:val="ru-RU"/>
        </w:rPr>
      </w:pPr>
      <w:r>
        <w:t>c</w:t>
      </w:r>
      <w:r w:rsidRPr="00A70D75">
        <w:rPr>
          <w:lang w:val="ru-RU"/>
        </w:rPr>
        <w:t>. Административные и финансовые вопросы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Планы закупок и тендеры для работы через финансовые институты</w:t>
      </w:r>
    </w:p>
    <w:p w:rsidR="00592645" w:rsidRPr="00A70D75" w:rsidRDefault="00A70D75">
      <w:pPr>
        <w:rPr>
          <w:lang w:val="ru-RU"/>
        </w:rPr>
      </w:pPr>
      <w:r>
        <w:t>d</w:t>
      </w:r>
      <w:r w:rsidRPr="00A70D75">
        <w:rPr>
          <w:lang w:val="ru-RU"/>
        </w:rPr>
        <w:t>. Требования в области безопасности</w:t>
      </w:r>
    </w:p>
    <w:p w:rsidR="00592645" w:rsidRPr="00A70D75" w:rsidRDefault="00A70D75">
      <w:pPr>
        <w:rPr>
          <w:lang w:val="ru-RU"/>
        </w:rPr>
      </w:pPr>
      <w:r>
        <w:t>e</w:t>
      </w:r>
      <w:r w:rsidRPr="00A70D75">
        <w:rPr>
          <w:lang w:val="ru-RU"/>
        </w:rPr>
        <w:t>. Требования в области информационных технологий (</w:t>
      </w:r>
      <w:r>
        <w:t>IT</w:t>
      </w:r>
      <w:r w:rsidRPr="00A70D75">
        <w:rPr>
          <w:lang w:val="ru-RU"/>
        </w:rPr>
        <w:t>)</w:t>
      </w:r>
    </w:p>
    <w:p w:rsidR="00592645" w:rsidRPr="00A70D75" w:rsidRDefault="00A70D75">
      <w:pPr>
        <w:pStyle w:val="3"/>
        <w:rPr>
          <w:lang w:val="ru-RU"/>
        </w:rPr>
      </w:pPr>
      <w:r w:rsidRPr="00A70D75">
        <w:rPr>
          <w:lang w:val="ru-RU"/>
        </w:rPr>
        <w:t>8. Планирование, мониторинг, оценка и отчётность (ПМОО)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Укажите, как будет осуществляться мониторинг исполнения плана, запланировано ли проведение оценки, исследование уровня удовлетворённости бенефициаров, семинар по итогам.  Включите мониторинг рыночных цен.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Укажите здесь любые виды поддержки, которая будет оказана в ходе мониторинга и оценки работ, например:</w:t>
      </w:r>
    </w:p>
    <w:p w:rsidR="00592645" w:rsidRPr="00A70D75" w:rsidRDefault="00A70D75">
      <w:pPr>
        <w:rPr>
          <w:lang w:val="ru-RU"/>
        </w:rPr>
      </w:pPr>
      <w:r>
        <w:t>a</w:t>
      </w:r>
      <w:r w:rsidRPr="00A70D75">
        <w:rPr>
          <w:lang w:val="ru-RU"/>
        </w:rPr>
        <w:t>.</w:t>
      </w:r>
      <w:r>
        <w:t> </w:t>
      </w:r>
      <w:r w:rsidRPr="00A70D75">
        <w:rPr>
          <w:lang w:val="ru-RU"/>
        </w:rPr>
        <w:t>Мониторинг процесса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</w:t>
      </w:r>
      <w:r>
        <w:t> </w:t>
      </w:r>
      <w:r w:rsidRPr="00A70D75">
        <w:rPr>
          <w:lang w:val="ru-RU"/>
        </w:rPr>
        <w:t>Мониторинг воздействия</w:t>
      </w:r>
    </w:p>
    <w:p w:rsidR="00592645" w:rsidRPr="00A70D75" w:rsidRDefault="00A70D75">
      <w:pPr>
        <w:rPr>
          <w:lang w:val="ru-RU"/>
        </w:rPr>
      </w:pPr>
      <w:r>
        <w:t>c</w:t>
      </w:r>
      <w:r w:rsidRPr="00A70D75">
        <w:rPr>
          <w:lang w:val="ru-RU"/>
        </w:rPr>
        <w:t>.</w:t>
      </w:r>
      <w:r>
        <w:t> </w:t>
      </w:r>
      <w:r w:rsidRPr="00A70D75">
        <w:rPr>
          <w:lang w:val="ru-RU"/>
        </w:rPr>
        <w:t>Мониторинг рынка</w:t>
      </w:r>
    </w:p>
    <w:p w:rsidR="00592645" w:rsidRPr="00A70D75" w:rsidRDefault="00A70D75">
      <w:pPr>
        <w:ind w:left="426" w:hanging="426"/>
        <w:rPr>
          <w:sz w:val="12"/>
          <w:szCs w:val="12"/>
          <w:u w:val="single"/>
          <w:lang w:val="ru-RU"/>
        </w:rPr>
      </w:pPr>
      <w:r w:rsidRPr="00A70D75">
        <w:rPr>
          <w:i/>
          <w:lang w:val="ru-RU"/>
        </w:rPr>
        <w:t>Предоставьте детали типов отчётов, аудиторию и частоту.</w:t>
      </w:r>
    </w:p>
    <w:p w:rsidR="00592645" w:rsidRPr="00A70D75" w:rsidRDefault="00A70D75">
      <w:pPr>
        <w:pStyle w:val="2"/>
        <w:keepLines/>
        <w:rPr>
          <w:lang w:val="ru-RU"/>
        </w:rPr>
      </w:pPr>
      <w:r>
        <w:t>IV</w:t>
      </w:r>
      <w:r w:rsidRPr="00A70D75">
        <w:rPr>
          <w:lang w:val="ru-RU"/>
        </w:rPr>
        <w:t>. Бюджет</w:t>
      </w:r>
    </w:p>
    <w:p w:rsidR="00592645" w:rsidRPr="00A70D75" w:rsidRDefault="00A70D75">
      <w:pPr>
        <w:keepNext/>
        <w:keepLines/>
        <w:rPr>
          <w:b/>
          <w:i/>
          <w:lang w:val="ru-RU"/>
        </w:rPr>
      </w:pPr>
      <w:r w:rsidRPr="00A70D75">
        <w:rPr>
          <w:b/>
          <w:i/>
          <w:lang w:val="ru-RU"/>
        </w:rPr>
        <w:t xml:space="preserve">(см. конкретные бланки и </w:t>
      </w:r>
      <w:r w:rsidR="00A910B2">
        <w:rPr>
          <w:b/>
          <w:i/>
          <w:lang w:val="ru-RU"/>
        </w:rPr>
        <w:t>процедуры</w:t>
      </w:r>
      <w:r w:rsidRPr="00A70D75">
        <w:rPr>
          <w:b/>
          <w:i/>
          <w:lang w:val="ru-RU"/>
        </w:rPr>
        <w:t xml:space="preserve"> участников Движения)</w:t>
      </w:r>
    </w:p>
    <w:p w:rsidR="00592645" w:rsidRPr="00A70D75" w:rsidRDefault="00A70D75">
      <w:pPr>
        <w:keepNext/>
        <w:keepLines/>
        <w:spacing w:before="240"/>
        <w:rPr>
          <w:i/>
          <w:lang w:val="ru-RU"/>
        </w:rPr>
      </w:pPr>
      <w:r w:rsidRPr="00A70D75">
        <w:rPr>
          <w:i/>
          <w:lang w:val="ru-RU"/>
        </w:rPr>
        <w:t>Включите подробную разбивку и общий компонент ПДП для бюджета, включающий: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lang w:val="ru-RU"/>
        </w:rPr>
      </w:pPr>
      <w:r w:rsidRPr="00A70D75">
        <w:rPr>
          <w:lang w:val="ru-RU"/>
        </w:rPr>
        <w:t>Число бенефициаров, умноженное на сумму, подлежащую выплате (в валюте платежа)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Затраты на кадровое обеспечение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Транспортные расходы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lang w:val="ru-RU"/>
        </w:rPr>
      </w:pPr>
      <w:r w:rsidRPr="00A70D75">
        <w:rPr>
          <w:lang w:val="ru-RU"/>
        </w:rPr>
        <w:t>Расходы на обслуживание (банковские комиссии и другие платежи)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lang w:val="ru-RU"/>
        </w:rPr>
      </w:pPr>
      <w:r w:rsidRPr="00A70D75">
        <w:rPr>
          <w:lang w:val="ru-RU"/>
        </w:rPr>
        <w:t>Административные расходы (необходимое офисное оборудование)</w:t>
      </w:r>
    </w:p>
    <w:p w:rsidR="00592645" w:rsidRPr="00A70D75" w:rsidRDefault="00A70D75">
      <w:pPr>
        <w:spacing w:before="240"/>
        <w:rPr>
          <w:lang w:val="ru-RU"/>
        </w:rPr>
      </w:pPr>
      <w:r>
        <w:t>a</w:t>
      </w:r>
      <w:r w:rsidRPr="00A70D75">
        <w:rPr>
          <w:lang w:val="ru-RU"/>
        </w:rPr>
        <w:t>. Общая стоимость проведения операции:</w:t>
      </w:r>
    </w:p>
    <w:p w:rsidR="00592645" w:rsidRPr="00A70D75" w:rsidRDefault="00A70D75">
      <w:pPr>
        <w:rPr>
          <w:lang w:val="ru-RU"/>
        </w:rPr>
      </w:pPr>
      <w:r>
        <w:t>b</w:t>
      </w:r>
      <w:r w:rsidRPr="00A70D75">
        <w:rPr>
          <w:lang w:val="ru-RU"/>
        </w:rPr>
        <w:t>. Прямые оперативные расходы:</w:t>
      </w:r>
    </w:p>
    <w:p w:rsidR="00592645" w:rsidRPr="00A70D75" w:rsidRDefault="00A70D75">
      <w:pPr>
        <w:rPr>
          <w:lang w:val="ru-RU"/>
        </w:rPr>
      </w:pPr>
      <w:r>
        <w:t>c</w:t>
      </w:r>
      <w:r w:rsidRPr="00A70D75">
        <w:rPr>
          <w:lang w:val="ru-RU"/>
        </w:rPr>
        <w:t>. Вспомогательные расходы:</w:t>
      </w:r>
    </w:p>
    <w:p w:rsidR="00592645" w:rsidRPr="00A70D75" w:rsidRDefault="00592645">
      <w:pPr>
        <w:rPr>
          <w:b/>
          <w:lang w:val="ru-RU"/>
        </w:rPr>
      </w:pPr>
    </w:p>
    <w:p w:rsidR="00592645" w:rsidRPr="00A70D75" w:rsidRDefault="00A70D75">
      <w:pPr>
        <w:rPr>
          <w:lang w:val="ru-RU"/>
        </w:rPr>
      </w:pPr>
      <w:r w:rsidRPr="00A70D75">
        <w:rPr>
          <w:lang w:val="ru-RU"/>
        </w:rPr>
        <w:br w:type="page"/>
      </w:r>
    </w:p>
    <w:p w:rsidR="00592645" w:rsidRPr="00A70D75" w:rsidRDefault="00592645">
      <w:pPr>
        <w:spacing w:after="0" w:line="276" w:lineRule="auto"/>
        <w:jc w:val="left"/>
        <w:rPr>
          <w:b/>
          <w:lang w:val="ru-RU"/>
        </w:rPr>
        <w:sectPr w:rsidR="00592645" w:rsidRPr="00A70D75" w:rsidSect="00A70D75">
          <w:headerReference w:type="default" r:id="rId7"/>
          <w:footerReference w:type="default" r:id="rId8"/>
          <w:pgSz w:w="12240" w:h="15840"/>
          <w:pgMar w:top="709" w:right="1080" w:bottom="1134" w:left="1080" w:header="0" w:footer="720" w:gutter="0"/>
          <w:pgNumType w:start="1"/>
          <w:cols w:space="720"/>
          <w:docGrid w:linePitch="272"/>
        </w:sectPr>
      </w:pPr>
    </w:p>
    <w:p w:rsidR="00592645" w:rsidRPr="00A70D75" w:rsidRDefault="00A70D75">
      <w:pPr>
        <w:pStyle w:val="2"/>
        <w:rPr>
          <w:lang w:val="ru-RU"/>
        </w:rPr>
      </w:pPr>
      <w:r w:rsidRPr="00A70D75">
        <w:rPr>
          <w:lang w:val="ru-RU"/>
        </w:rPr>
        <w:lastRenderedPageBreak/>
        <w:t xml:space="preserve"> Примерный формат бюджета - для более удобных расчётов используйте версию в </w:t>
      </w:r>
      <w:r>
        <w:t>excel</w:t>
      </w:r>
    </w:p>
    <w:tbl>
      <w:tblPr>
        <w:tblStyle w:val="a5"/>
        <w:tblW w:w="142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6"/>
        <w:gridCol w:w="1776"/>
        <w:gridCol w:w="1776"/>
        <w:gridCol w:w="1777"/>
        <w:gridCol w:w="1777"/>
        <w:gridCol w:w="1777"/>
        <w:gridCol w:w="1777"/>
        <w:gridCol w:w="1777"/>
      </w:tblGrid>
      <w:tr w:rsidR="00592645">
        <w:tc>
          <w:tcPr>
            <w:tcW w:w="1776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Мероприятие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Счёт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Описание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Количество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Единицы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Стоимость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Итого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Расходы</w:t>
            </w:r>
          </w:p>
        </w:tc>
      </w:tr>
      <w:tr w:rsidR="00592645">
        <w:tc>
          <w:tcPr>
            <w:tcW w:w="14213" w:type="dxa"/>
            <w:gridSpan w:val="8"/>
            <w:tcBorders>
              <w:bottom w:val="single" w:sz="4" w:space="0" w:color="000000"/>
            </w:tcBorders>
            <w:shd w:val="clear" w:color="auto" w:fill="A6A6A6"/>
          </w:tcPr>
          <w:p w:rsidR="00592645" w:rsidRDefault="00A70D75">
            <w:pPr>
              <w:spacing w:before="40" w:after="40"/>
              <w:contextualSpacing w:val="0"/>
              <w:rPr>
                <w:rFonts w:ascii="Arial Bold" w:eastAsia="Arial Bold" w:hAnsi="Arial Bold" w:cs="Arial Bold"/>
              </w:rPr>
            </w:pPr>
            <w:r>
              <w:rPr>
                <w:rFonts w:ascii="Arial Bold" w:eastAsia="Arial Bold" w:hAnsi="Arial Bold" w:cs="Arial Bold"/>
                <w:b/>
              </w:rPr>
              <w:t xml:space="preserve">Итог 1 </w:t>
            </w:r>
          </w:p>
        </w:tc>
      </w:tr>
      <w:tr w:rsidR="00592645">
        <w:tc>
          <w:tcPr>
            <w:tcW w:w="14213" w:type="dxa"/>
            <w:gridSpan w:val="8"/>
          </w:tcPr>
          <w:p w:rsidR="00592645" w:rsidRDefault="00A70D7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  <w:r>
              <w:rPr>
                <w:rFonts w:ascii="Arial Bold" w:eastAsia="Arial Bold" w:hAnsi="Arial Bold" w:cs="Arial Bold"/>
                <w:b/>
              </w:rPr>
              <w:t>Результат 1.1</w:t>
            </w: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AA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AA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AA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60" w:after="60"/>
              <w:contextualSpacing w:val="0"/>
              <w:jc w:val="left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Общая стоимость Результат 1.1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4213" w:type="dxa"/>
            <w:gridSpan w:val="8"/>
          </w:tcPr>
          <w:p w:rsidR="00592645" w:rsidRDefault="00A70D75">
            <w:pPr>
              <w:spacing w:before="60" w:after="60"/>
              <w:contextualSpacing w:val="0"/>
            </w:pPr>
            <w:r>
              <w:rPr>
                <w:b/>
              </w:rPr>
              <w:t>Результат 2</w:t>
            </w: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  <w:jc w:val="left"/>
            </w:pPr>
            <w:r>
              <w:t>AB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  <w:jc w:val="left"/>
            </w:pPr>
            <w:r>
              <w:t>AB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  <w:jc w:val="left"/>
            </w:pPr>
            <w:r>
              <w:t>AB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60" w:after="60"/>
              <w:contextualSpacing w:val="0"/>
              <w:jc w:val="left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Общая стоимость Результат 1.2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  <w:color w:val="FFFFFF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</w:p>
        </w:tc>
      </w:tr>
      <w:tr w:rsidR="00592645">
        <w:tc>
          <w:tcPr>
            <w:tcW w:w="14213" w:type="dxa"/>
            <w:gridSpan w:val="8"/>
            <w:tcBorders>
              <w:bottom w:val="single" w:sz="4" w:space="0" w:color="000000"/>
            </w:tcBorders>
            <w:shd w:val="clear" w:color="auto" w:fill="A6A6A6"/>
          </w:tcPr>
          <w:p w:rsidR="00592645" w:rsidRDefault="00A70D75">
            <w:pPr>
              <w:spacing w:before="60" w:after="60"/>
              <w:contextualSpacing w:val="0"/>
              <w:rPr>
                <w:rFonts w:ascii="Arial Bold" w:eastAsia="Arial Bold" w:hAnsi="Arial Bold" w:cs="Arial Bold"/>
              </w:rPr>
            </w:pPr>
            <w:r>
              <w:rPr>
                <w:rFonts w:ascii="Arial Bold" w:eastAsia="Arial Bold" w:hAnsi="Arial Bold" w:cs="Arial Bold"/>
                <w:b/>
              </w:rPr>
              <w:t>Итог 2</w:t>
            </w:r>
          </w:p>
        </w:tc>
      </w:tr>
      <w:tr w:rsidR="00592645">
        <w:tc>
          <w:tcPr>
            <w:tcW w:w="14213" w:type="dxa"/>
            <w:gridSpan w:val="8"/>
          </w:tcPr>
          <w:p w:rsidR="00592645" w:rsidRDefault="00A70D75">
            <w:pPr>
              <w:spacing w:before="60" w:after="60"/>
              <w:contextualSpacing w:val="0"/>
            </w:pPr>
            <w:r>
              <w:rPr>
                <w:b/>
              </w:rPr>
              <w:t>Результат 2.1</w:t>
            </w: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AC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AC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rPr>
          <w:trHeight w:val="60"/>
        </w:trPr>
        <w:tc>
          <w:tcPr>
            <w:tcW w:w="1776" w:type="dxa"/>
            <w:tcBorders>
              <w:bottom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60" w:after="60"/>
              <w:contextualSpacing w:val="0"/>
            </w:pPr>
            <w:r>
              <w:t>AC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281E"/>
          </w:tcPr>
          <w:p w:rsidR="00592645" w:rsidRDefault="00A70D75">
            <w:pPr>
              <w:spacing w:before="60" w:after="60"/>
              <w:contextualSpacing w:val="0"/>
              <w:jc w:val="left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Общая стоимость Результат 2.1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4213" w:type="dxa"/>
            <w:gridSpan w:val="8"/>
          </w:tcPr>
          <w:p w:rsidR="00592645" w:rsidRDefault="00A70D75">
            <w:pPr>
              <w:keepNext/>
              <w:spacing w:before="60" w:after="60"/>
              <w:contextualSpacing w:val="0"/>
            </w:pPr>
            <w:r>
              <w:rPr>
                <w:b/>
              </w:rPr>
              <w:lastRenderedPageBreak/>
              <w:t>Результат 2.2</w:t>
            </w: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keepNext/>
              <w:spacing w:before="60" w:after="60"/>
              <w:contextualSpacing w:val="0"/>
            </w:pPr>
            <w:r>
              <w:t>AD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shd w:val="clear" w:color="auto" w:fill="E6E6E6"/>
          </w:tcPr>
          <w:p w:rsidR="00592645" w:rsidRDefault="00A70D75">
            <w:pPr>
              <w:keepNext/>
              <w:spacing w:before="60" w:after="60"/>
              <w:contextualSpacing w:val="0"/>
            </w:pPr>
            <w:r>
              <w:t>AD</w:t>
            </w: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6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</w:tcBorders>
            <w:shd w:val="clear" w:color="auto" w:fill="E6E6E6"/>
          </w:tcPr>
          <w:p w:rsidR="00592645" w:rsidRDefault="00A70D75">
            <w:pPr>
              <w:keepNext/>
              <w:spacing w:before="60" w:after="60"/>
              <w:contextualSpacing w:val="0"/>
            </w:pPr>
            <w:r>
              <w:t>AD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6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281E"/>
          </w:tcPr>
          <w:p w:rsidR="00592645" w:rsidRDefault="00A70D75">
            <w:pPr>
              <w:keepNext/>
              <w:spacing w:before="60" w:after="60"/>
              <w:contextualSpacing w:val="0"/>
              <w:jc w:val="left"/>
              <w:rPr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Общая стоимость Результат 2.2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keepNext/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60" w:after="60"/>
              <w:contextualSpacing w:val="0"/>
              <w:jc w:val="left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Итого, вспомогательные расходы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60" w:after="60"/>
              <w:contextualSpacing w:val="0"/>
              <w:jc w:val="left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Подитог бюджета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2645" w:rsidRDefault="00A70D75">
            <w:pPr>
              <w:spacing w:before="60" w:after="60"/>
              <w:contextualSpacing w:val="0"/>
              <w:rPr>
                <w:b/>
              </w:rPr>
            </w:pPr>
            <w:r>
              <w:rPr>
                <w:b/>
              </w:rPr>
              <w:t>Затраты на программную поддержку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592645" w:rsidRDefault="00592645">
            <w:pPr>
              <w:spacing w:before="60" w:after="60"/>
              <w:contextualSpacing w:val="0"/>
            </w:pPr>
          </w:p>
        </w:tc>
      </w:tr>
      <w:tr w:rsidR="00592645">
        <w:tc>
          <w:tcPr>
            <w:tcW w:w="1776" w:type="dxa"/>
            <w:tcBorders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60" w:after="60"/>
              <w:contextualSpacing w:val="0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ОБЩИЙ БЮДЖЕТ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  <w:tc>
          <w:tcPr>
            <w:tcW w:w="1777" w:type="dxa"/>
            <w:tcBorders>
              <w:lef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60" w:after="60"/>
              <w:contextualSpacing w:val="0"/>
            </w:pPr>
          </w:p>
        </w:tc>
      </w:tr>
    </w:tbl>
    <w:p w:rsidR="00592645" w:rsidRDefault="00A70D75">
      <w:r>
        <w:br w:type="page"/>
      </w:r>
    </w:p>
    <w:p w:rsidR="00592645" w:rsidRDefault="00592645"/>
    <w:p w:rsidR="00592645" w:rsidRPr="00A70D75" w:rsidRDefault="00A70D75">
      <w:pPr>
        <w:pStyle w:val="2"/>
        <w:rPr>
          <w:lang w:val="ru-RU"/>
        </w:rPr>
      </w:pPr>
      <w:r>
        <w:t>V</w:t>
      </w:r>
      <w:r w:rsidRPr="00A70D75">
        <w:rPr>
          <w:lang w:val="ru-RU"/>
        </w:rPr>
        <w:t>. Образец формата логической структуры с примерами</w:t>
      </w:r>
    </w:p>
    <w:tbl>
      <w:tblPr>
        <w:tblStyle w:val="a6"/>
        <w:tblW w:w="142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6662"/>
        <w:gridCol w:w="2410"/>
        <w:gridCol w:w="1843"/>
        <w:gridCol w:w="1843"/>
      </w:tblGrid>
      <w:tr w:rsidR="00592645" w:rsidRPr="00A70D75">
        <w:trPr>
          <w:trHeight w:val="420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92645" w:rsidRPr="00A70D75" w:rsidRDefault="00A70D75">
            <w:pPr>
              <w:spacing w:after="0"/>
              <w:jc w:val="center"/>
              <w:rPr>
                <w:rFonts w:ascii="Arial Bold" w:eastAsia="Arial Bold" w:hAnsi="Arial Bold" w:cs="Arial Bold"/>
                <w:b/>
                <w:color w:val="FFFFFF"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color w:val="FFFFFF"/>
                <w:lang w:val="ru-RU"/>
              </w:rPr>
              <w:t>[Название проекта] ЛОГИКО-СТРУКТУРНАЯ СХЕМА</w:t>
            </w:r>
          </w:p>
        </w:tc>
      </w:tr>
      <w:tr w:rsidR="00592645">
        <w:trPr>
          <w:trHeight w:val="420"/>
        </w:trPr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Индикаторы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Способы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Предположения</w:t>
            </w:r>
          </w:p>
        </w:tc>
      </w:tr>
      <w:tr w:rsidR="00592645" w:rsidRPr="00A70D75">
        <w:trPr>
          <w:trHeight w:val="5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92645" w:rsidRDefault="00A70D75">
            <w:pPr>
              <w:spacing w:before="40" w:after="40"/>
              <w:jc w:val="left"/>
              <w:rPr>
                <w:rFonts w:ascii="Arial Bold" w:eastAsia="Arial Bold" w:hAnsi="Arial Bold" w:cs="Arial Bold"/>
                <w:b/>
              </w:rPr>
            </w:pPr>
            <w:r>
              <w:rPr>
                <w:rFonts w:ascii="Arial Bold" w:eastAsia="Arial Bold" w:hAnsi="Arial Bold" w:cs="Arial Bold"/>
                <w:b/>
              </w:rPr>
              <w:t>Цель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Обеспечить удовлетворение насущных потребностей населения, пострадавшего в результате стихийного бедствия/конфликта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b/>
                <w:color w:val="FFFFFF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lang w:val="ru-RU"/>
              </w:rPr>
            </w:pPr>
          </w:p>
        </w:tc>
      </w:tr>
      <w:tr w:rsidR="00592645" w:rsidRPr="00A70D7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92645" w:rsidRPr="00A70D75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>Итоги</w:t>
            </w:r>
          </w:p>
          <w:p w:rsidR="00592645" w:rsidRPr="00A70D75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>Примеры, подходящие для неденежной помощи, ПДП и их сочетания</w:t>
            </w:r>
          </w:p>
          <w:p w:rsidR="00592645" w:rsidRPr="00A70D75" w:rsidRDefault="00592645">
            <w:pPr>
              <w:spacing w:before="4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Удовлетворены насущные хозяйственно-бытовые потребности населения, пострадавшего в результате стихийного бедствия/конфликта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Удовлетворены насущные продовольственные потребности населения, пострадавшего в результате стихийного бедствия/конфликта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Удовлетворены насущные потребности целевых групп населения в отношении укрытия и размещения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В целевом сообществе достигнуто немедленное снижение уровня риска возникновения заболеваний, возбудители которых переносятся водой, а также заболеваний, связанных с водой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Экономическая безопасность достигнута / источники средств к существованию защищены, среди пострадавших групп населения / домохозяйств снижено число негативных стратегий адаптации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Среди пострадавших домохозяйств повышен уровень продовольственной безопасности</w:t>
            </w:r>
          </w:p>
          <w:p w:rsidR="00592645" w:rsidRPr="00A70D75" w:rsidRDefault="00A70D75">
            <w:pPr>
              <w:numPr>
                <w:ilvl w:val="0"/>
                <w:numId w:val="1"/>
              </w:numPr>
              <w:spacing w:before="60" w:after="60"/>
              <w:ind w:left="144" w:hanging="144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Источники средств к существованию защищены и среди пострадавших групп населения/домохозяйств снижено число негативных стратегий адаптации</w:t>
            </w:r>
            <w:r w:rsidRPr="00A70D75">
              <w:rPr>
                <w:lang w:val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Бенефициары используют денежные средства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Изменение моделей доходов и расходов</w:t>
            </w:r>
          </w:p>
          <w:p w:rsidR="00592645" w:rsidRPr="00A70D7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Изменение источника продовольствия для домохозяйства и стратегий адаптации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Наличие товаров на рынке</w:t>
            </w:r>
          </w:p>
          <w:p w:rsidR="00592645" w:rsidRPr="00A70D7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Изменение рыночных цен на основные товары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Мониторинг после раздачи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Мониторинг рынка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 xml:space="preserve">Итоговая оценка </w:t>
            </w:r>
          </w:p>
          <w:p w:rsidR="00592645" w:rsidRDefault="00592645">
            <w:pPr>
              <w:spacing w:before="60" w:after="60"/>
              <w:jc w:val="left"/>
            </w:pPr>
          </w:p>
          <w:p w:rsidR="00592645" w:rsidRDefault="00592645">
            <w:pPr>
              <w:spacing w:before="60" w:after="60"/>
              <w:jc w:val="left"/>
            </w:pPr>
          </w:p>
          <w:p w:rsidR="00592645" w:rsidRDefault="00592645">
            <w:pPr>
              <w:spacing w:before="60" w:after="60"/>
              <w:jc w:val="left"/>
            </w:pPr>
          </w:p>
          <w:p w:rsidR="00592645" w:rsidRDefault="00592645">
            <w:pPr>
              <w:spacing w:before="60" w:after="60"/>
              <w:jc w:val="left"/>
            </w:pPr>
          </w:p>
          <w:p w:rsidR="00592645" w:rsidRDefault="00592645">
            <w:pPr>
              <w:spacing w:before="60" w:after="60"/>
              <w:jc w:val="left"/>
            </w:pPr>
          </w:p>
          <w:p w:rsidR="00592645" w:rsidRDefault="00592645">
            <w:pPr>
              <w:spacing w:before="60" w:after="6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Политические власти на национальном и местном уровне готовы принять программу денежных переводов в их </w:t>
            </w:r>
            <w:r w:rsidR="00A910B2">
              <w:rPr>
                <w:lang w:val="ru-RU"/>
              </w:rPr>
              <w:t>регионе</w:t>
            </w:r>
            <w:r w:rsidRPr="00A70D75">
              <w:rPr>
                <w:lang w:val="ru-RU"/>
              </w:rPr>
              <w:t>.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Во время проекта целевые сообщества не пострадали от других стихийных бедствий. </w:t>
            </w:r>
          </w:p>
        </w:tc>
      </w:tr>
      <w:tr w:rsidR="00592645" w:rsidRPr="00A70D75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92645" w:rsidRPr="00A70D75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>Результаты</w:t>
            </w:r>
          </w:p>
          <w:p w:rsidR="00592645" w:rsidRPr="00A70D75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 xml:space="preserve">Примеры, подходящие для достижения </w:t>
            </w:r>
            <w:r w:rsidRPr="00A70D75">
              <w:rPr>
                <w:rFonts w:ascii="Arial Bold" w:eastAsia="Arial Bold" w:hAnsi="Arial Bold" w:cs="Arial Bold"/>
                <w:b/>
                <w:lang w:val="ru-RU"/>
              </w:rPr>
              <w:lastRenderedPageBreak/>
              <w:t>вышеупомянутых итогов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60" w:after="6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lastRenderedPageBreak/>
              <w:t>Удовлетворены насущные хозяйственно-бытовые потребности населения, пострадавшего в результате стихийного бедствия/конфликта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Благодаря мероприятиям на рынке у целевых групп населения увеличилась возможность доступа к необходимым бытовым </w:t>
            </w:r>
            <w:r w:rsidRPr="00A70D75">
              <w:rPr>
                <w:lang w:val="ru-RU"/>
              </w:rPr>
              <w:lastRenderedPageBreak/>
              <w:t>товарам (БТ)/непродовольственным товарам (НПТ)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Повысилась способность целевых групп населения получить доступ к необходимым бытовым товарам (БТ) /непродовольственным товарам (НПТ)</w:t>
            </w:r>
          </w:p>
          <w:p w:rsidR="00592645" w:rsidRPr="00A70D75" w:rsidRDefault="00A70D75">
            <w:pPr>
              <w:spacing w:before="60" w:after="6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Удовлетворены насущные продовольственные потребности населения, пострадавшего в результате бедствия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Уязвимые домохозяйства получают необходимые продуктовые пайки (там, где рынки не могут удовлетворить потребности)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Домохозяйства получают денежные переводы для приобретения продуктов (где функционируют рынки)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Домохозяйства получают необходимые бытовые товары для поддержки производства еды</w:t>
            </w:r>
          </w:p>
          <w:p w:rsidR="00592645" w:rsidRPr="00A910B2" w:rsidRDefault="00A910B2">
            <w:pPr>
              <w:keepNext/>
              <w:keepLines/>
              <w:spacing w:before="60" w:after="6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Удовлетворены насущные потребности целевых групп населения в укрытии и размещении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Целевые группы населения получают укрытие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Пострадавшие сообщества получают связанные с укрытием и размещением возможности получения дохода в соответствии со стратегией источников средств к существованию</w:t>
            </w:r>
          </w:p>
          <w:p w:rsidR="00592645" w:rsidRPr="00A70D75" w:rsidRDefault="00A70D75">
            <w:pPr>
              <w:spacing w:before="60" w:after="6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В целевом сообществе достигнуто немедленное снижение уровня риска возникновения заболеваний, возбудители которых переносятся водой, а также заболеваний, связанных с водой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Целевые группы населения имеют более свободный доступ к безопасной для употребления воде, удовлетворяющей стандартам </w:t>
            </w:r>
            <w:r>
              <w:t>Sphere</w:t>
            </w:r>
            <w:r w:rsidRPr="00A70D75">
              <w:rPr>
                <w:lang w:val="ru-RU"/>
              </w:rPr>
              <w:t xml:space="preserve"> и ВОЗ в отношении количества и качества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Целевые группы населения имеют более свободный доступ к средствам гигиены (НПТ)</w:t>
            </w:r>
          </w:p>
          <w:p w:rsidR="00592645" w:rsidRPr="00A70D75" w:rsidRDefault="00A70D75">
            <w:pPr>
              <w:spacing w:before="60" w:after="6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Источники средств к существованию защищены и среди пострадавших групп населения/домохозяйств снижено число негативных стратегий адаптации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Там, где нарушены источники дохода, доход домохозяйств сохранён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Бытовые принадлежности и средства производства защищены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Среди пострадавших групп населения/домохозяйств защищены источники средств к существованию и снижено число негативных стратегий адаптации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lastRenderedPageBreak/>
              <w:t>Производственные активы заменены и сохранены</w:t>
            </w:r>
          </w:p>
          <w:p w:rsidR="00592645" w:rsidRPr="00A70D75" w:rsidRDefault="00A70D75">
            <w:pPr>
              <w:spacing w:before="60" w:after="6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Среди пострадавших домохозяйств повышен уровень продовольственной безопасности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Необходимые хозяйственно-бытовые товары, используемые в производстве еды, получены и/или к ним предоставлен доступ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Там, где нарушены источники дохода, доход домохозяйств поддерживается.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A70D75">
            <w:pPr>
              <w:numPr>
                <w:ilvl w:val="0"/>
                <w:numId w:val="2"/>
              </w:numPr>
              <w:spacing w:after="0"/>
              <w:ind w:left="176" w:hanging="176"/>
              <w:jc w:val="left"/>
            </w:pPr>
            <w:r>
              <w:lastRenderedPageBreak/>
              <w:t>Число бенефициаров, получающих денежные переводы</w:t>
            </w:r>
          </w:p>
          <w:p w:rsidR="00592645" w:rsidRPr="00A70D75" w:rsidRDefault="00A70D75">
            <w:pPr>
              <w:numPr>
                <w:ilvl w:val="0"/>
                <w:numId w:val="2"/>
              </w:numPr>
              <w:spacing w:after="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Число мужчин и женщин, </w:t>
            </w:r>
            <w:r w:rsidRPr="00A70D75">
              <w:rPr>
                <w:lang w:val="ru-RU"/>
              </w:rPr>
              <w:lastRenderedPageBreak/>
              <w:t>получающих наличные</w:t>
            </w:r>
          </w:p>
          <w:p w:rsidR="00592645" w:rsidRPr="00A70D75" w:rsidRDefault="00A70D75">
            <w:pPr>
              <w:numPr>
                <w:ilvl w:val="0"/>
                <w:numId w:val="2"/>
              </w:numPr>
              <w:spacing w:after="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Общая сумма денег, перечисленных бенефициарам по сравнению с запланированной</w:t>
            </w:r>
          </w:p>
          <w:p w:rsidR="00592645" w:rsidRDefault="00A70D75">
            <w:pPr>
              <w:numPr>
                <w:ilvl w:val="0"/>
                <w:numId w:val="2"/>
              </w:numPr>
              <w:spacing w:after="0"/>
              <w:ind w:left="176" w:hanging="176"/>
              <w:jc w:val="left"/>
            </w:pPr>
            <w:r>
              <w:t>Общая денежная стоимость розданных средств</w:t>
            </w:r>
          </w:p>
          <w:p w:rsidR="00592645" w:rsidRDefault="00A70D75">
            <w:pPr>
              <w:numPr>
                <w:ilvl w:val="0"/>
                <w:numId w:val="2"/>
              </w:numPr>
              <w:spacing w:after="0"/>
              <w:ind w:left="176" w:hanging="176"/>
              <w:jc w:val="left"/>
            </w:pPr>
            <w:r>
              <w:t>Платежи производились вовремя / согласно графику</w:t>
            </w:r>
          </w:p>
          <w:p w:rsidR="00592645" w:rsidRDefault="00592645">
            <w:pPr>
              <w:spacing w:after="0"/>
              <w:jc w:val="left"/>
            </w:pPr>
          </w:p>
          <w:p w:rsidR="00592645" w:rsidRDefault="00592645">
            <w:pPr>
              <w:spacing w:after="0"/>
              <w:jc w:val="left"/>
            </w:pPr>
          </w:p>
          <w:p w:rsidR="00592645" w:rsidRPr="00A70D7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Бенефициары удовлетворены процессом и методами </w:t>
            </w:r>
            <w:r w:rsidR="00A910B2">
              <w:rPr>
                <w:lang w:val="ru-RU"/>
              </w:rPr>
              <w:t>реализации</w:t>
            </w:r>
            <w:r w:rsidRPr="00A70D75">
              <w:rPr>
                <w:lang w:val="ru-RU"/>
              </w:rPr>
              <w:t xml:space="preserve"> </w:t>
            </w:r>
          </w:p>
          <w:p w:rsidR="00592645" w:rsidRPr="00A70D75" w:rsidRDefault="00592645">
            <w:pPr>
              <w:spacing w:before="60" w:after="6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lastRenderedPageBreak/>
              <w:t>Итоговые бланки КК для регистрации и раздачи</w:t>
            </w:r>
          </w:p>
          <w:p w:rsidR="00592645" w:rsidRPr="00A70D7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Финансовые </w:t>
            </w:r>
            <w:r w:rsidRPr="00A70D75">
              <w:rPr>
                <w:lang w:val="ru-RU"/>
              </w:rPr>
              <w:lastRenderedPageBreak/>
              <w:t>отчёты от организаций, предоставляющих механизм раздачи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Отчёты системы обратной связи/жалоб</w:t>
            </w:r>
          </w:p>
          <w:p w:rsidR="00592645" w:rsidRDefault="00A70D75">
            <w:pPr>
              <w:numPr>
                <w:ilvl w:val="0"/>
                <w:numId w:val="2"/>
              </w:numPr>
              <w:spacing w:before="60" w:after="60"/>
              <w:ind w:left="176" w:hanging="176"/>
              <w:jc w:val="left"/>
            </w:pPr>
            <w:r>
              <w:t>Мониторинг после раздачи</w:t>
            </w:r>
          </w:p>
          <w:p w:rsidR="00592645" w:rsidRDefault="00592645">
            <w:pPr>
              <w:spacing w:before="60" w:after="6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lastRenderedPageBreak/>
              <w:t xml:space="preserve">Политическая ситуация и уровень безопасности остаются стабильными, </w:t>
            </w:r>
            <w:r w:rsidRPr="00A70D75">
              <w:rPr>
                <w:lang w:val="ru-RU"/>
              </w:rPr>
              <w:lastRenderedPageBreak/>
              <w:t>что позволяет проводить мероприятия на уровне сообществ.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Программа не вызовет локальную инфляцию на рынках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Можно безопасно проводить операции с денежными средствами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Ко всем выбранным районам есть доступ для мониторинга и оценки.</w:t>
            </w:r>
          </w:p>
        </w:tc>
      </w:tr>
      <w:tr w:rsidR="00592645" w:rsidRPr="00A70D75">
        <w:trPr>
          <w:trHeight w:val="84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vAlign w:val="center"/>
          </w:tcPr>
          <w:p w:rsidR="00592645" w:rsidRPr="00A910B2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sz w:val="18"/>
                <w:lang w:val="ru-RU"/>
              </w:rPr>
            </w:pPr>
            <w:r w:rsidRPr="00A910B2">
              <w:rPr>
                <w:rFonts w:ascii="Arial Bold" w:eastAsia="Arial Bold" w:hAnsi="Arial Bold" w:cs="Arial Bold"/>
                <w:b/>
                <w:sz w:val="18"/>
                <w:lang w:val="ru-RU"/>
              </w:rPr>
              <w:lastRenderedPageBreak/>
              <w:t>Мероприятия</w:t>
            </w:r>
          </w:p>
          <w:p w:rsidR="00592645" w:rsidRPr="00A70D75" w:rsidRDefault="00A70D75">
            <w:pPr>
              <w:spacing w:before="120" w:after="40"/>
              <w:jc w:val="left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>Примеры, подходящие для вышеупомянутых результатов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1.</w:t>
            </w:r>
            <w:r w:rsidRPr="00A70D75">
              <w:rPr>
                <w:lang w:val="ru-RU"/>
              </w:rPr>
              <w:t xml:space="preserve"> Поддержка программ с использованием денежных средств и разъяснительная работа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2</w:t>
            </w:r>
            <w:r w:rsidRPr="00A70D75">
              <w:rPr>
                <w:lang w:val="ru-RU"/>
              </w:rPr>
              <w:t>. На</w:t>
            </w:r>
            <w:r w:rsidR="00A910B2">
              <w:rPr>
                <w:lang w:val="ru-RU"/>
              </w:rPr>
              <w:t>ё</w:t>
            </w:r>
            <w:r w:rsidRPr="00A70D75">
              <w:rPr>
                <w:lang w:val="ru-RU"/>
              </w:rPr>
              <w:t>м и обучение персонала и добровольцев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3</w:t>
            </w:r>
            <w:r w:rsidRPr="00A70D75">
              <w:rPr>
                <w:lang w:val="ru-RU"/>
              </w:rPr>
              <w:t>. Идентификация и регистрация бенефициаров проекта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 xml:space="preserve">4. </w:t>
            </w:r>
            <w:r w:rsidRPr="00A70D75">
              <w:rPr>
                <w:lang w:val="ru-RU"/>
              </w:rPr>
              <w:t>Определение мест расположения пунктов выплаты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5</w:t>
            </w:r>
            <w:r w:rsidRPr="00A70D75">
              <w:rPr>
                <w:lang w:val="ru-RU"/>
              </w:rPr>
              <w:t>. Обучение поставщиков финансовых услуг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6.</w:t>
            </w:r>
            <w:r w:rsidRPr="00A70D75">
              <w:rPr>
                <w:lang w:val="ru-RU"/>
              </w:rPr>
              <w:t xml:space="preserve"> Подготовка и распространение системы коммуникации с получателями помощи и партнёрами (включая систему обратной связи/жалоб)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7</w:t>
            </w:r>
            <w:r w:rsidRPr="00A70D75">
              <w:rPr>
                <w:lang w:val="ru-RU"/>
              </w:rPr>
              <w:t>. Подготовка и раздача наличных/ваучеров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8.</w:t>
            </w:r>
            <w:r w:rsidRPr="00A70D75">
              <w:rPr>
                <w:lang w:val="ru-RU"/>
              </w:rPr>
              <w:t xml:space="preserve"> Проведение мониторинга процесса и воздействия 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9.</w:t>
            </w:r>
            <w:r w:rsidRPr="00A70D75">
              <w:rPr>
                <w:lang w:val="ru-RU"/>
              </w:rPr>
              <w:t xml:space="preserve"> Проведение мониторинга рынка</w:t>
            </w:r>
          </w:p>
          <w:p w:rsidR="00592645" w:rsidRPr="00A70D75" w:rsidRDefault="00A70D75">
            <w:pPr>
              <w:spacing w:before="60" w:after="60"/>
              <w:jc w:val="left"/>
              <w:rPr>
                <w:lang w:val="ru-RU"/>
              </w:rPr>
            </w:pPr>
            <w:r w:rsidRPr="00A70D75">
              <w:rPr>
                <w:b/>
                <w:lang w:val="ru-RU"/>
              </w:rPr>
              <w:t>10.</w:t>
            </w:r>
            <w:r w:rsidRPr="00A70D75">
              <w:rPr>
                <w:lang w:val="ru-RU"/>
              </w:rPr>
              <w:t xml:space="preserve"> Итоговая оценка проекта</w:t>
            </w:r>
          </w:p>
          <w:p w:rsidR="00592645" w:rsidRPr="00A70D75" w:rsidRDefault="00592645">
            <w:pPr>
              <w:spacing w:before="60" w:after="60"/>
              <w:jc w:val="left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jc w:val="left"/>
              <w:rPr>
                <w:lang w:val="ru-RU"/>
              </w:rPr>
            </w:pPr>
          </w:p>
        </w:tc>
      </w:tr>
    </w:tbl>
    <w:p w:rsidR="00592645" w:rsidRPr="00A70D75" w:rsidRDefault="00592645">
      <w:pPr>
        <w:spacing w:after="0"/>
        <w:rPr>
          <w:lang w:val="ru-RU"/>
        </w:rPr>
      </w:pPr>
    </w:p>
    <w:p w:rsidR="00592645" w:rsidRPr="00A70D75" w:rsidRDefault="00592645">
      <w:pPr>
        <w:spacing w:after="0"/>
        <w:rPr>
          <w:lang w:val="ru-RU"/>
        </w:rPr>
      </w:pPr>
    </w:p>
    <w:p w:rsidR="00592645" w:rsidRDefault="00A70D75">
      <w:pPr>
        <w:pStyle w:val="2"/>
      </w:pPr>
      <w:r>
        <w:t>VI. Шаблон матрицы примеров рисков</w:t>
      </w:r>
    </w:p>
    <w:tbl>
      <w:tblPr>
        <w:tblStyle w:val="a7"/>
        <w:tblW w:w="142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3"/>
        <w:gridCol w:w="1427"/>
        <w:gridCol w:w="3263"/>
        <w:gridCol w:w="4150"/>
      </w:tblGrid>
      <w:tr w:rsidR="00592645" w:rsidRPr="001B617D">
        <w:trPr>
          <w:trHeight w:val="340"/>
        </w:trPr>
        <w:tc>
          <w:tcPr>
            <w:tcW w:w="5373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contextualSpacing w:val="0"/>
              <w:jc w:val="center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>Риск</w:t>
            </w:r>
            <w:r>
              <w:rPr>
                <w:b/>
                <w:color w:val="FFFFFF"/>
              </w:rPr>
              <w:br/>
            </w:r>
            <w:r>
              <w:rPr>
                <w:i/>
                <w:color w:val="FFFFFF"/>
              </w:rPr>
              <w:t>(и источник информации)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contextualSpacing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Вероятность (1 низкая - 5 высокая)</w:t>
            </w:r>
          </w:p>
        </w:tc>
        <w:tc>
          <w:tcPr>
            <w:tcW w:w="3263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Pr="00A70D75" w:rsidRDefault="00A70D75">
            <w:pPr>
              <w:spacing w:before="120"/>
              <w:contextualSpacing w:val="0"/>
              <w:jc w:val="center"/>
              <w:rPr>
                <w:b/>
                <w:color w:val="FFFFFF"/>
                <w:lang w:val="ru-RU"/>
              </w:rPr>
            </w:pPr>
            <w:r w:rsidRPr="00A70D75">
              <w:rPr>
                <w:b/>
                <w:color w:val="FFFFFF"/>
                <w:lang w:val="ru-RU"/>
              </w:rPr>
              <w:t>Описание воздействия на программу (1 низкое - 5 высокое)</w:t>
            </w:r>
          </w:p>
        </w:tc>
        <w:tc>
          <w:tcPr>
            <w:tcW w:w="4150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Pr="00A70D75" w:rsidRDefault="00A70D75">
            <w:pPr>
              <w:spacing w:before="120"/>
              <w:contextualSpacing w:val="0"/>
              <w:jc w:val="center"/>
              <w:rPr>
                <w:b/>
                <w:color w:val="FFFFFF"/>
                <w:lang w:val="ru-RU"/>
              </w:rPr>
            </w:pPr>
            <w:r w:rsidRPr="00A70D75">
              <w:rPr>
                <w:b/>
                <w:color w:val="FFFFFF"/>
                <w:lang w:val="ru-RU"/>
              </w:rPr>
              <w:t>Определённые действия по снижению рисков и ответственный за риск</w:t>
            </w:r>
          </w:p>
        </w:tc>
      </w:tr>
      <w:tr w:rsidR="00592645">
        <w:trPr>
          <w:trHeight w:val="340"/>
        </w:trPr>
        <w:tc>
          <w:tcPr>
            <w:tcW w:w="14213" w:type="dxa"/>
            <w:gridSpan w:val="4"/>
            <w:shd w:val="clear" w:color="auto" w:fill="A6A6A6"/>
          </w:tcPr>
          <w:p w:rsidR="00592645" w:rsidRDefault="00A70D75">
            <w:pPr>
              <w:spacing w:before="40" w:after="40"/>
              <w:contextualSpacing w:val="0"/>
              <w:rPr>
                <w:rFonts w:ascii="Arial Bold" w:eastAsia="Arial Bold" w:hAnsi="Arial Bold" w:cs="Arial Bold"/>
                <w:b/>
              </w:rPr>
            </w:pPr>
            <w:r>
              <w:rPr>
                <w:rFonts w:ascii="Arial Bold" w:eastAsia="Arial Bold" w:hAnsi="Arial Bold" w:cs="Arial Bold"/>
                <w:b/>
              </w:rPr>
              <w:t>Ситуативный риск</w:t>
            </w:r>
          </w:p>
        </w:tc>
      </w:tr>
      <w:tr w:rsidR="00592645">
        <w:trPr>
          <w:trHeight w:val="340"/>
        </w:trPr>
        <w:tc>
          <w:tcPr>
            <w:tcW w:w="5373" w:type="dxa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 xml:space="preserve"> Постановления правительства/законы</w:t>
            </w:r>
          </w:p>
        </w:tc>
        <w:tc>
          <w:tcPr>
            <w:tcW w:w="1427" w:type="dxa"/>
            <w:shd w:val="clear" w:color="auto" w:fill="F3F3F3"/>
          </w:tcPr>
          <w:p w:rsidR="00592645" w:rsidRDefault="00592645">
            <w:pPr>
              <w:spacing w:before="40" w:after="40"/>
              <w:ind w:left="317"/>
              <w:contextualSpacing w:val="0"/>
              <w:rPr>
                <w:rFonts w:ascii="Arial" w:eastAsia="Arial" w:hAnsi="Arial" w:cs="Arial"/>
              </w:rPr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ind w:left="176"/>
              <w:contextualSpacing w:val="0"/>
              <w:rPr>
                <w:rFonts w:ascii="Arial" w:eastAsia="Arial" w:hAnsi="Arial" w:cs="Arial"/>
              </w:rPr>
            </w:pPr>
          </w:p>
        </w:tc>
      </w:tr>
      <w:tr w:rsidR="00592645">
        <w:trPr>
          <w:trHeight w:val="340"/>
        </w:trPr>
        <w:tc>
          <w:tcPr>
            <w:tcW w:w="5373" w:type="dxa"/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Безопасность/доступ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 w:rsidRPr="00A70D75">
        <w:trPr>
          <w:trHeight w:val="340"/>
        </w:trPr>
        <w:tc>
          <w:tcPr>
            <w:tcW w:w="5373" w:type="dxa"/>
            <w:tcBorders>
              <w:bottom w:val="single" w:sz="4" w:space="0" w:color="000000"/>
            </w:tcBorders>
            <w:vAlign w:val="center"/>
          </w:tcPr>
          <w:p w:rsidR="00592645" w:rsidRPr="00A70D75" w:rsidRDefault="00A70D75">
            <w:pPr>
              <w:spacing w:before="40" w:after="40"/>
              <w:contextualSpacing w:val="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 xml:space="preserve">Риск инфляции, вызванной внешними факторами, </w:t>
            </w:r>
            <w:r w:rsidRPr="00A70D75">
              <w:rPr>
                <w:b/>
                <w:lang w:val="ru-RU"/>
              </w:rPr>
              <w:lastRenderedPageBreak/>
              <w:t>например, обесцениванием валюты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326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415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ind w:left="176"/>
              <w:contextualSpacing w:val="0"/>
              <w:rPr>
                <w:rFonts w:ascii="Arial" w:eastAsia="Arial" w:hAnsi="Arial" w:cs="Arial"/>
                <w:lang w:val="ru-RU"/>
              </w:rPr>
            </w:pPr>
          </w:p>
        </w:tc>
      </w:tr>
      <w:tr w:rsidR="00592645">
        <w:trPr>
          <w:trHeight w:val="340"/>
        </w:trPr>
        <w:tc>
          <w:tcPr>
            <w:tcW w:w="14213" w:type="dxa"/>
            <w:gridSpan w:val="4"/>
            <w:shd w:val="clear" w:color="auto" w:fill="A6A6A6"/>
            <w:vAlign w:val="center"/>
          </w:tcPr>
          <w:p w:rsidR="00592645" w:rsidRDefault="00A910B2">
            <w:pPr>
              <w:spacing w:before="40" w:after="40"/>
              <w:contextualSpacing w:val="0"/>
              <w:rPr>
                <w:rFonts w:ascii="Arial Bold" w:eastAsia="Arial Bold" w:hAnsi="Arial Bold" w:cs="Arial Bold"/>
              </w:rPr>
            </w:pPr>
            <w:r>
              <w:rPr>
                <w:rFonts w:ascii="Arial Bold" w:eastAsia="Arial Bold" w:hAnsi="Arial Bold" w:cs="Arial Bold"/>
                <w:b/>
              </w:rPr>
              <w:t>Програ</w:t>
            </w:r>
            <w:r w:rsidR="00A70D75">
              <w:rPr>
                <w:rFonts w:ascii="Arial Bold" w:eastAsia="Arial Bold" w:hAnsi="Arial Bold" w:cs="Arial Bold"/>
                <w:b/>
              </w:rPr>
              <w:t>мный риск</w:t>
            </w:r>
          </w:p>
        </w:tc>
      </w:tr>
      <w:tr w:rsidR="00592645" w:rsidRPr="00A70D75">
        <w:trPr>
          <w:trHeight w:val="340"/>
        </w:trPr>
        <w:tc>
          <w:tcPr>
            <w:tcW w:w="5373" w:type="dxa"/>
            <w:vAlign w:val="center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Риски, связанные с потенциалом, относящиеся к финансированию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3263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b/>
                <w:lang w:val="ru-RU"/>
              </w:rPr>
            </w:pPr>
          </w:p>
        </w:tc>
        <w:tc>
          <w:tcPr>
            <w:tcW w:w="4150" w:type="dxa"/>
            <w:shd w:val="clear" w:color="auto" w:fill="F3F3F3"/>
          </w:tcPr>
          <w:p w:rsidR="00592645" w:rsidRPr="00A70D75" w:rsidRDefault="00592645">
            <w:pPr>
              <w:spacing w:before="40" w:after="40"/>
              <w:ind w:left="34"/>
              <w:contextualSpacing w:val="0"/>
              <w:rPr>
                <w:lang w:val="ru-RU"/>
              </w:rPr>
            </w:pPr>
          </w:p>
        </w:tc>
      </w:tr>
      <w:tr w:rsidR="00592645" w:rsidRPr="00A70D75">
        <w:trPr>
          <w:trHeight w:val="340"/>
        </w:trPr>
        <w:tc>
          <w:tcPr>
            <w:tcW w:w="5373" w:type="dxa"/>
            <w:vAlign w:val="center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Риски, связанные с привлечением третьих сторон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3263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b/>
                <w:lang w:val="ru-RU"/>
              </w:rPr>
            </w:pPr>
          </w:p>
        </w:tc>
        <w:tc>
          <w:tcPr>
            <w:tcW w:w="4150" w:type="dxa"/>
            <w:shd w:val="clear" w:color="auto" w:fill="F3F3F3"/>
          </w:tcPr>
          <w:p w:rsidR="00592645" w:rsidRPr="00A70D75" w:rsidRDefault="00592645">
            <w:pPr>
              <w:spacing w:before="40" w:after="40"/>
              <w:ind w:left="34"/>
              <w:contextualSpacing w:val="0"/>
              <w:rPr>
                <w:lang w:val="ru-RU"/>
              </w:rPr>
            </w:pPr>
          </w:p>
        </w:tc>
      </w:tr>
      <w:tr w:rsidR="00592645" w:rsidRPr="00A70D75">
        <w:trPr>
          <w:trHeight w:val="340"/>
        </w:trPr>
        <w:tc>
          <w:tcPr>
            <w:tcW w:w="5373" w:type="dxa"/>
            <w:vAlign w:val="center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Угроза безопасности персонала и добровольцев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ind w:left="34"/>
              <w:contextualSpacing w:val="0"/>
              <w:rPr>
                <w:lang w:val="ru-RU"/>
              </w:rPr>
            </w:pPr>
          </w:p>
        </w:tc>
      </w:tr>
      <w:tr w:rsidR="00592645">
        <w:trPr>
          <w:trHeight w:val="340"/>
        </w:trPr>
        <w:tc>
          <w:tcPr>
            <w:tcW w:w="5373" w:type="dxa"/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Угроза безопасности бенефициаров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ind w:left="34"/>
              <w:contextualSpacing w:val="0"/>
            </w:pPr>
          </w:p>
        </w:tc>
      </w:tr>
      <w:tr w:rsidR="00592645">
        <w:trPr>
          <w:trHeight w:val="340"/>
        </w:trPr>
        <w:tc>
          <w:tcPr>
            <w:tcW w:w="5373" w:type="dxa"/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Коррупция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>
        <w:trPr>
          <w:trHeight w:val="340"/>
        </w:trPr>
        <w:tc>
          <w:tcPr>
            <w:tcW w:w="5373" w:type="dxa"/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Конфликты внутри сообщества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ind w:left="34"/>
              <w:contextualSpacing w:val="0"/>
            </w:pPr>
          </w:p>
        </w:tc>
      </w:tr>
      <w:tr w:rsidR="00592645">
        <w:trPr>
          <w:trHeight w:val="340"/>
        </w:trPr>
        <w:tc>
          <w:tcPr>
            <w:tcW w:w="5373" w:type="dxa"/>
            <w:tcBorders>
              <w:bottom w:val="single" w:sz="4" w:space="0" w:color="000000"/>
            </w:tcBorders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 xml:space="preserve">Инфляция  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 w:rsidRPr="00A70D75">
        <w:trPr>
          <w:trHeight w:val="340"/>
        </w:trPr>
        <w:tc>
          <w:tcPr>
            <w:tcW w:w="14213" w:type="dxa"/>
            <w:gridSpan w:val="4"/>
            <w:shd w:val="clear" w:color="auto" w:fill="A6A6A6"/>
            <w:vAlign w:val="center"/>
          </w:tcPr>
          <w:p w:rsidR="00592645" w:rsidRPr="00A70D75" w:rsidRDefault="00A70D75">
            <w:pPr>
              <w:spacing w:before="40" w:after="40"/>
              <w:contextualSpacing w:val="0"/>
              <w:rPr>
                <w:rFonts w:ascii="Arial Bold" w:eastAsia="Arial Bold" w:hAnsi="Arial Bold" w:cs="Arial Bold"/>
                <w:b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lang w:val="ru-RU"/>
              </w:rPr>
              <w:t>Институциональный риск (финансовый, стратегический риск, угроза репутации)</w:t>
            </w:r>
          </w:p>
        </w:tc>
      </w:tr>
      <w:tr w:rsidR="00592645" w:rsidRPr="00A70D75">
        <w:trPr>
          <w:trHeight w:val="340"/>
        </w:trPr>
        <w:tc>
          <w:tcPr>
            <w:tcW w:w="5373" w:type="dxa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Риски отчётности, мошенничества и коррупции</w:t>
            </w:r>
          </w:p>
        </w:tc>
        <w:tc>
          <w:tcPr>
            <w:tcW w:w="1427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</w:tr>
      <w:tr w:rsidR="00592645" w:rsidRPr="00A70D75">
        <w:trPr>
          <w:trHeight w:val="340"/>
        </w:trPr>
        <w:tc>
          <w:tcPr>
            <w:tcW w:w="5373" w:type="dxa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Стратегические риски для национального общества/Движения</w:t>
            </w:r>
          </w:p>
        </w:tc>
        <w:tc>
          <w:tcPr>
            <w:tcW w:w="1427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i/>
                <w:lang w:val="ru-RU"/>
              </w:rPr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contextualSpacing w:val="0"/>
              <w:jc w:val="center"/>
              <w:rPr>
                <w:lang w:val="ru-RU"/>
              </w:rPr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Pr="00A70D75" w:rsidRDefault="00592645">
            <w:pPr>
              <w:spacing w:before="40" w:after="40"/>
              <w:ind w:left="459"/>
              <w:contextualSpacing w:val="0"/>
              <w:rPr>
                <w:rFonts w:ascii="Arial" w:eastAsia="Arial" w:hAnsi="Arial" w:cs="Arial"/>
                <w:lang w:val="ru-RU"/>
              </w:rPr>
            </w:pPr>
          </w:p>
        </w:tc>
      </w:tr>
      <w:tr w:rsidR="00592645">
        <w:trPr>
          <w:trHeight w:val="340"/>
        </w:trPr>
        <w:tc>
          <w:tcPr>
            <w:tcW w:w="5373" w:type="dxa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Взаимоотношения с другими участниками</w:t>
            </w:r>
          </w:p>
        </w:tc>
        <w:tc>
          <w:tcPr>
            <w:tcW w:w="1427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  <w:rPr>
                <w:b/>
              </w:rPr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>
        <w:trPr>
          <w:trHeight w:val="340"/>
        </w:trPr>
        <w:tc>
          <w:tcPr>
            <w:tcW w:w="5373" w:type="dxa"/>
            <w:vAlign w:val="center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Другие</w:t>
            </w:r>
          </w:p>
        </w:tc>
        <w:tc>
          <w:tcPr>
            <w:tcW w:w="1427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3263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  <w:jc w:val="center"/>
            </w:pPr>
          </w:p>
        </w:tc>
        <w:tc>
          <w:tcPr>
            <w:tcW w:w="4150" w:type="dxa"/>
            <w:shd w:val="clear" w:color="auto" w:fill="F3F3F3"/>
            <w:vAlign w:val="center"/>
          </w:tcPr>
          <w:p w:rsidR="00592645" w:rsidRDefault="00592645">
            <w:pPr>
              <w:spacing w:before="40" w:after="40"/>
              <w:contextualSpacing w:val="0"/>
            </w:pPr>
          </w:p>
        </w:tc>
      </w:tr>
    </w:tbl>
    <w:p w:rsidR="00592645" w:rsidRDefault="00A70D75">
      <w:r>
        <w:br w:type="page"/>
      </w:r>
    </w:p>
    <w:p w:rsidR="00592645" w:rsidRDefault="00592645"/>
    <w:p w:rsidR="00592645" w:rsidRDefault="00A70D75">
      <w:pPr>
        <w:pStyle w:val="2"/>
      </w:pPr>
      <w:r>
        <w:t>VII. Пример формата кадрового плана</w:t>
      </w:r>
    </w:p>
    <w:p w:rsidR="00592645" w:rsidRDefault="00A70D75">
      <w:pPr>
        <w:rPr>
          <w:i/>
        </w:rPr>
      </w:pPr>
      <w:r>
        <w:rPr>
          <w:i/>
        </w:rPr>
        <w:t>Учтите запланированные кадровые потребности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Обдумайте, какой персонал потребуется для выполнения плана действий - это может быть местный персонал, делегаты, консультанты, добровольцы, экстренный кадровый потенциал и т.п.</w:t>
      </w:r>
    </w:p>
    <w:p w:rsidR="00592645" w:rsidRPr="00A70D75" w:rsidRDefault="00A70D75">
      <w:pPr>
        <w:rPr>
          <w:i/>
          <w:lang w:val="ru-RU"/>
        </w:rPr>
      </w:pPr>
      <w:r w:rsidRPr="00A70D75">
        <w:rPr>
          <w:i/>
          <w:lang w:val="ru-RU"/>
        </w:rPr>
        <w:t>Обдумайте функции и места расположения, относящиеся к мероприятиям программ денежных переводов, включая: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lang w:val="ru-RU"/>
        </w:rPr>
      </w:pPr>
      <w:r w:rsidRPr="00A70D75">
        <w:rPr>
          <w:lang w:val="ru-RU"/>
        </w:rPr>
        <w:t>Систему коммуникации с бенефициарами и отчётности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Механизм обратной связи и реагирования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Работу с базами данных</w:t>
      </w:r>
    </w:p>
    <w:p w:rsidR="00592645" w:rsidRPr="00A70D75" w:rsidRDefault="00A70D75">
      <w:pPr>
        <w:numPr>
          <w:ilvl w:val="0"/>
          <w:numId w:val="3"/>
        </w:numPr>
        <w:spacing w:before="120"/>
        <w:ind w:hanging="360"/>
        <w:rPr>
          <w:lang w:val="ru-RU"/>
        </w:rPr>
      </w:pPr>
      <w:r w:rsidRPr="00A70D75">
        <w:rPr>
          <w:lang w:val="ru-RU"/>
        </w:rPr>
        <w:t>Раздачи (и отоваривание при использовании ваучеров)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Мониторинг процесса</w:t>
      </w:r>
    </w:p>
    <w:p w:rsidR="00592645" w:rsidRDefault="00A70D75">
      <w:pPr>
        <w:numPr>
          <w:ilvl w:val="0"/>
          <w:numId w:val="3"/>
        </w:numPr>
        <w:spacing w:before="120"/>
        <w:ind w:hanging="360"/>
      </w:pPr>
      <w:r>
        <w:t>Мониторинг рыночных цен</w:t>
      </w:r>
    </w:p>
    <w:tbl>
      <w:tblPr>
        <w:tblStyle w:val="a8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1"/>
        <w:gridCol w:w="1973"/>
        <w:gridCol w:w="2693"/>
        <w:gridCol w:w="5954"/>
      </w:tblGrid>
      <w:tr w:rsidR="00592645">
        <w:trPr>
          <w:trHeight w:val="20"/>
        </w:trPr>
        <w:tc>
          <w:tcPr>
            <w:tcW w:w="14142" w:type="dxa"/>
            <w:gridSpan w:val="4"/>
            <w:tcBorders>
              <w:bottom w:val="single" w:sz="4" w:space="0" w:color="000000"/>
            </w:tcBorders>
            <w:shd w:val="clear" w:color="auto" w:fill="DFDFDF"/>
            <w:vAlign w:val="center"/>
          </w:tcPr>
          <w:p w:rsidR="00592645" w:rsidRDefault="00A70D75">
            <w:pPr>
              <w:spacing w:before="120"/>
              <w:contextualSpacing w:val="0"/>
              <w:rPr>
                <w:b/>
              </w:rPr>
            </w:pPr>
            <w:r>
              <w:rPr>
                <w:b/>
              </w:rPr>
              <w:t>Таблица кадрового планирования</w:t>
            </w:r>
          </w:p>
        </w:tc>
      </w:tr>
      <w:tr w:rsidR="00592645" w:rsidRPr="00A70D75">
        <w:trPr>
          <w:trHeight w:val="20"/>
        </w:trPr>
        <w:tc>
          <w:tcPr>
            <w:tcW w:w="3522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Название должности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Сектор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</w:rPr>
            </w:pPr>
            <w:r>
              <w:rPr>
                <w:rFonts w:ascii="Arial Bold" w:eastAsia="Arial Bold" w:hAnsi="Arial Bold" w:cs="Arial Bold"/>
                <w:b/>
                <w:color w:val="FFFFFF"/>
              </w:rPr>
              <w:t>Время (месяцы)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DC281E"/>
            <w:vAlign w:val="center"/>
          </w:tcPr>
          <w:p w:rsidR="00592645" w:rsidRPr="00A70D75" w:rsidRDefault="00A70D75">
            <w:pPr>
              <w:spacing w:before="120"/>
              <w:contextualSpacing w:val="0"/>
              <w:jc w:val="center"/>
              <w:rPr>
                <w:rFonts w:ascii="Arial Bold" w:eastAsia="Arial Bold" w:hAnsi="Arial Bold" w:cs="Arial Bold"/>
                <w:b/>
                <w:color w:val="FFFFFF"/>
                <w:lang w:val="ru-RU"/>
              </w:rPr>
            </w:pPr>
            <w:r w:rsidRPr="00A70D75">
              <w:rPr>
                <w:rFonts w:ascii="Arial Bold" w:eastAsia="Arial Bold" w:hAnsi="Arial Bold" w:cs="Arial Bold"/>
                <w:b/>
                <w:color w:val="FFFFFF"/>
                <w:lang w:val="ru-RU"/>
              </w:rPr>
              <w:t>Конкретные роли, зоны ответственности, задачи</w:t>
            </w:r>
          </w:p>
        </w:tc>
      </w:tr>
      <w:tr w:rsidR="00592645">
        <w:trPr>
          <w:trHeight w:val="20"/>
        </w:trPr>
        <w:tc>
          <w:tcPr>
            <w:tcW w:w="3522" w:type="dxa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Национальный персонал</w:t>
            </w:r>
          </w:p>
        </w:tc>
        <w:tc>
          <w:tcPr>
            <w:tcW w:w="1973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2693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5954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 w:rsidRPr="00A70D75">
        <w:trPr>
          <w:trHeight w:val="20"/>
        </w:trPr>
        <w:tc>
          <w:tcPr>
            <w:tcW w:w="3522" w:type="dxa"/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Персонал из Штаб-квартиры и руководящий персонал</w:t>
            </w:r>
          </w:p>
        </w:tc>
        <w:tc>
          <w:tcPr>
            <w:tcW w:w="1973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  <w:tc>
          <w:tcPr>
            <w:tcW w:w="2693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</w:tr>
      <w:tr w:rsidR="00592645">
        <w:trPr>
          <w:trHeight w:val="20"/>
        </w:trPr>
        <w:tc>
          <w:tcPr>
            <w:tcW w:w="3522" w:type="dxa"/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Добровольцы</w:t>
            </w:r>
          </w:p>
        </w:tc>
        <w:tc>
          <w:tcPr>
            <w:tcW w:w="1973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2693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5954" w:type="dxa"/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 w:rsidRPr="00A70D75">
        <w:trPr>
          <w:trHeight w:val="2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Pr="00A70D75" w:rsidRDefault="00A70D75">
            <w:pPr>
              <w:spacing w:before="40" w:after="40"/>
              <w:contextualSpacing w:val="0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Международный персонал</w:t>
            </w:r>
          </w:p>
          <w:p w:rsidR="00592645" w:rsidRPr="00A70D75" w:rsidRDefault="00A70D75">
            <w:pPr>
              <w:spacing w:before="40" w:after="40"/>
              <w:contextualSpacing w:val="0"/>
              <w:jc w:val="left"/>
              <w:rPr>
                <w:i/>
                <w:lang w:val="ru-RU"/>
              </w:rPr>
            </w:pPr>
            <w:r w:rsidRPr="00A70D75">
              <w:rPr>
                <w:i/>
                <w:lang w:val="ru-RU"/>
              </w:rPr>
              <w:t>Требуется на полную занятость или для выполнения функций специалиста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Pr="00A70D75" w:rsidRDefault="00592645">
            <w:pPr>
              <w:spacing w:before="40" w:after="40"/>
              <w:contextualSpacing w:val="0"/>
              <w:rPr>
                <w:lang w:val="ru-RU"/>
              </w:rPr>
            </w:pPr>
          </w:p>
        </w:tc>
      </w:tr>
      <w:tr w:rsidR="00592645">
        <w:trPr>
          <w:trHeight w:val="2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A70D75">
            <w:pPr>
              <w:spacing w:before="40" w:after="40"/>
              <w:contextualSpacing w:val="0"/>
              <w:rPr>
                <w:b/>
              </w:rPr>
            </w:pPr>
            <w:r>
              <w:rPr>
                <w:b/>
              </w:rPr>
              <w:t>Другое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</w:tr>
      <w:tr w:rsidR="00592645">
        <w:trPr>
          <w:trHeight w:val="2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45" w:rsidRDefault="00592645">
            <w:pPr>
              <w:spacing w:before="40" w:after="40"/>
              <w:contextualSpacing w:val="0"/>
              <w:rPr>
                <w:b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92645" w:rsidRDefault="00592645">
            <w:pPr>
              <w:spacing w:before="40" w:after="40"/>
              <w:contextualSpacing w:val="0"/>
            </w:pPr>
          </w:p>
        </w:tc>
      </w:tr>
    </w:tbl>
    <w:p w:rsidR="00592645" w:rsidRDefault="00592645">
      <w:pPr>
        <w:rPr>
          <w:i/>
        </w:rPr>
      </w:pPr>
    </w:p>
    <w:p w:rsidR="00592645" w:rsidRDefault="00592645"/>
    <w:p w:rsidR="00592645" w:rsidRDefault="00A70D75">
      <w:r>
        <w:br w:type="page"/>
      </w:r>
    </w:p>
    <w:p w:rsidR="00592645" w:rsidRDefault="00592645"/>
    <w:p w:rsidR="00592645" w:rsidRDefault="00A70D75">
      <w:pPr>
        <w:pStyle w:val="2"/>
      </w:pPr>
      <w:r>
        <w:t>Viii. Формат примерного рабочего плана</w:t>
      </w:r>
    </w:p>
    <w:tbl>
      <w:tblPr>
        <w:tblStyle w:val="a9"/>
        <w:tblW w:w="1421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322"/>
        <w:gridCol w:w="2321"/>
        <w:gridCol w:w="2321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592645">
        <w:trPr>
          <w:trHeight w:val="540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Мероприятия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Ответственное лицо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592645">
            <w:pPr>
              <w:spacing w:after="0"/>
              <w:jc w:val="center"/>
              <w:rPr>
                <w:b/>
                <w:color w:val="FFFFFF"/>
              </w:rPr>
            </w:pPr>
          </w:p>
          <w:p w:rsidR="00592645" w:rsidRDefault="00A70D7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Координируется с</w:t>
            </w:r>
          </w:p>
        </w:tc>
        <w:tc>
          <w:tcPr>
            <w:tcW w:w="72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A70D75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ВРЕМЕННАЯ ШКАЛА</w:t>
            </w:r>
          </w:p>
        </w:tc>
      </w:tr>
      <w:tr w:rsidR="00592645">
        <w:trPr>
          <w:trHeight w:val="300"/>
        </w:trPr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592645">
            <w:pPr>
              <w:spacing w:after="0" w:line="276" w:lineRule="auto"/>
              <w:jc w:val="left"/>
              <w:rPr>
                <w:b/>
                <w:color w:val="FFFFFF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592645">
            <w:pPr>
              <w:spacing w:after="0" w:line="276" w:lineRule="auto"/>
              <w:jc w:val="left"/>
              <w:rPr>
                <w:b/>
                <w:color w:val="FFFFFF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Default="00592645">
            <w:pPr>
              <w:spacing w:after="0"/>
              <w:rPr>
                <w:b/>
                <w:color w:val="FFFFFF"/>
              </w:rPr>
            </w:pPr>
          </w:p>
          <w:p w:rsidR="00592645" w:rsidRDefault="00592645">
            <w:pPr>
              <w:spacing w:after="0"/>
              <w:rPr>
                <w:b/>
                <w:color w:val="FFFFFF"/>
              </w:rPr>
            </w:pPr>
          </w:p>
          <w:p w:rsidR="00592645" w:rsidRDefault="00592645">
            <w:pPr>
              <w:spacing w:after="0"/>
              <w:rPr>
                <w:b/>
                <w:color w:val="FFFFFF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281E"/>
            <w:vAlign w:val="center"/>
          </w:tcPr>
          <w:p w:rsidR="00592645" w:rsidRPr="00A910B2" w:rsidRDefault="00A70D75">
            <w:pPr>
              <w:spacing w:after="0"/>
              <w:jc w:val="center"/>
              <w:rPr>
                <w:b/>
                <w:color w:val="FFFFFF"/>
                <w:sz w:val="18"/>
              </w:rPr>
            </w:pPr>
            <w:r w:rsidRPr="00A910B2">
              <w:rPr>
                <w:b/>
                <w:color w:val="FFFFFF"/>
                <w:sz w:val="18"/>
              </w:rPr>
              <w:t>Неделя 8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2645" w:rsidRDefault="00A70D75">
            <w:pPr>
              <w:spacing w:after="0"/>
              <w:rPr>
                <w:b/>
              </w:rPr>
            </w:pPr>
            <w:r>
              <w:rPr>
                <w:b/>
              </w:rPr>
              <w:t>Подготовка</w:t>
            </w:r>
          </w:p>
        </w:tc>
      </w:tr>
      <w:tr w:rsidR="00592645" w:rsidRPr="00A70D75">
        <w:trPr>
          <w:trHeight w:val="66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Разработать оперативный план, включающий:  логическую структуру, матрицу рисков, кадровый план, бюджет и план работ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Определить роли и зоны ответственности (СОП)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6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Установить механизмы координирования с другими участниками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Pr="00A70D75" w:rsidRDefault="00A70D75">
            <w:pPr>
              <w:spacing w:before="40" w:after="4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Коммуникация с бенефициарами и отчётность (КБО)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Разработать план КБО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 w:rsidRPr="00A70D75">
        <w:trPr>
          <w:trHeight w:val="6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Разработать и наладить механизм жалоб и реагирования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Pr="00A70D75" w:rsidRDefault="00A70D75">
            <w:pPr>
              <w:spacing w:before="40" w:after="40"/>
              <w:jc w:val="left"/>
              <w:rPr>
                <w:b/>
                <w:lang w:val="ru-RU"/>
              </w:rPr>
            </w:pPr>
            <w:r w:rsidRPr="00A70D75">
              <w:rPr>
                <w:b/>
                <w:lang w:val="ru-RU"/>
              </w:rPr>
              <w:t>Выбор поставщиков услуг и заключение договоров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Изучить потенциальных поставщиков услуг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 w:rsidRPr="00A70D75">
        <w:trPr>
          <w:trHeight w:val="6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lastRenderedPageBreak/>
              <w:t>Провести тендеры и выбрать поставщиков услуг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Заключить договоры и определить методы работы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Default="00A70D75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Регистрация и идентификация</w:t>
            </w:r>
          </w:p>
        </w:tc>
      </w:tr>
      <w:tr w:rsidR="00592645" w:rsidRPr="00A70D75">
        <w:trPr>
          <w:trHeight w:val="2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Спланировать процесс регистрации и идентификации и подготовиться к нему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Зарегистрировать бенефициаров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2645" w:rsidRDefault="00A70D75">
            <w:pPr>
              <w:keepNext/>
              <w:keepLines/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Раздача и обналичивание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2645" w:rsidRDefault="00A70D75">
            <w:pPr>
              <w:keepNext/>
              <w:keepLines/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Спланировать и организовать раздачи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Оценить потенциал для обналичивания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Спланировать обналичивание и мобилизовать агентов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Обучить персонал и поставщиков услуг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Провести раздачи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Провести обналичивание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Завершить обналичивание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Default="00A70D75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Планирование МиО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Разработать стратегию МиО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 xml:space="preserve">Наладить систему информирования о </w:t>
            </w:r>
            <w:r w:rsidRPr="00A70D75">
              <w:rPr>
                <w:lang w:val="ru-RU"/>
              </w:rPr>
              <w:lastRenderedPageBreak/>
              <w:t>нарушениях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Default="00A70D75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Мониторинг программы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Определить исходные параметры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Мониторинг процесса обналичивания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Мониторинг после раздачи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Default="00A70D75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Мониторинг рынка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Мониторинг торговцев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Default="00A70D75">
            <w:pPr>
              <w:spacing w:before="40" w:after="40"/>
              <w:jc w:val="left"/>
            </w:pPr>
            <w:r>
              <w:t>Мониторинг цен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Default="00A70D75">
            <w:pPr>
              <w:spacing w:before="40" w:after="40"/>
            </w:pPr>
            <w:r>
              <w:t> </w:t>
            </w:r>
          </w:p>
        </w:tc>
      </w:tr>
      <w:tr w:rsidR="00592645">
        <w:trPr>
          <w:trHeight w:val="300"/>
        </w:trPr>
        <w:tc>
          <w:tcPr>
            <w:tcW w:w="142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2645" w:rsidRDefault="00A70D75">
            <w:pPr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592645" w:rsidRPr="00A70D75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92645" w:rsidRPr="00A70D75" w:rsidRDefault="00A70D75">
            <w:pPr>
              <w:spacing w:before="40" w:after="40"/>
              <w:jc w:val="left"/>
              <w:rPr>
                <w:lang w:val="ru-RU"/>
              </w:rPr>
            </w:pPr>
            <w:r w:rsidRPr="00A70D75">
              <w:rPr>
                <w:lang w:val="ru-RU"/>
              </w:rPr>
              <w:t>Спланировать оценку (включая разработку ТЗ)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bottom"/>
          </w:tcPr>
          <w:p w:rsidR="00592645" w:rsidRPr="00A70D75" w:rsidRDefault="00A70D75">
            <w:pPr>
              <w:spacing w:before="40" w:after="40"/>
              <w:rPr>
                <w:lang w:val="ru-RU"/>
              </w:rPr>
            </w:pPr>
            <w:r>
              <w:t> </w:t>
            </w:r>
          </w:p>
        </w:tc>
      </w:tr>
    </w:tbl>
    <w:p w:rsidR="00592645" w:rsidRPr="00A70D75" w:rsidRDefault="00592645">
      <w:pPr>
        <w:rPr>
          <w:i/>
          <w:lang w:val="ru-RU"/>
        </w:rPr>
      </w:pPr>
    </w:p>
    <w:sectPr w:rsidR="00592645" w:rsidRPr="00A70D75" w:rsidSect="00A70D75">
      <w:pgSz w:w="15840" w:h="12240"/>
      <w:pgMar w:top="1080" w:right="1134" w:bottom="1080" w:left="7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15" w:rsidRDefault="00652115">
      <w:pPr>
        <w:spacing w:after="0"/>
      </w:pPr>
      <w:r>
        <w:separator/>
      </w:r>
    </w:p>
  </w:endnote>
  <w:endnote w:type="continuationSeparator" w:id="0">
    <w:p w:rsidR="00652115" w:rsidRDefault="00652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75" w:rsidRDefault="00A70D75">
    <w:pPr>
      <w:tabs>
        <w:tab w:val="center" w:pos="4320"/>
        <w:tab w:val="right" w:pos="8640"/>
      </w:tabs>
      <w:spacing w:after="0"/>
      <w:jc w:val="right"/>
      <w:rPr>
        <w:b/>
        <w:color w:val="808080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1B617D">
      <w:rPr>
        <w:noProof/>
      </w:rPr>
      <w:t>1</w:t>
    </w:r>
    <w:r>
      <w:fldChar w:fldCharType="end"/>
    </w:r>
  </w:p>
  <w:p w:rsidR="00A70D75" w:rsidRPr="00A70D75" w:rsidRDefault="00A70D75">
    <w:pPr>
      <w:spacing w:after="720"/>
      <w:jc w:val="left"/>
      <w:rPr>
        <w:sz w:val="16"/>
        <w:szCs w:val="16"/>
        <w:lang w:val="ru-RU"/>
      </w:rPr>
    </w:pPr>
    <w:r w:rsidRPr="00A70D75">
      <w:rPr>
        <w:b/>
        <w:sz w:val="16"/>
        <w:szCs w:val="16"/>
        <w:lang w:val="ru-RU"/>
      </w:rPr>
      <w:t>Модуль 4.</w:t>
    </w:r>
    <w:r w:rsidRPr="00A70D75">
      <w:rPr>
        <w:sz w:val="16"/>
        <w:szCs w:val="16"/>
        <w:lang w:val="ru-RU"/>
      </w:rPr>
      <w:t xml:space="preserve"> </w:t>
    </w:r>
    <w:r w:rsidR="001B617D">
      <w:rPr>
        <w:sz w:val="16"/>
        <w:szCs w:val="16"/>
        <w:lang w:val="ru-RU"/>
      </w:rPr>
      <w:t>Раздел</w:t>
    </w:r>
    <w:r w:rsidRPr="00A70D75">
      <w:rPr>
        <w:sz w:val="16"/>
        <w:szCs w:val="16"/>
        <w:lang w:val="ru-RU"/>
      </w:rPr>
      <w:t xml:space="preserve"> 1. Под</w:t>
    </w:r>
    <w:r w:rsidR="001B617D">
      <w:rPr>
        <w:sz w:val="16"/>
        <w:szCs w:val="16"/>
        <w:lang w:val="ru-RU"/>
      </w:rPr>
      <w:t>раздел</w:t>
    </w:r>
    <w:r w:rsidRPr="00A70D75">
      <w:rPr>
        <w:sz w:val="16"/>
        <w:szCs w:val="16"/>
        <w:lang w:val="ru-RU"/>
      </w:rPr>
      <w:t xml:space="preserve"> 1. </w:t>
    </w:r>
    <w:r w:rsidRPr="00A70D75">
      <w:rPr>
        <w:i/>
        <w:sz w:val="16"/>
        <w:szCs w:val="16"/>
        <w:lang w:val="ru-RU"/>
      </w:rPr>
      <w:t>Шаблон оперативного плана ПДП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15" w:rsidRDefault="00652115">
      <w:pPr>
        <w:spacing w:after="0"/>
      </w:pPr>
      <w:r>
        <w:separator/>
      </w:r>
    </w:p>
  </w:footnote>
  <w:footnote w:type="continuationSeparator" w:id="0">
    <w:p w:rsidR="00652115" w:rsidRDefault="00652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75" w:rsidRPr="00A70D75" w:rsidRDefault="00A70D75">
    <w:pPr>
      <w:spacing w:before="426" w:after="0" w:line="288" w:lineRule="auto"/>
      <w:jc w:val="left"/>
      <w:rPr>
        <w:sz w:val="16"/>
        <w:szCs w:val="16"/>
        <w:lang w:val="ru-RU"/>
      </w:rPr>
    </w:pPr>
    <w:r w:rsidRPr="00A70D75">
      <w:rPr>
        <w:color w:val="DC281E"/>
        <w:sz w:val="16"/>
        <w:szCs w:val="16"/>
        <w:lang w:val="ru-RU"/>
      </w:rPr>
      <w:t xml:space="preserve">Международное движение Красного Креста и Красного Полумесяца </w:t>
    </w:r>
    <w:r>
      <w:rPr>
        <w:b/>
        <w:sz w:val="16"/>
        <w:szCs w:val="16"/>
      </w:rPr>
      <w:t>I</w:t>
    </w:r>
    <w:r w:rsidRPr="00A70D75">
      <w:rPr>
        <w:b/>
        <w:sz w:val="16"/>
        <w:szCs w:val="16"/>
        <w:lang w:val="ru-RU"/>
      </w:rPr>
      <w:t xml:space="preserve"> Денежные переводы при чрезвычайных ситуациях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B390E"/>
    <w:multiLevelType w:val="multilevel"/>
    <w:tmpl w:val="3EE2CED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F1861DB"/>
    <w:multiLevelType w:val="multilevel"/>
    <w:tmpl w:val="9D22BEC4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62883F30"/>
    <w:multiLevelType w:val="multilevel"/>
    <w:tmpl w:val="9B5A527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00F3F59"/>
    <w:multiLevelType w:val="multilevel"/>
    <w:tmpl w:val="DC0AF5A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19F2386"/>
    <w:multiLevelType w:val="multilevel"/>
    <w:tmpl w:val="E5BC21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color w:val="DC281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2645"/>
    <w:rsid w:val="001B617D"/>
    <w:rsid w:val="0046694E"/>
    <w:rsid w:val="00592645"/>
    <w:rsid w:val="00652115"/>
    <w:rsid w:val="00672A9A"/>
    <w:rsid w:val="009D4CFF"/>
    <w:rsid w:val="00A70D75"/>
    <w:rsid w:val="00A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21AA-9677-49F0-89FF-4922961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60" w:after="240"/>
      <w:jc w:val="left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pPr>
      <w:keepNext/>
      <w:spacing w:before="240" w:after="240"/>
      <w:jc w:val="left"/>
      <w:outlineLvl w:val="1"/>
    </w:pPr>
    <w:rPr>
      <w:b/>
      <w:smallCaps/>
      <w:sz w:val="24"/>
      <w:szCs w:val="24"/>
      <w:highlight w:val="white"/>
    </w:rPr>
  </w:style>
  <w:style w:type="paragraph" w:styleId="3">
    <w:name w:val="heading 3"/>
    <w:basedOn w:val="a"/>
    <w:next w:val="a"/>
    <w:pPr>
      <w:keepNext/>
      <w:spacing w:before="240"/>
      <w:jc w:val="left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/>
      <w:contextualSpacing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D9D9"/>
    </w:tc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spacing w:after="0"/>
      <w:contextualSpacing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D9D9"/>
    </w:tcPr>
  </w:style>
  <w:style w:type="table" w:customStyle="1" w:styleId="a8">
    <w:basedOn w:val="a1"/>
    <w:pPr>
      <w:spacing w:after="0"/>
      <w:contextualSpacing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D9D9"/>
    </w:tc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ullet2">
    <w:name w:val="Bullet 2"/>
    <w:basedOn w:val="aa"/>
    <w:rsid w:val="00672A9A"/>
    <w:pPr>
      <w:widowControl/>
      <w:spacing w:before="120"/>
      <w:ind w:left="0"/>
      <w:contextualSpacing w:val="0"/>
    </w:pPr>
    <w:rPr>
      <w:rFonts w:eastAsia="Cambria"/>
      <w:color w:val="auto"/>
      <w:szCs w:val="22"/>
    </w:rPr>
  </w:style>
  <w:style w:type="paragraph" w:styleId="aa">
    <w:name w:val="List Paragraph"/>
    <w:basedOn w:val="a"/>
    <w:uiPriority w:val="34"/>
    <w:qFormat/>
    <w:rsid w:val="00672A9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B617D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1B617D"/>
  </w:style>
  <w:style w:type="paragraph" w:styleId="ad">
    <w:name w:val="footer"/>
    <w:basedOn w:val="a"/>
    <w:link w:val="ae"/>
    <w:uiPriority w:val="99"/>
    <w:unhideWhenUsed/>
    <w:rsid w:val="001B617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1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Mareta GAZIKOVA</cp:lastModifiedBy>
  <cp:revision>4</cp:revision>
  <dcterms:created xsi:type="dcterms:W3CDTF">2017-04-07T10:08:00Z</dcterms:created>
  <dcterms:modified xsi:type="dcterms:W3CDTF">2017-04-20T10:05:00Z</dcterms:modified>
</cp:coreProperties>
</file>