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CD" w:rsidRPr="00DC3A2E" w:rsidRDefault="001815CD" w:rsidP="000F07E8">
      <w:pPr>
        <w:pStyle w:val="H1"/>
        <w:rPr>
          <w:rFonts w:cs="Arial"/>
        </w:rPr>
      </w:pPr>
      <w:r>
        <w:t>Внутренн</w:t>
      </w:r>
      <w:r w:rsidR="00BC482A">
        <w:t>ее координирование</w:t>
      </w:r>
      <w:r>
        <w:t xml:space="preserve"> программ </w:t>
      </w:r>
      <w:r w:rsidR="00AD50EC">
        <w:t>денежных переводов</w:t>
      </w:r>
    </w:p>
    <w:p w:rsidR="001815CD" w:rsidRPr="00DC3A2E" w:rsidRDefault="001815CD" w:rsidP="000B105D">
      <w:pPr>
        <w:pStyle w:val="2"/>
        <w:spacing w:before="480"/>
        <w:rPr>
          <w:rFonts w:cs="Arial"/>
        </w:rPr>
      </w:pPr>
      <w:bookmarkStart w:id="0" w:name="_Toc352182883"/>
      <w:bookmarkStart w:id="1" w:name="_Toc386542648"/>
      <w:r>
        <w:t>Роли и функции</w:t>
      </w:r>
      <w:bookmarkEnd w:id="0"/>
      <w:bookmarkEnd w:id="1"/>
    </w:p>
    <w:p w:rsidR="002963EF" w:rsidRPr="00DC3A2E" w:rsidRDefault="001815CD" w:rsidP="00DC3A2E">
      <w:pPr>
        <w:rPr>
          <w:rFonts w:cs="Arial"/>
        </w:rPr>
      </w:pPr>
      <w:r>
        <w:t>Ввиду того что Движение участвует в мероприятиях по оказанию помощи при ЧС в различных условиях, существуют несколько различных</w:t>
      </w:r>
      <w:r w:rsidR="00AD50EC">
        <w:t xml:space="preserve"> функций</w:t>
      </w:r>
      <w:r>
        <w:t xml:space="preserve">, навыков и умений, требуемых каждому участнику Движения для эффективного осуществления программы </w:t>
      </w:r>
      <w:r w:rsidR="00AD50EC">
        <w:t xml:space="preserve">денежных </w:t>
      </w:r>
      <w:r>
        <w:t xml:space="preserve">переводов, а также необходимых для общего координирования мероприятий программ </w:t>
      </w:r>
      <w:r w:rsidR="00AD50EC">
        <w:t>денежных переводов</w:t>
      </w:r>
      <w:r>
        <w:t>.</w:t>
      </w:r>
      <w:r w:rsidR="00AD50EC">
        <w:t xml:space="preserve"> Конкретные функции перечислены в СОПах</w:t>
      </w:r>
      <w:r>
        <w:t xml:space="preserve"> МФОККиКП и МККК в разделе «Ключевые документы»</w:t>
      </w:r>
    </w:p>
    <w:p w:rsidR="007C15D5" w:rsidRPr="00DC3A2E" w:rsidRDefault="007C15D5" w:rsidP="000B105D">
      <w:pPr>
        <w:pStyle w:val="2"/>
        <w:spacing w:before="480"/>
        <w:rPr>
          <w:rFonts w:cs="Arial"/>
        </w:rPr>
      </w:pPr>
      <w:bookmarkStart w:id="2" w:name="_Toc352182885"/>
      <w:bookmarkStart w:id="3" w:name="_Toc386542649"/>
      <w:r>
        <w:t xml:space="preserve">Программным командам потребуется </w:t>
      </w:r>
      <w:r w:rsidR="00AD50EC">
        <w:t>ПРИВЛЕЧЬ КОЛЛЕГ ИЗ ДРУГИХ ДЕПАРТАМЕНТОВ</w:t>
      </w:r>
      <w:r>
        <w:t xml:space="preserve"> для принятия решени</w:t>
      </w:r>
      <w:bookmarkEnd w:id="2"/>
      <w:bookmarkEnd w:id="3"/>
      <w:r>
        <w:t xml:space="preserve">й по ключевым </w:t>
      </w:r>
      <w:r w:rsidR="00AD50EC">
        <w:t>ВОПРОСАМ</w:t>
      </w:r>
      <w:r>
        <w:t xml:space="preserve"> разработки и осуществления программы, в том числе:</w:t>
      </w:r>
    </w:p>
    <w:p w:rsidR="007C15D5" w:rsidRPr="00DC3A2E" w:rsidRDefault="007C15D5" w:rsidP="002C00BE">
      <w:pPr>
        <w:pStyle w:val="a3"/>
        <w:numPr>
          <w:ilvl w:val="0"/>
          <w:numId w:val="8"/>
        </w:numPr>
        <w:spacing w:before="60" w:after="60"/>
        <w:ind w:left="714" w:hanging="357"/>
        <w:contextualSpacing w:val="0"/>
        <w:rPr>
          <w:rFonts w:cs="Arial"/>
          <w:szCs w:val="20"/>
        </w:rPr>
      </w:pPr>
      <w:r>
        <w:t xml:space="preserve">Анализ оценки выполнимости для методов, механизма и </w:t>
      </w:r>
      <w:r w:rsidR="00AD50EC">
        <w:t>способов</w:t>
      </w:r>
      <w:r>
        <w:t xml:space="preserve"> осуществления переводов в программах </w:t>
      </w:r>
      <w:r w:rsidR="00AD50EC">
        <w:t>денежных переводов</w:t>
      </w:r>
    </w:p>
    <w:p w:rsidR="007C15D5" w:rsidRPr="00DC3A2E" w:rsidRDefault="007C15D5" w:rsidP="002C00BE">
      <w:pPr>
        <w:pStyle w:val="a3"/>
        <w:numPr>
          <w:ilvl w:val="0"/>
          <w:numId w:val="8"/>
        </w:numPr>
        <w:spacing w:before="60" w:after="60"/>
        <w:ind w:left="714" w:hanging="357"/>
        <w:contextualSpacing w:val="0"/>
        <w:rPr>
          <w:rFonts w:cs="Arial"/>
          <w:szCs w:val="20"/>
        </w:rPr>
      </w:pPr>
      <w:r>
        <w:t>Анализ риско</w:t>
      </w:r>
      <w:r w:rsidR="00AD50EC">
        <w:t xml:space="preserve">в для методов, механизма </w:t>
      </w:r>
      <w:r>
        <w:t xml:space="preserve">и </w:t>
      </w:r>
      <w:r w:rsidR="00AD50EC">
        <w:t>способов</w:t>
      </w:r>
      <w:r>
        <w:t xml:space="preserve"> осуществления переводов в программах денежных </w:t>
      </w:r>
      <w:r w:rsidR="00AD50EC">
        <w:t>переводов</w:t>
      </w:r>
    </w:p>
    <w:p w:rsidR="007C15D5" w:rsidRPr="00DC3A2E" w:rsidRDefault="007C15D5" w:rsidP="002C00BE">
      <w:pPr>
        <w:pStyle w:val="a3"/>
        <w:numPr>
          <w:ilvl w:val="0"/>
          <w:numId w:val="8"/>
        </w:numPr>
        <w:spacing w:before="60" w:after="60"/>
        <w:ind w:left="714" w:hanging="357"/>
        <w:contextualSpacing w:val="0"/>
        <w:rPr>
          <w:rFonts w:cs="Arial"/>
          <w:szCs w:val="20"/>
        </w:rPr>
      </w:pPr>
      <w:r>
        <w:t xml:space="preserve">Координирование кросс-функциональных областей </w:t>
      </w:r>
      <w:r w:rsidR="00AD50EC">
        <w:t>при</w:t>
      </w:r>
      <w:r>
        <w:t xml:space="preserve"> поддержке программ денежных </w:t>
      </w:r>
      <w:r w:rsidR="00AD50EC">
        <w:t>переводов</w:t>
      </w:r>
    </w:p>
    <w:p w:rsidR="00235966" w:rsidRPr="00DC3A2E" w:rsidRDefault="00235966" w:rsidP="000B105D">
      <w:pPr>
        <w:spacing w:before="240"/>
      </w:pPr>
      <w:r>
        <w:t>Рассмотрите возможность создания на страновом уровне специальных групп внешнего и внутреннего координирования:</w:t>
      </w:r>
    </w:p>
    <w:p w:rsidR="00235966" w:rsidRPr="00DC3A2E" w:rsidRDefault="00235966" w:rsidP="00DC3A2E">
      <w:pPr>
        <w:pStyle w:val="Bullet2"/>
        <w:rPr>
          <w:u w:val="single"/>
        </w:rPr>
      </w:pPr>
      <w:r>
        <w:rPr>
          <w:b/>
        </w:rPr>
        <w:t xml:space="preserve">Техническая рабочая группа </w:t>
      </w:r>
      <w:r w:rsidR="00AD50EC">
        <w:rPr>
          <w:b/>
        </w:rPr>
        <w:t>ПДП</w:t>
      </w:r>
      <w:r>
        <w:rPr>
          <w:b/>
        </w:rPr>
        <w:t>,</w:t>
      </w:r>
      <w:r>
        <w:t xml:space="preserve"> чьей функцией является обеспечить, чтобы </w:t>
      </w:r>
      <w:r w:rsidR="00AD50EC">
        <w:t>Филиппинский Красный Крест</w:t>
      </w:r>
      <w:r>
        <w:t xml:space="preserve"> мог оказывать качественные услуги, используя, где необходимо, </w:t>
      </w:r>
      <w:r w:rsidR="00AD50EC">
        <w:t>ПДП</w:t>
      </w:r>
      <w:r>
        <w:t>.</w:t>
      </w:r>
    </w:p>
    <w:p w:rsidR="00235966" w:rsidRPr="00DC3A2E" w:rsidRDefault="00235966" w:rsidP="00DC3A2E">
      <w:pPr>
        <w:pStyle w:val="Bullet2"/>
        <w:spacing w:after="360"/>
      </w:pPr>
      <w:r>
        <w:rPr>
          <w:b/>
        </w:rPr>
        <w:t xml:space="preserve">Координатор </w:t>
      </w:r>
      <w:r w:rsidR="00AD50EC">
        <w:rPr>
          <w:b/>
        </w:rPr>
        <w:t>по работе с денежными средствами</w:t>
      </w:r>
      <w:r>
        <w:rPr>
          <w:b/>
        </w:rPr>
        <w:t xml:space="preserve"> (</w:t>
      </w:r>
      <w:r w:rsidR="00AD50EC">
        <w:rPr>
          <w:b/>
        </w:rPr>
        <w:t>КДС</w:t>
      </w:r>
      <w:r>
        <w:rPr>
          <w:b/>
        </w:rPr>
        <w:t>):</w:t>
      </w:r>
      <w:r w:rsidR="00AD50EC">
        <w:rPr>
          <w:b/>
        </w:rPr>
        <w:t xml:space="preserve"> </w:t>
      </w:r>
      <w:r>
        <w:t>Созвать РГ-</w:t>
      </w:r>
      <w:r w:rsidR="00AD50EC">
        <w:t>ПДП</w:t>
      </w:r>
      <w:r>
        <w:t xml:space="preserve"> и отвечать за координирование и широкое </w:t>
      </w:r>
      <w:r w:rsidR="00DE562F">
        <w:t xml:space="preserve">внедрение </w:t>
      </w:r>
      <w:r w:rsidR="00BC482A">
        <w:t>механизмов реагирования</w:t>
      </w:r>
      <w:r w:rsidR="00DE562F">
        <w:t xml:space="preserve"> на отзывы</w:t>
      </w:r>
      <w:r>
        <w:t xml:space="preserve"> </w:t>
      </w:r>
      <w:r w:rsidR="00DE562F">
        <w:t xml:space="preserve">целевых групп населения </w:t>
      </w:r>
      <w:r>
        <w:t xml:space="preserve">и </w:t>
      </w:r>
      <w:r w:rsidR="00BC482A">
        <w:t>работы с уроками</w:t>
      </w:r>
      <w:r>
        <w:t xml:space="preserve">, </w:t>
      </w:r>
      <w:r w:rsidR="00BC482A">
        <w:t>извлечёнными</w:t>
      </w:r>
      <w:r>
        <w:t xml:space="preserve"> из прошлого опыта.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090"/>
        <w:gridCol w:w="3250"/>
        <w:gridCol w:w="4508"/>
      </w:tblGrid>
      <w:tr w:rsidR="00DC3A2E" w:rsidRPr="00DC3A2E" w:rsidTr="002C00BE">
        <w:trPr>
          <w:trHeight w:val="599"/>
        </w:trPr>
        <w:tc>
          <w:tcPr>
            <w:tcW w:w="99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8E48FF" w:rsidRPr="00DC3A2E" w:rsidRDefault="007C15D5" w:rsidP="00DC3A2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Механизм координирования</w:t>
            </w:r>
          </w:p>
        </w:tc>
        <w:tc>
          <w:tcPr>
            <w:tcW w:w="168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8E48FF" w:rsidRPr="00DC3A2E" w:rsidRDefault="008E48FF" w:rsidP="00DC3A2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Предлагаемые члены, имеющие следующие функции</w:t>
            </w:r>
          </w:p>
        </w:tc>
        <w:tc>
          <w:tcPr>
            <w:tcW w:w="232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8E48FF" w:rsidRPr="00DC3A2E" w:rsidRDefault="00174E6C" w:rsidP="00DC3A2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Основная роль</w:t>
            </w:r>
          </w:p>
        </w:tc>
      </w:tr>
      <w:tr w:rsidR="008E48FF" w:rsidRPr="00DC3A2E" w:rsidTr="002C00BE">
        <w:tc>
          <w:tcPr>
            <w:tcW w:w="991" w:type="pct"/>
            <w:tcBorders>
              <w:bottom w:val="single" w:sz="4" w:space="0" w:color="auto"/>
            </w:tcBorders>
            <w:shd w:val="clear" w:color="auto" w:fill="A6A6A6"/>
          </w:tcPr>
          <w:p w:rsidR="008E48FF" w:rsidRPr="00DC3A2E" w:rsidRDefault="008E48FF" w:rsidP="00DE562F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b/>
              </w:rPr>
              <w:t xml:space="preserve">Техническая рабочая группа </w:t>
            </w:r>
            <w:r w:rsidR="00DE562F">
              <w:rPr>
                <w:b/>
              </w:rPr>
              <w:t>ПДП</w:t>
            </w:r>
          </w:p>
        </w:tc>
        <w:tc>
          <w:tcPr>
            <w:tcW w:w="1685" w:type="pct"/>
            <w:tcBorders>
              <w:bottom w:val="single" w:sz="4" w:space="0" w:color="auto"/>
            </w:tcBorders>
            <w:shd w:val="clear" w:color="auto" w:fill="E6E6E6"/>
          </w:tcPr>
          <w:p w:rsidR="00D63BE6" w:rsidRPr="00DC3A2E" w:rsidRDefault="00D63BE6" w:rsidP="00DC3A2E">
            <w:pPr>
              <w:spacing w:before="60" w:after="60"/>
              <w:jc w:val="left"/>
              <w:rPr>
                <w:rFonts w:cs="Arial"/>
              </w:rPr>
            </w:pPr>
            <w:r>
              <w:t>Программы / DM /EcoSec</w:t>
            </w:r>
          </w:p>
          <w:p w:rsidR="007C15D5" w:rsidRPr="00DC3A2E" w:rsidRDefault="00D63BE6" w:rsidP="00DC3A2E">
            <w:pPr>
              <w:spacing w:before="60" w:after="60"/>
              <w:jc w:val="left"/>
              <w:rPr>
                <w:rFonts w:cs="Arial"/>
              </w:rPr>
            </w:pPr>
            <w:r>
              <w:t>Финансы / Администрация</w:t>
            </w:r>
          </w:p>
          <w:p w:rsidR="00D63BE6" w:rsidRPr="00DC3A2E" w:rsidRDefault="00D63BE6" w:rsidP="00DC3A2E">
            <w:pPr>
              <w:spacing w:before="60" w:after="60"/>
              <w:jc w:val="left"/>
              <w:rPr>
                <w:rFonts w:cs="Arial"/>
              </w:rPr>
            </w:pPr>
            <w:r>
              <w:t>Логистика</w:t>
            </w:r>
          </w:p>
          <w:p w:rsidR="00D63BE6" w:rsidRPr="00DC3A2E" w:rsidRDefault="00D63BE6" w:rsidP="00DC3A2E">
            <w:pPr>
              <w:spacing w:before="60" w:after="60"/>
              <w:jc w:val="left"/>
              <w:rPr>
                <w:rFonts w:cs="Arial"/>
              </w:rPr>
            </w:pPr>
            <w:r>
              <w:t>Кадры</w:t>
            </w:r>
          </w:p>
          <w:p w:rsidR="008E48FF" w:rsidRPr="00DC3A2E" w:rsidRDefault="00E16FC1" w:rsidP="00DC3A2E">
            <w:pPr>
              <w:spacing w:before="60" w:after="60"/>
              <w:jc w:val="left"/>
              <w:rPr>
                <w:rFonts w:cs="Arial"/>
              </w:rPr>
            </w:pPr>
            <w:r>
              <w:t>Безопасность</w:t>
            </w:r>
          </w:p>
        </w:tc>
        <w:tc>
          <w:tcPr>
            <w:tcW w:w="2325" w:type="pct"/>
            <w:tcBorders>
              <w:bottom w:val="single" w:sz="4" w:space="0" w:color="auto"/>
            </w:tcBorders>
            <w:shd w:val="clear" w:color="auto" w:fill="F3F3F3"/>
          </w:tcPr>
          <w:p w:rsidR="008E48FF" w:rsidRPr="00DC3A2E" w:rsidRDefault="007C15D5" w:rsidP="00DE562F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r>
              <w:t xml:space="preserve">Обеспечить </w:t>
            </w:r>
            <w:r w:rsidR="00DE562F">
              <w:t>реализацию</w:t>
            </w:r>
            <w:r>
              <w:t xml:space="preserve"> </w:t>
            </w:r>
            <w:r w:rsidR="00DE562F">
              <w:t>ПДП</w:t>
            </w:r>
            <w:r>
              <w:t xml:space="preserve"> согласно </w:t>
            </w:r>
            <w:r w:rsidR="00DE562F">
              <w:t xml:space="preserve">СОП </w:t>
            </w:r>
            <w:r>
              <w:t xml:space="preserve"> и контекстному анализу оцененных потребностей и возможности осуществления</w:t>
            </w:r>
          </w:p>
        </w:tc>
      </w:tr>
      <w:tr w:rsidR="008E48FF" w:rsidRPr="00DC3A2E" w:rsidTr="002C00BE">
        <w:tc>
          <w:tcPr>
            <w:tcW w:w="0" w:type="pct"/>
            <w:tcBorders>
              <w:bottom w:val="single" w:sz="4" w:space="0" w:color="auto"/>
            </w:tcBorders>
            <w:shd w:val="clear" w:color="auto" w:fill="A6A6A6"/>
          </w:tcPr>
          <w:p w:rsidR="008E48FF" w:rsidRPr="00DC3A2E" w:rsidRDefault="008E48FF" w:rsidP="00DC3A2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b/>
              </w:rPr>
              <w:t>Координационный центр денежных переводов</w:t>
            </w:r>
          </w:p>
        </w:tc>
        <w:tc>
          <w:tcPr>
            <w:tcW w:w="0" w:type="pct"/>
            <w:tcBorders>
              <w:bottom w:val="single" w:sz="4" w:space="0" w:color="auto"/>
            </w:tcBorders>
            <w:shd w:val="clear" w:color="auto" w:fill="E6E6E6"/>
          </w:tcPr>
          <w:p w:rsidR="008E48FF" w:rsidRDefault="00174E6C" w:rsidP="000B105D">
            <w:pPr>
              <w:spacing w:before="60" w:after="60"/>
              <w:jc w:val="left"/>
              <w:rPr>
                <w:rFonts w:cs="Arial"/>
              </w:rPr>
            </w:pPr>
            <w:r>
              <w:t>Определённый сотрудник</w:t>
            </w:r>
          </w:p>
          <w:p w:rsidR="000B105D" w:rsidRDefault="000B105D" w:rsidP="000B105D">
            <w:pPr>
              <w:spacing w:before="120" w:after="60"/>
              <w:contextualSpacing/>
              <w:jc w:val="left"/>
              <w:rPr>
                <w:rFonts w:cs="Arial"/>
              </w:rPr>
            </w:pPr>
          </w:p>
          <w:p w:rsidR="000B105D" w:rsidRDefault="000B105D" w:rsidP="000B105D">
            <w:pPr>
              <w:spacing w:before="120" w:after="60"/>
              <w:contextualSpacing/>
              <w:jc w:val="left"/>
              <w:rPr>
                <w:rFonts w:cs="Arial"/>
              </w:rPr>
            </w:pPr>
          </w:p>
          <w:p w:rsidR="000B105D" w:rsidRDefault="000B105D" w:rsidP="000B105D">
            <w:pPr>
              <w:spacing w:before="120" w:after="60"/>
              <w:contextualSpacing/>
              <w:jc w:val="left"/>
              <w:rPr>
                <w:rFonts w:cs="Arial"/>
              </w:rPr>
            </w:pPr>
          </w:p>
          <w:p w:rsidR="000B105D" w:rsidRPr="00DC3A2E" w:rsidRDefault="000B105D" w:rsidP="000B105D">
            <w:pPr>
              <w:spacing w:before="120" w:after="60"/>
              <w:contextualSpacing/>
              <w:jc w:val="left"/>
              <w:rPr>
                <w:rFonts w:cs="Arial"/>
              </w:rPr>
            </w:pPr>
            <w:bookmarkStart w:id="4" w:name="_GoBack"/>
            <w:bookmarkEnd w:id="4"/>
          </w:p>
        </w:tc>
        <w:tc>
          <w:tcPr>
            <w:tcW w:w="0" w:type="pct"/>
            <w:tcBorders>
              <w:bottom w:val="single" w:sz="4" w:space="0" w:color="auto"/>
            </w:tcBorders>
            <w:shd w:val="clear" w:color="auto" w:fill="F3F3F3"/>
          </w:tcPr>
          <w:p w:rsidR="008E48FF" w:rsidRPr="00DC3A2E" w:rsidRDefault="00345473" w:rsidP="00DC3A2E">
            <w:pPr>
              <w:pStyle w:val="a3"/>
              <w:numPr>
                <w:ilvl w:val="0"/>
                <w:numId w:val="12"/>
              </w:numPr>
              <w:spacing w:before="60" w:after="60" w:line="276" w:lineRule="auto"/>
              <w:ind w:left="317" w:hanging="283"/>
              <w:jc w:val="left"/>
              <w:rPr>
                <w:rFonts w:cs="Arial"/>
                <w:szCs w:val="20"/>
              </w:rPr>
            </w:pPr>
            <w:r>
              <w:t>Созвать ТРГ-</w:t>
            </w:r>
            <w:r w:rsidR="00DE562F">
              <w:t>ПДП</w:t>
            </w:r>
            <w:r>
              <w:t xml:space="preserve"> и отвечать за координирование</w:t>
            </w:r>
          </w:p>
          <w:p w:rsidR="008E48FF" w:rsidRPr="00DC3A2E" w:rsidRDefault="008E48FF" w:rsidP="00DC3A2E">
            <w:pPr>
              <w:pStyle w:val="a3"/>
              <w:numPr>
                <w:ilvl w:val="0"/>
                <w:numId w:val="12"/>
              </w:numPr>
              <w:spacing w:before="60" w:after="60" w:line="276" w:lineRule="auto"/>
              <w:ind w:left="317" w:hanging="283"/>
              <w:jc w:val="left"/>
              <w:rPr>
                <w:rFonts w:cs="Arial"/>
                <w:szCs w:val="20"/>
              </w:rPr>
            </w:pPr>
            <w:r>
              <w:t xml:space="preserve">Предоставлять регулярные отчёты о статусе </w:t>
            </w:r>
            <w:r w:rsidR="00DE562F">
              <w:t>ПДП</w:t>
            </w:r>
            <w:r>
              <w:t xml:space="preserve"> высшему руководству и донорам</w:t>
            </w:r>
          </w:p>
          <w:p w:rsidR="008E48FF" w:rsidRPr="00DC3A2E" w:rsidRDefault="008E48FF" w:rsidP="00DE562F">
            <w:pPr>
              <w:pStyle w:val="a3"/>
              <w:numPr>
                <w:ilvl w:val="0"/>
                <w:numId w:val="12"/>
              </w:numPr>
              <w:spacing w:before="60" w:after="60" w:line="276" w:lineRule="auto"/>
              <w:ind w:left="317" w:hanging="283"/>
              <w:jc w:val="left"/>
              <w:rPr>
                <w:rFonts w:cs="Arial"/>
                <w:szCs w:val="20"/>
              </w:rPr>
            </w:pPr>
            <w:r>
              <w:t xml:space="preserve">Способствовать внедрению инноваций и обучению персонала во всех департаментах, участвующих в </w:t>
            </w:r>
            <w:r>
              <w:lastRenderedPageBreak/>
              <w:t xml:space="preserve">программах </w:t>
            </w:r>
            <w:r w:rsidR="00DE562F">
              <w:t>денежных переводов</w:t>
            </w:r>
          </w:p>
        </w:tc>
      </w:tr>
      <w:tr w:rsidR="008E48FF" w:rsidRPr="00DC3A2E" w:rsidTr="002C00BE">
        <w:tc>
          <w:tcPr>
            <w:tcW w:w="991" w:type="pct"/>
            <w:tcBorders>
              <w:bottom w:val="single" w:sz="4" w:space="0" w:color="auto"/>
            </w:tcBorders>
            <w:shd w:val="clear" w:color="auto" w:fill="A6A6A6"/>
          </w:tcPr>
          <w:p w:rsidR="008E48FF" w:rsidRPr="00DC3A2E" w:rsidRDefault="00345473" w:rsidP="00DC3A2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b/>
              </w:rPr>
              <w:lastRenderedPageBreak/>
              <w:t>Внешнее координирование с Движением</w:t>
            </w:r>
          </w:p>
        </w:tc>
        <w:tc>
          <w:tcPr>
            <w:tcW w:w="1685" w:type="pct"/>
            <w:tcBorders>
              <w:bottom w:val="single" w:sz="4" w:space="0" w:color="auto"/>
            </w:tcBorders>
            <w:shd w:val="clear" w:color="auto" w:fill="E6E6E6"/>
          </w:tcPr>
          <w:p w:rsidR="008E48FF" w:rsidRPr="00DC3A2E" w:rsidRDefault="00345473" w:rsidP="00DE562F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r>
              <w:t xml:space="preserve">Координатор </w:t>
            </w:r>
            <w:r w:rsidR="00DE562F">
              <w:t>по работе с денежными средствами</w:t>
            </w:r>
            <w:r>
              <w:t xml:space="preserve"> / координатор Движения</w:t>
            </w:r>
          </w:p>
        </w:tc>
        <w:tc>
          <w:tcPr>
            <w:tcW w:w="2325" w:type="pct"/>
            <w:tcBorders>
              <w:bottom w:val="single" w:sz="4" w:space="0" w:color="auto"/>
            </w:tcBorders>
            <w:shd w:val="clear" w:color="auto" w:fill="F3F3F3"/>
          </w:tcPr>
          <w:p w:rsidR="008E48FF" w:rsidRPr="00DC3A2E" w:rsidRDefault="00ED4087" w:rsidP="00DE562F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r>
              <w:t xml:space="preserve">Добиться того чтобы </w:t>
            </w:r>
            <w:r w:rsidR="00DE562F">
              <w:t>реагирование</w:t>
            </w:r>
            <w:r>
              <w:t xml:space="preserve"> со стороны участников Движения был</w:t>
            </w:r>
            <w:r w:rsidR="00DE562F">
              <w:t>о</w:t>
            </w:r>
            <w:r>
              <w:t xml:space="preserve"> согласованным и не причинял</w:t>
            </w:r>
            <w:r w:rsidR="00DE562F">
              <w:t>о</w:t>
            </w:r>
            <w:r>
              <w:t xml:space="preserve"> вреда</w:t>
            </w:r>
          </w:p>
        </w:tc>
      </w:tr>
      <w:tr w:rsidR="008E48FF" w:rsidRPr="00DC3A2E" w:rsidTr="002C00BE">
        <w:tc>
          <w:tcPr>
            <w:tcW w:w="991" w:type="pct"/>
            <w:shd w:val="clear" w:color="auto" w:fill="A6A6A6"/>
          </w:tcPr>
          <w:p w:rsidR="008E48FF" w:rsidRPr="00DC3A2E" w:rsidRDefault="00345473" w:rsidP="00DC3A2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b/>
              </w:rPr>
              <w:t>Внешнее координирование с другими участниками</w:t>
            </w:r>
          </w:p>
        </w:tc>
        <w:tc>
          <w:tcPr>
            <w:tcW w:w="1685" w:type="pct"/>
            <w:shd w:val="clear" w:color="auto" w:fill="E6E6E6"/>
          </w:tcPr>
          <w:p w:rsidR="008E48FF" w:rsidRPr="00DC3A2E" w:rsidRDefault="00345473" w:rsidP="00DE562F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r>
              <w:t xml:space="preserve">Координатор </w:t>
            </w:r>
            <w:r w:rsidR="00DE562F">
              <w:t>по работе с денежными средствами</w:t>
            </w:r>
            <w:r>
              <w:t xml:space="preserve"> / делегат EcoSec / координатор Движения</w:t>
            </w:r>
          </w:p>
        </w:tc>
        <w:tc>
          <w:tcPr>
            <w:tcW w:w="2325" w:type="pct"/>
            <w:shd w:val="clear" w:color="auto" w:fill="F3F3F3"/>
          </w:tcPr>
          <w:p w:rsidR="008E48FF" w:rsidRPr="00DC3A2E" w:rsidRDefault="00ED4087" w:rsidP="00DC3A2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r>
              <w:t xml:space="preserve">Добиться того чтобы поступала информация о работе участников Движения в рамках </w:t>
            </w:r>
            <w:r w:rsidR="00DE562F">
              <w:t>ПДП</w:t>
            </w:r>
          </w:p>
        </w:tc>
      </w:tr>
    </w:tbl>
    <w:p w:rsidR="00E16FC1" w:rsidRPr="00DC3A2E" w:rsidRDefault="00E16FC1" w:rsidP="003C78A7">
      <w:pPr>
        <w:rPr>
          <w:rFonts w:cs="Arial"/>
          <w:sz w:val="22"/>
          <w:szCs w:val="22"/>
          <w:u w:val="single"/>
        </w:rPr>
      </w:pPr>
      <w:bookmarkStart w:id="5" w:name="_Toc352182884"/>
    </w:p>
    <w:bookmarkEnd w:id="5"/>
    <w:p w:rsidR="00FF59AA" w:rsidRPr="00DC3A2E" w:rsidRDefault="00FF59AA" w:rsidP="00145EA7">
      <w:pPr>
        <w:pStyle w:val="2"/>
      </w:pPr>
      <w:r>
        <w:t>Обязанности рабочей группы по переводу денежных средств в области координирования</w:t>
      </w:r>
    </w:p>
    <w:p w:rsidR="00FF59AA" w:rsidRPr="00DC3A2E" w:rsidRDefault="00FF59AA" w:rsidP="00145EA7">
      <w:r>
        <w:t xml:space="preserve">Рабочая группа Движения по переводам денежных средств отвечает за координирование </w:t>
      </w:r>
      <w:r w:rsidR="00DE562F">
        <w:t>ПДП</w:t>
      </w:r>
      <w:r>
        <w:t xml:space="preserve"> в Движении в рамках конкретной операции.</w:t>
      </w:r>
      <w:r w:rsidR="00DE562F">
        <w:t xml:space="preserve"> </w:t>
      </w:r>
      <w:r>
        <w:t>Она</w:t>
      </w:r>
      <w:r w:rsidR="00DE562F">
        <w:t xml:space="preserve"> может состоять из сотрудников н</w:t>
      </w:r>
      <w:r>
        <w:t xml:space="preserve">ационального общества, привлечённых к </w:t>
      </w:r>
      <w:r w:rsidR="00DE562F">
        <w:t>ПДП</w:t>
      </w:r>
      <w:r>
        <w:t xml:space="preserve"> для внутреннего координирования, либо быть расширенной и включать других партнёров Движения, участвующих в </w:t>
      </w:r>
      <w:r w:rsidR="00DE562F">
        <w:t>ПДП</w:t>
      </w:r>
      <w:r>
        <w:t xml:space="preserve"> в рамках той же операции.</w:t>
      </w:r>
    </w:p>
    <w:p w:rsidR="00FF59AA" w:rsidRPr="00DC3A2E" w:rsidRDefault="00FF59AA" w:rsidP="000B105D">
      <w:r>
        <w:t>Как и в случае с любыми координирующими группами, может быть целесообразн</w:t>
      </w:r>
      <w:r w:rsidR="00BC482A">
        <w:t>ым</w:t>
      </w:r>
      <w:r>
        <w:t xml:space="preserve"> иметь рабочую группу по денежным переводам национального уровня, а также другие схожие </w:t>
      </w:r>
      <w:r w:rsidR="00DE562F">
        <w:t>группы</w:t>
      </w:r>
      <w:r>
        <w:t xml:space="preserve"> на местности, ближе к месту фактической операции, если в операции участвует более одного партнёра Движения.</w:t>
      </w:r>
      <w:r w:rsidR="00DE562F">
        <w:t xml:space="preserve"> Кто войдёт в состав этих групп</w:t>
      </w:r>
      <w:r>
        <w:t>, необходимо будет решать отдельно в каждом случае, но для обеспечения систематичности подхода следует назначить Координатора денежных переводов.</w:t>
      </w:r>
    </w:p>
    <w:p w:rsidR="00FF59AA" w:rsidRPr="00DC3A2E" w:rsidRDefault="00FF59AA" w:rsidP="00145EA7">
      <w:r>
        <w:t xml:space="preserve">Ключевые обязанности РГ </w:t>
      </w:r>
      <w:r w:rsidR="00DE562F">
        <w:t>ПДП</w:t>
      </w:r>
      <w:r>
        <w:t xml:space="preserve"> в области координирования включают:</w:t>
      </w:r>
    </w:p>
    <w:p w:rsidR="00FF59AA" w:rsidRPr="00DC3A2E" w:rsidRDefault="00FF59AA" w:rsidP="00145EA7">
      <w:pPr>
        <w:pStyle w:val="Bullet2"/>
      </w:pPr>
      <w:r>
        <w:t>Установить стандарты и общие методы работы</w:t>
      </w:r>
    </w:p>
    <w:p w:rsidR="00FF59AA" w:rsidRPr="00DC3A2E" w:rsidRDefault="00FF59AA" w:rsidP="00145EA7">
      <w:pPr>
        <w:pStyle w:val="Bullet2"/>
      </w:pPr>
      <w:r>
        <w:t>Обеспечить межведомственное координирование программ с денежными средствами, включая нанесение мероприятий на географическую карту, соблюдение временных рамок и передачу ценностей.</w:t>
      </w:r>
    </w:p>
    <w:p w:rsidR="00FF59AA" w:rsidRPr="00DC3A2E" w:rsidRDefault="00FF59AA" w:rsidP="00145EA7">
      <w:pPr>
        <w:pStyle w:val="Bullet2"/>
      </w:pPr>
      <w:r>
        <w:t>Отслеживать информацию по оказанию денежной помощи по каждому агентству, географическому региону, типу денежной программы и механизму переводов.</w:t>
      </w:r>
    </w:p>
    <w:p w:rsidR="00FF59AA" w:rsidRPr="00DC3A2E" w:rsidRDefault="00FF59AA" w:rsidP="00145EA7">
      <w:pPr>
        <w:pStyle w:val="Bullet2"/>
      </w:pPr>
      <w:r>
        <w:t>Выработать общую позицию по программам переводов денежных средств с помощью пропаганды, лоббирования и влияния на ключевых лиц, а также с помощью выработки политики.</w:t>
      </w:r>
    </w:p>
    <w:p w:rsidR="00FF59AA" w:rsidRPr="00DC3A2E" w:rsidRDefault="00FF59AA" w:rsidP="00145EA7">
      <w:pPr>
        <w:pStyle w:val="Bullet2"/>
      </w:pPr>
      <w:r>
        <w:t>Создать библиотеку денежных ресурсов для операции по оказанию помощи.</w:t>
      </w:r>
    </w:p>
    <w:p w:rsidR="00FF59AA" w:rsidRPr="00DC3A2E" w:rsidRDefault="00DE562F" w:rsidP="00145EA7">
      <w:pPr>
        <w:pStyle w:val="Bullet2"/>
      </w:pPr>
      <w:r>
        <w:t>Давать</w:t>
      </w:r>
      <w:r w:rsidR="00FF59AA">
        <w:t xml:space="preserve"> рекомендации по улучшению программных инструментов и руководств для дальнейшего исследования (например, совместные инструменты мониторинга и оценки, общие механизмы обратной связи, разработка отчётных материалов, стандартизация ставок оплаты).</w:t>
      </w:r>
    </w:p>
    <w:p w:rsidR="00FF59AA" w:rsidRPr="00DC3A2E" w:rsidRDefault="00FF59AA" w:rsidP="00145EA7">
      <w:pPr>
        <w:pStyle w:val="Bullet2"/>
      </w:pPr>
      <w:r>
        <w:t>Совершать совместные визиты с целью мониторинга.</w:t>
      </w:r>
    </w:p>
    <w:p w:rsidR="00FF59AA" w:rsidRPr="00DC3A2E" w:rsidRDefault="00FF59AA" w:rsidP="00145EA7">
      <w:pPr>
        <w:pStyle w:val="Bullet2"/>
      </w:pPr>
      <w:r>
        <w:t>Привлекать частный сектор, учёных и финансовые институты.</w:t>
      </w:r>
    </w:p>
    <w:p w:rsidR="00FF59AA" w:rsidRPr="00DC3A2E" w:rsidRDefault="00FF59AA" w:rsidP="00145EA7">
      <w:pPr>
        <w:pStyle w:val="Bullet2"/>
      </w:pPr>
      <w:r>
        <w:t>Наладить связь с EMMA и другими оценками рынка.</w:t>
      </w:r>
    </w:p>
    <w:p w:rsidR="00FF59AA" w:rsidRPr="00DC3A2E" w:rsidRDefault="00FF59AA" w:rsidP="00145EA7">
      <w:pPr>
        <w:pStyle w:val="Bullet2"/>
      </w:pPr>
      <w:r>
        <w:t xml:space="preserve">Определить соответствующие пути оперативного информирования сторонних партнеров об операциях Движения в области </w:t>
      </w:r>
      <w:r w:rsidR="00DE562F">
        <w:t>ПДП</w:t>
      </w:r>
      <w:r>
        <w:t xml:space="preserve">.  По возможности выбрать представителя для посещения кластерных координационных собраний или других координационных форумов, проводимых правительствами, где обсуждаются </w:t>
      </w:r>
      <w:r w:rsidR="00DE562F">
        <w:t>ПДП</w:t>
      </w:r>
      <w:r>
        <w:t>.</w:t>
      </w:r>
    </w:p>
    <w:p w:rsidR="00FF59AA" w:rsidRPr="00DC3A2E" w:rsidRDefault="00FF59AA" w:rsidP="00145EA7">
      <w:pPr>
        <w:pStyle w:val="Bullet2"/>
      </w:pPr>
      <w:r>
        <w:t xml:space="preserve">Документировать основные уроки, </w:t>
      </w:r>
      <w:r w:rsidR="00BC482A">
        <w:t>извлечённые</w:t>
      </w:r>
      <w:r>
        <w:t xml:space="preserve"> из опыта оказания денежной помощи.</w:t>
      </w:r>
    </w:p>
    <w:p w:rsidR="00FF59AA" w:rsidRPr="00145EA7" w:rsidRDefault="00FF59AA" w:rsidP="00145EA7">
      <w:pPr>
        <w:spacing w:before="240"/>
        <w:jc w:val="right"/>
        <w:rPr>
          <w:sz w:val="18"/>
        </w:rPr>
      </w:pPr>
      <w:r>
        <w:rPr>
          <w:sz w:val="18"/>
        </w:rPr>
        <w:t>Источник:</w:t>
      </w:r>
      <w:r w:rsidR="00DE562F">
        <w:rPr>
          <w:sz w:val="18"/>
        </w:rPr>
        <w:t xml:space="preserve"> </w:t>
      </w:r>
      <w:r>
        <w:rPr>
          <w:sz w:val="18"/>
        </w:rPr>
        <w:t xml:space="preserve">Адаптировано из П. Харви (2011) «Программы перевода денежных средств в чрезвычайных ситуациях» </w:t>
      </w:r>
      <w:r w:rsidR="00DE562F">
        <w:rPr>
          <w:sz w:val="18"/>
        </w:rPr>
        <w:t xml:space="preserve"> </w:t>
      </w:r>
      <w:r>
        <w:rPr>
          <w:sz w:val="18"/>
        </w:rPr>
        <w:t>/</w:t>
      </w:r>
      <w:r w:rsidR="00DE562F">
        <w:rPr>
          <w:sz w:val="18"/>
        </w:rPr>
        <w:t xml:space="preserve"> </w:t>
      </w:r>
      <w:r>
        <w:rPr>
          <w:sz w:val="18"/>
        </w:rPr>
        <w:t xml:space="preserve"> Harvey P. (2011)  “Cash transfer programming in emergencies”</w:t>
      </w:r>
    </w:p>
    <w:sectPr w:rsidR="00FF59AA" w:rsidRPr="00145EA7" w:rsidSect="000F07E8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CF" w:rsidRDefault="00E636CF" w:rsidP="00D8077D">
      <w:r>
        <w:separator/>
      </w:r>
    </w:p>
  </w:endnote>
  <w:endnote w:type="continuationSeparator" w:id="0">
    <w:p w:rsidR="00E636CF" w:rsidRDefault="00E636CF" w:rsidP="00D8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5E" w:rsidRDefault="00B1323D" w:rsidP="00810A5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10A5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D50EC">
      <w:rPr>
        <w:rStyle w:val="ae"/>
        <w:noProof/>
      </w:rPr>
      <w:t>0</w:t>
    </w:r>
    <w:r>
      <w:rPr>
        <w:rStyle w:val="ae"/>
      </w:rPr>
      <w:fldChar w:fldCharType="end"/>
    </w:r>
  </w:p>
  <w:p w:rsidR="00810A5E" w:rsidRDefault="00810A5E" w:rsidP="00810A5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E8" w:rsidRPr="00B45C74" w:rsidRDefault="00B1323D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0F07E8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EF47A3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0F07E8" w:rsidRPr="003A3500" w:rsidRDefault="000F07E8" w:rsidP="00ED1B2B">
    <w:pPr>
      <w:pStyle w:val="ac"/>
    </w:pPr>
    <w:r>
      <w:rPr>
        <w:b/>
      </w:rPr>
      <w:t>Модуль 4.</w:t>
    </w:r>
    <w:r w:rsidR="00EF47A3">
      <w:t>Раздел</w:t>
    </w:r>
    <w:r>
      <w:t xml:space="preserve"> 1.Под</w:t>
    </w:r>
    <w:r w:rsidR="00EF47A3">
      <w:t>раздел</w:t>
    </w:r>
    <w:r>
      <w:t xml:space="preserve"> 2. </w:t>
    </w:r>
    <w:fldSimple w:instr=" STYLEREF  H1 \t  \* MERGEFORMAT ">
      <w:r w:rsidR="00EF47A3" w:rsidRPr="00EF47A3">
        <w:rPr>
          <w:bCs/>
          <w:noProof/>
        </w:rPr>
        <w:t>Внутреннее координирование программ</w:t>
      </w:r>
      <w:r w:rsidR="00EF47A3" w:rsidRPr="00EF47A3">
        <w:rPr>
          <w:i/>
          <w:noProof/>
        </w:rPr>
        <w:t xml:space="preserve"> денежных переводов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CF" w:rsidRDefault="00E636CF" w:rsidP="00D8077D">
      <w:r>
        <w:separator/>
      </w:r>
    </w:p>
  </w:footnote>
  <w:footnote w:type="continuationSeparator" w:id="0">
    <w:p w:rsidR="00E636CF" w:rsidRDefault="00E636CF" w:rsidP="00D80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E8" w:rsidRPr="00074036" w:rsidRDefault="000F07E8" w:rsidP="00173FF2">
    <w:pPr>
      <w:pStyle w:val="aa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AD50EC">
      <w:rPr>
        <w:rStyle w:val="Pantone485"/>
      </w:rPr>
      <w:t xml:space="preserve"> </w:t>
    </w:r>
    <w:r>
      <w:rPr>
        <w:rStyle w:val="ae"/>
        <w:bCs/>
        <w:szCs w:val="16"/>
      </w:rPr>
      <w:t>I</w:t>
    </w:r>
    <w:r w:rsidR="00AD50EC">
      <w:rPr>
        <w:rStyle w:val="ae"/>
        <w:bCs/>
        <w:szCs w:val="16"/>
      </w:rPr>
      <w:t xml:space="preserve"> </w:t>
    </w:r>
    <w:r w:rsidR="00EF47A3">
      <w:rPr>
        <w:szCs w:val="16"/>
      </w:rPr>
      <w:t>Наличные денежные средства в условиях ЧС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696C"/>
    <w:multiLevelType w:val="hybridMultilevel"/>
    <w:tmpl w:val="0D7CCA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1F47"/>
    <w:multiLevelType w:val="hybridMultilevel"/>
    <w:tmpl w:val="533479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189D"/>
    <w:multiLevelType w:val="hybridMultilevel"/>
    <w:tmpl w:val="0BF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45278"/>
    <w:multiLevelType w:val="hybridMultilevel"/>
    <w:tmpl w:val="192E3CB6"/>
    <w:lvl w:ilvl="0" w:tplc="611CFD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163A"/>
    <w:multiLevelType w:val="hybridMultilevel"/>
    <w:tmpl w:val="EDCC4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44714"/>
    <w:multiLevelType w:val="multilevel"/>
    <w:tmpl w:val="108AFD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709" w:firstLine="731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448"/>
        </w:tabs>
        <w:ind w:left="244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8" w15:restartNumberingAfterBreak="0">
    <w:nsid w:val="27517D64"/>
    <w:multiLevelType w:val="hybridMultilevel"/>
    <w:tmpl w:val="9428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1408F"/>
    <w:multiLevelType w:val="hybridMultilevel"/>
    <w:tmpl w:val="E3942A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F4629"/>
    <w:multiLevelType w:val="hybridMultilevel"/>
    <w:tmpl w:val="B7188400"/>
    <w:lvl w:ilvl="0" w:tplc="611CFD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E6B08"/>
    <w:multiLevelType w:val="hybridMultilevel"/>
    <w:tmpl w:val="179E5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1517B"/>
    <w:multiLevelType w:val="hybridMultilevel"/>
    <w:tmpl w:val="344E193E"/>
    <w:lvl w:ilvl="0" w:tplc="611CFDBE">
      <w:start w:val="1"/>
      <w:numFmt w:val="bullet"/>
      <w:lvlText w:val="•"/>
      <w:lvlJc w:val="left"/>
      <w:pPr>
        <w:ind w:left="643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4AF435A5"/>
    <w:multiLevelType w:val="hybridMultilevel"/>
    <w:tmpl w:val="8CBA4E3A"/>
    <w:lvl w:ilvl="0" w:tplc="611CFD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77777"/>
    <w:multiLevelType w:val="hybridMultilevel"/>
    <w:tmpl w:val="BB2E7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646AB"/>
    <w:multiLevelType w:val="hybridMultilevel"/>
    <w:tmpl w:val="95EC20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C66A7"/>
    <w:multiLevelType w:val="hybridMultilevel"/>
    <w:tmpl w:val="879E40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57498"/>
    <w:multiLevelType w:val="hybridMultilevel"/>
    <w:tmpl w:val="80BC1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13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2"/>
  </w:num>
  <w:num w:numId="12">
    <w:abstractNumId w:val="14"/>
  </w:num>
  <w:num w:numId="13">
    <w:abstractNumId w:val="1"/>
  </w:num>
  <w:num w:numId="14">
    <w:abstractNumId w:val="6"/>
  </w:num>
  <w:num w:numId="15">
    <w:abstractNumId w:val="11"/>
  </w:num>
  <w:num w:numId="16">
    <w:abstractNumId w:val="4"/>
  </w:num>
  <w:num w:numId="17">
    <w:abstractNumId w:val="0"/>
  </w:num>
  <w:num w:numId="18">
    <w:abstractNumId w:val="16"/>
  </w:num>
  <w:num w:numId="19">
    <w:abstractNumId w:val="3"/>
  </w:num>
  <w:num w:numId="20">
    <w:abstractNumId w:val="17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15CD"/>
    <w:rsid w:val="0002486E"/>
    <w:rsid w:val="000B105D"/>
    <w:rsid w:val="000D3FD0"/>
    <w:rsid w:val="000F07E8"/>
    <w:rsid w:val="001334F0"/>
    <w:rsid w:val="00141DE6"/>
    <w:rsid w:val="00145EA7"/>
    <w:rsid w:val="00174E6C"/>
    <w:rsid w:val="001815CD"/>
    <w:rsid w:val="001A2A0F"/>
    <w:rsid w:val="00235966"/>
    <w:rsid w:val="00247F4C"/>
    <w:rsid w:val="00251BD2"/>
    <w:rsid w:val="002963EF"/>
    <w:rsid w:val="002A69B8"/>
    <w:rsid w:val="002C00BE"/>
    <w:rsid w:val="002F15A4"/>
    <w:rsid w:val="00345473"/>
    <w:rsid w:val="0036420E"/>
    <w:rsid w:val="003A09E6"/>
    <w:rsid w:val="003C78A7"/>
    <w:rsid w:val="003D7BF0"/>
    <w:rsid w:val="00410AFF"/>
    <w:rsid w:val="005F40B0"/>
    <w:rsid w:val="0064362E"/>
    <w:rsid w:val="00683FCB"/>
    <w:rsid w:val="007437D3"/>
    <w:rsid w:val="007C15D5"/>
    <w:rsid w:val="007C6358"/>
    <w:rsid w:val="00810A5E"/>
    <w:rsid w:val="008C06C1"/>
    <w:rsid w:val="008E48FF"/>
    <w:rsid w:val="008F7B2D"/>
    <w:rsid w:val="0098731C"/>
    <w:rsid w:val="00A12D6A"/>
    <w:rsid w:val="00AD50EC"/>
    <w:rsid w:val="00B1323D"/>
    <w:rsid w:val="00B66FA3"/>
    <w:rsid w:val="00B918A8"/>
    <w:rsid w:val="00BC482A"/>
    <w:rsid w:val="00BF5DE8"/>
    <w:rsid w:val="00C62B57"/>
    <w:rsid w:val="00D01263"/>
    <w:rsid w:val="00D30F95"/>
    <w:rsid w:val="00D63BE6"/>
    <w:rsid w:val="00D67B88"/>
    <w:rsid w:val="00D8077D"/>
    <w:rsid w:val="00D82814"/>
    <w:rsid w:val="00D913DE"/>
    <w:rsid w:val="00DB512B"/>
    <w:rsid w:val="00DC3A2E"/>
    <w:rsid w:val="00DE562F"/>
    <w:rsid w:val="00E16FC1"/>
    <w:rsid w:val="00E5656B"/>
    <w:rsid w:val="00E636CF"/>
    <w:rsid w:val="00E8711F"/>
    <w:rsid w:val="00E94548"/>
    <w:rsid w:val="00ED4087"/>
    <w:rsid w:val="00EF47A3"/>
    <w:rsid w:val="00FA5E9B"/>
    <w:rsid w:val="00FF59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D396FF-F101-4FBF-9AA8-A9AE1875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ArialMT"/>
        <w:lang w:val="ru-R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41DE6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141DE6"/>
  </w:style>
  <w:style w:type="paragraph" w:styleId="2">
    <w:name w:val="heading 2"/>
    <w:basedOn w:val="a"/>
    <w:next w:val="a"/>
    <w:link w:val="20"/>
    <w:uiPriority w:val="9"/>
    <w:unhideWhenUsed/>
    <w:qFormat/>
    <w:rsid w:val="00141DE6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141DE6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1815CD"/>
    <w:pPr>
      <w:numPr>
        <w:ilvl w:val="3"/>
        <w:numId w:val="1"/>
      </w:numPr>
      <w:tabs>
        <w:tab w:val="left" w:pos="900"/>
      </w:tabs>
      <w:outlineLvl w:val="3"/>
    </w:pPr>
    <w:rPr>
      <w:rFonts w:ascii="Times New Roman" w:eastAsia="Times New Roman" w:hAnsi="Times New Roman"/>
      <w:bCs/>
      <w:i/>
      <w:sz w:val="22"/>
      <w:szCs w:val="24"/>
    </w:rPr>
  </w:style>
  <w:style w:type="paragraph" w:styleId="5">
    <w:name w:val="heading 5"/>
    <w:basedOn w:val="a"/>
    <w:next w:val="a"/>
    <w:link w:val="50"/>
    <w:uiPriority w:val="9"/>
    <w:qFormat/>
    <w:rsid w:val="001815CD"/>
    <w:pPr>
      <w:keepNext/>
      <w:numPr>
        <w:ilvl w:val="4"/>
        <w:numId w:val="1"/>
      </w:numPr>
      <w:tabs>
        <w:tab w:val="center" w:pos="1620"/>
      </w:tabs>
      <w:outlineLvl w:val="4"/>
    </w:pPr>
    <w:rPr>
      <w:rFonts w:ascii="Times New Roman" w:eastAsia="Times New Roman" w:hAnsi="Times New Roman"/>
      <w:iCs/>
      <w:sz w:val="22"/>
    </w:rPr>
  </w:style>
  <w:style w:type="paragraph" w:styleId="6">
    <w:name w:val="heading 6"/>
    <w:basedOn w:val="a"/>
    <w:next w:val="a"/>
    <w:link w:val="60"/>
    <w:uiPriority w:val="9"/>
    <w:qFormat/>
    <w:rsid w:val="001815CD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815CD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1815CD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1815CD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DE6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141DE6"/>
    <w:rPr>
      <w:rFonts w:ascii="Arial" w:hAnsi="Arial" w:cs="Times New Roman"/>
      <w:b/>
      <w:cap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1815CD"/>
    <w:rPr>
      <w:rFonts w:ascii="Times New Roman" w:eastAsia="Times New Roman" w:hAnsi="Times New Roman" w:cs="Times New Roman"/>
      <w:bCs/>
      <w:i/>
      <w:sz w:val="22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rsid w:val="001815CD"/>
    <w:rPr>
      <w:rFonts w:ascii="Times New Roman" w:eastAsia="Times New Roman" w:hAnsi="Times New Roman" w:cs="Times New Roman"/>
      <w:iCs/>
      <w:sz w:val="22"/>
    </w:rPr>
  </w:style>
  <w:style w:type="character" w:customStyle="1" w:styleId="60">
    <w:name w:val="Заголовок 6 Знак"/>
    <w:basedOn w:val="a0"/>
    <w:link w:val="6"/>
    <w:uiPriority w:val="9"/>
    <w:rsid w:val="001815CD"/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character" w:customStyle="1" w:styleId="70">
    <w:name w:val="Заголовок 7 Знак"/>
    <w:basedOn w:val="a0"/>
    <w:link w:val="7"/>
    <w:uiPriority w:val="9"/>
    <w:rsid w:val="001815CD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rsid w:val="001815CD"/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rsid w:val="001815CD"/>
    <w:rPr>
      <w:rFonts w:ascii="Arial" w:eastAsia="Times New Roman" w:hAnsi="Arial" w:cs="Arial"/>
      <w:sz w:val="22"/>
      <w:szCs w:val="22"/>
      <w:lang w:val="ru-RU"/>
    </w:rPr>
  </w:style>
  <w:style w:type="paragraph" w:styleId="a3">
    <w:name w:val="List Paragraph"/>
    <w:basedOn w:val="a"/>
    <w:link w:val="a4"/>
    <w:uiPriority w:val="34"/>
    <w:qFormat/>
    <w:rsid w:val="00141DE6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5">
    <w:name w:val="annotation text"/>
    <w:basedOn w:val="a"/>
    <w:link w:val="a6"/>
    <w:rsid w:val="001815CD"/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link w:val="a5"/>
    <w:rsid w:val="001815CD"/>
    <w:rPr>
      <w:rFonts w:ascii="Times New Roman" w:eastAsia="Times New Roman" w:hAnsi="Times New Roman" w:cs="Times New Roman"/>
      <w:lang w:val="ru-RU"/>
    </w:rPr>
  </w:style>
  <w:style w:type="paragraph" w:styleId="a7">
    <w:name w:val="footnote text"/>
    <w:basedOn w:val="a"/>
    <w:link w:val="a8"/>
    <w:uiPriority w:val="99"/>
    <w:unhideWhenUsed/>
    <w:rsid w:val="00141DE6"/>
    <w:pPr>
      <w:spacing w:after="0"/>
    </w:pPr>
    <w:rPr>
      <w:sz w:val="16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141DE6"/>
    <w:rPr>
      <w:rFonts w:ascii="Arial" w:hAnsi="Arial" w:cs="Times New Roman"/>
      <w:sz w:val="16"/>
      <w:szCs w:val="22"/>
    </w:rPr>
  </w:style>
  <w:style w:type="character" w:styleId="a9">
    <w:name w:val="footnote reference"/>
    <w:basedOn w:val="a0"/>
    <w:uiPriority w:val="99"/>
    <w:unhideWhenUsed/>
    <w:rsid w:val="00141DE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41DE6"/>
    <w:pPr>
      <w:spacing w:after="0" w:line="288" w:lineRule="auto"/>
      <w:jc w:val="left"/>
    </w:pPr>
    <w:rPr>
      <w:sz w:val="16"/>
    </w:rPr>
  </w:style>
  <w:style w:type="character" w:customStyle="1" w:styleId="ab">
    <w:name w:val="Верхний колонтитул Знак"/>
    <w:basedOn w:val="a0"/>
    <w:link w:val="aa"/>
    <w:uiPriority w:val="99"/>
    <w:rsid w:val="00141DE6"/>
    <w:rPr>
      <w:rFonts w:ascii="Arial" w:hAnsi="Arial" w:cs="Times New Roman"/>
      <w:sz w:val="16"/>
    </w:rPr>
  </w:style>
  <w:style w:type="paragraph" w:styleId="ac">
    <w:name w:val="footer"/>
    <w:basedOn w:val="a"/>
    <w:link w:val="ad"/>
    <w:uiPriority w:val="99"/>
    <w:unhideWhenUsed/>
    <w:rsid w:val="00141DE6"/>
    <w:pPr>
      <w:spacing w:after="0"/>
      <w:jc w:val="left"/>
    </w:pPr>
    <w:rPr>
      <w:sz w:val="16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141DE6"/>
    <w:rPr>
      <w:rFonts w:ascii="Arial" w:hAnsi="Arial" w:cs="Times New Roman"/>
      <w:sz w:val="16"/>
      <w:szCs w:val="18"/>
    </w:rPr>
  </w:style>
  <w:style w:type="character" w:styleId="ae">
    <w:name w:val="page number"/>
    <w:basedOn w:val="a0"/>
    <w:uiPriority w:val="99"/>
    <w:unhideWhenUsed/>
    <w:rsid w:val="00141DE6"/>
    <w:rPr>
      <w:b/>
    </w:rPr>
  </w:style>
  <w:style w:type="paragraph" w:styleId="af">
    <w:name w:val="Balloon Text"/>
    <w:basedOn w:val="a"/>
    <w:link w:val="af0"/>
    <w:uiPriority w:val="99"/>
    <w:semiHidden/>
    <w:unhideWhenUsed/>
    <w:rsid w:val="00141D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41DE6"/>
    <w:rPr>
      <w:rFonts w:ascii="Lucida Grande" w:hAnsi="Lucida Grande" w:cs="Lucida Grande"/>
      <w:sz w:val="18"/>
      <w:szCs w:val="18"/>
    </w:rPr>
  </w:style>
  <w:style w:type="table" w:styleId="af1">
    <w:name w:val="Table Grid"/>
    <w:basedOn w:val="a1"/>
    <w:uiPriority w:val="59"/>
    <w:rsid w:val="00141DE6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41DE6"/>
    <w:rPr>
      <w:rFonts w:ascii="Arial" w:hAnsi="Arial" w:cs="Times New Roman"/>
      <w:b/>
      <w:sz w:val="22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141DE6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141DE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141DE6"/>
    <w:rPr>
      <w:sz w:val="18"/>
      <w:szCs w:val="18"/>
    </w:rPr>
  </w:style>
  <w:style w:type="paragraph" w:styleId="af3">
    <w:name w:val="annotation subject"/>
    <w:basedOn w:val="a"/>
    <w:link w:val="af4"/>
    <w:uiPriority w:val="99"/>
    <w:semiHidden/>
    <w:unhideWhenUsed/>
    <w:rsid w:val="00141DE6"/>
    <w:rPr>
      <w:b/>
      <w:bCs/>
    </w:rPr>
  </w:style>
  <w:style w:type="character" w:customStyle="1" w:styleId="af4">
    <w:name w:val="Тема примечания Знак"/>
    <w:basedOn w:val="a0"/>
    <w:link w:val="af3"/>
    <w:uiPriority w:val="99"/>
    <w:semiHidden/>
    <w:rsid w:val="00141DE6"/>
    <w:rPr>
      <w:rFonts w:ascii="Arial" w:hAnsi="Arial" w:cs="Times New Roman"/>
      <w:b/>
      <w:bCs/>
    </w:rPr>
  </w:style>
  <w:style w:type="character" w:styleId="af5">
    <w:name w:val="Hyperlink"/>
    <w:basedOn w:val="a0"/>
    <w:uiPriority w:val="99"/>
    <w:unhideWhenUsed/>
    <w:rsid w:val="00141DE6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141DE6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141DE6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141DE6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141DE6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141DE6"/>
    <w:pPr>
      <w:numPr>
        <w:numId w:val="19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141DE6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141DE6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a"/>
    <w:rsid w:val="00141DE6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141DE6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141DE6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141DE6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141DE6"/>
    <w:pPr>
      <w:numPr>
        <w:numId w:val="20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141DE6"/>
    <w:pPr>
      <w:numPr>
        <w:ilvl w:val="1"/>
        <w:numId w:val="17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141DE6"/>
    <w:pPr>
      <w:numPr>
        <w:numId w:val="18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141DE6"/>
    <w:pPr>
      <w:numPr>
        <w:numId w:val="21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141DE6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141DE6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141DE6"/>
    <w:pPr>
      <w:keepNext/>
      <w:keepLines/>
      <w:framePr w:hSpace="141" w:wrap="around" w:vAnchor="text" w:hAnchor="margin" w:y="402"/>
      <w:numPr>
        <w:numId w:val="22"/>
      </w:numPr>
      <w:spacing w:beforeLines="60" w:afterLines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C843-B573-4FCA-B98A-ECF0E491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214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Private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Mareta GAZIKOVA</cp:lastModifiedBy>
  <cp:revision>19</cp:revision>
  <cp:lastPrinted>2015-10-09T15:30:00Z</cp:lastPrinted>
  <dcterms:created xsi:type="dcterms:W3CDTF">2015-06-03T16:02:00Z</dcterms:created>
  <dcterms:modified xsi:type="dcterms:W3CDTF">2017-04-20T10:13:00Z</dcterms:modified>
</cp:coreProperties>
</file>