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73" w:rsidRPr="00AF6EA9" w:rsidRDefault="005900D4" w:rsidP="00A61890">
      <w:pPr>
        <w:pStyle w:val="H1"/>
      </w:pPr>
      <w:r>
        <w:t>Ключевые элементы координирования П</w:t>
      </w:r>
      <w:r w:rsidR="00B22AD2">
        <w:t>Д</w:t>
      </w:r>
      <w:r>
        <w:t>П</w:t>
      </w:r>
      <w:r w:rsidR="003F2071" w:rsidRPr="00AF6EA9">
        <w:rPr>
          <w:rStyle w:val="a8"/>
          <w:sz w:val="28"/>
          <w:szCs w:val="28"/>
        </w:rPr>
        <w:footnoteReference w:id="1"/>
      </w: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9848"/>
      </w:tblGrid>
      <w:tr w:rsidR="00DE7A73" w:rsidRPr="00A61890" w:rsidTr="00A61890">
        <w:trPr>
          <w:trHeight w:val="3170"/>
        </w:trPr>
        <w:tc>
          <w:tcPr>
            <w:tcW w:w="5000" w:type="pct"/>
            <w:shd w:val="solid" w:color="F2F2F2" w:themeColor="background1" w:themeShade="F2" w:fill="auto"/>
          </w:tcPr>
          <w:p w:rsidR="00DE7A73" w:rsidRPr="00A61890" w:rsidRDefault="00AD0E64" w:rsidP="00A61890">
            <w:pPr>
              <w:spacing w:before="120"/>
              <w:rPr>
                <w:b/>
              </w:rPr>
            </w:pPr>
            <w:r>
              <w:rPr>
                <w:b/>
              </w:rPr>
              <w:t>Координирование при чрезвычайных ситуациях</w:t>
            </w:r>
          </w:p>
          <w:p w:rsidR="00DE7A73" w:rsidRPr="00A61890" w:rsidRDefault="003F2071" w:rsidP="00A61890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Почему важно координирование?</w:t>
            </w:r>
          </w:p>
          <w:p w:rsidR="00DE7A73" w:rsidRPr="00A61890" w:rsidRDefault="003F2071" w:rsidP="00A61890">
            <w:pPr>
              <w:spacing w:before="120"/>
            </w:pPr>
            <w:r>
              <w:t>Когда возникают чрезвычайные ситуации, координирование деятельности организаций, оказывающих помощь, необходимо.</w:t>
            </w:r>
            <w:r w:rsidR="00B22AD2">
              <w:t xml:space="preserve"> </w:t>
            </w:r>
            <w:r>
              <w:t xml:space="preserve">Качественное координирование означает меньшее количество пробелов/дублирования, что потенциально способствует </w:t>
            </w:r>
            <w:r w:rsidR="00B22AD2">
              <w:t>повышению</w:t>
            </w:r>
            <w:r>
              <w:t xml:space="preserve"> согласованности и эффективности мероприятий по оказанию помощи.</w:t>
            </w:r>
          </w:p>
          <w:p w:rsidR="00DE7A73" w:rsidRPr="00A61890" w:rsidRDefault="003F2071" w:rsidP="00A61890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Что такое кластеры?</w:t>
            </w:r>
          </w:p>
          <w:p w:rsidR="00DE7A73" w:rsidRPr="00A61890" w:rsidRDefault="003F2071" w:rsidP="00A61890">
            <w:pPr>
              <w:spacing w:before="120"/>
            </w:pPr>
            <w:r>
              <w:t>При большинстве крупных чрезвычайных ситуаций координирование происходит с помощью кластерного подхода.</w:t>
            </w:r>
          </w:p>
          <w:p w:rsidR="00DE7A73" w:rsidRPr="00A61890" w:rsidRDefault="003F2071" w:rsidP="00A61890">
            <w:pPr>
              <w:spacing w:before="120"/>
            </w:pPr>
            <w:r>
              <w:t>Кластеры не единственный механизм координирования гуманитарной деятельности.</w:t>
            </w:r>
            <w:r w:rsidR="00B22AD2">
              <w:t xml:space="preserve"> </w:t>
            </w:r>
            <w:r>
              <w:t xml:space="preserve">Конечная ответственность за инициирование, организацию, координирование и осуществление операции по оказанию гуманитарной помощи на территориях </w:t>
            </w:r>
            <w:r w:rsidR="00B22AD2">
              <w:t xml:space="preserve">пострадавших государств </w:t>
            </w:r>
            <w:r>
              <w:t xml:space="preserve">лежит на </w:t>
            </w:r>
            <w:r w:rsidR="00B22AD2">
              <w:t xml:space="preserve"> самих </w:t>
            </w:r>
            <w:r>
              <w:t>пострадавших государствах.</w:t>
            </w:r>
            <w:r w:rsidR="00B22AD2">
              <w:t xml:space="preserve"> </w:t>
            </w:r>
            <w:r>
              <w:t xml:space="preserve">Кластеры были внедрены как средство </w:t>
            </w:r>
            <w:r w:rsidR="00B22AD2">
              <w:t>выявления</w:t>
            </w:r>
            <w:r>
              <w:t xml:space="preserve"> пробелов в оказании помощи и координирования оказания гуманитарной помощи.</w:t>
            </w:r>
          </w:p>
          <w:p w:rsidR="00DE7A73" w:rsidRPr="00A61890" w:rsidRDefault="003F2071" w:rsidP="00A61890">
            <w:pPr>
              <w:spacing w:before="120"/>
            </w:pPr>
            <w:r>
              <w:t>Кластеры объединяют Объединённые нации (ООН) и гуманитарные организации, не входящие в ООН, в каждом из основных секторов гуманитарных мероприятий.  Они должны действовать как «крайняя мера» в случае пробелов в оказании помощи.</w:t>
            </w:r>
          </w:p>
        </w:tc>
      </w:tr>
    </w:tbl>
    <w:p w:rsidR="00BD37C2" w:rsidRPr="00BD37C2" w:rsidRDefault="003F2071" w:rsidP="00A04403">
      <w:pPr>
        <w:pStyle w:val="2"/>
        <w:spacing w:before="480"/>
      </w:pPr>
      <w:r>
        <w:t xml:space="preserve">Как координирование </w:t>
      </w:r>
      <w:r w:rsidR="00B22AD2">
        <w:t>ПДП</w:t>
      </w:r>
      <w:r>
        <w:t xml:space="preserve"> согласуется с более широкой системой координирования?</w:t>
      </w:r>
    </w:p>
    <w:p w:rsidR="00BD37C2" w:rsidRDefault="003F2071" w:rsidP="00BD37C2">
      <w:r>
        <w:t xml:space="preserve">На первый взгляд, </w:t>
      </w:r>
      <w:r w:rsidR="00B22AD2">
        <w:t>ПДП</w:t>
      </w:r>
      <w:r>
        <w:t xml:space="preserve"> при чрезвычайных ситуациях не </w:t>
      </w:r>
      <w:r w:rsidR="00B22AD2">
        <w:t>может существовать</w:t>
      </w:r>
      <w:r>
        <w:t xml:space="preserve"> в кластерной системе под предводительством ООН, базирующейся на </w:t>
      </w:r>
      <w:r w:rsidR="00B22AD2">
        <w:t>одном</w:t>
      </w:r>
      <w:r>
        <w:t xml:space="preserve"> секторе, так как </w:t>
      </w:r>
      <w:r w:rsidR="00B22AD2">
        <w:t>ПДП</w:t>
      </w:r>
      <w:r>
        <w:t xml:space="preserve"> часто задействуют несколько секторов.</w:t>
      </w:r>
      <w:r w:rsidR="00B22AD2">
        <w:t xml:space="preserve"> </w:t>
      </w:r>
      <w:r>
        <w:t>На практике на сегодняшний момент большая часть программ по координированию переводов денежных средств работа</w:t>
      </w:r>
      <w:r w:rsidR="00B22AD2">
        <w:t>ет</w:t>
      </w:r>
      <w:r>
        <w:t xml:space="preserve"> независимо от кластеров.</w:t>
      </w:r>
    </w:p>
    <w:p w:rsidR="00DE7A73" w:rsidRPr="00632749" w:rsidRDefault="003F2071" w:rsidP="00A04403">
      <w:pPr>
        <w:pStyle w:val="2"/>
        <w:spacing w:before="480"/>
      </w:pPr>
      <w:r>
        <w:t>Какой цели служит координирование переводов денежных средств при чрезвычайных ситуациях?</w:t>
      </w:r>
    </w:p>
    <w:p w:rsidR="00BD37C2" w:rsidRPr="00BD37C2" w:rsidRDefault="003F2071" w:rsidP="00A61890">
      <w:r>
        <w:t>Деньги могут казаться более непростым с политической точки зрения, подверженным большим рискам способом оказания помощи, чем неденежные виды помощи.</w:t>
      </w:r>
      <w:r w:rsidR="00B22AD2">
        <w:t xml:space="preserve"> Отсутствие координирования</w:t>
      </w:r>
      <w:r>
        <w:t xml:space="preserve"> в отношении способов</w:t>
      </w:r>
      <w:r w:rsidR="00777EF1">
        <w:t xml:space="preserve"> осуществления переводов</w:t>
      </w:r>
      <w:r>
        <w:t xml:space="preserve">, переводимых сумм, частоты </w:t>
      </w:r>
      <w:r w:rsidR="00777EF1">
        <w:t xml:space="preserve">переводов </w:t>
      </w:r>
      <w:r>
        <w:t>и критериев отбора получателей работ</w:t>
      </w:r>
      <w:r w:rsidR="00B22AD2">
        <w:t>ы</w:t>
      </w:r>
      <w:r>
        <w:t xml:space="preserve"> прогр</w:t>
      </w:r>
      <w:r w:rsidR="00B22AD2">
        <w:t>аммы денежных переводов</w:t>
      </w:r>
      <w:r>
        <w:t xml:space="preserve"> может привести к возникновению напряжённости в сообществах, снижению</w:t>
      </w:r>
      <w:r w:rsidR="00B22AD2">
        <w:t xml:space="preserve"> эффективности работы программы</w:t>
      </w:r>
      <w:r>
        <w:t xml:space="preserve"> и даже создать угрозу безопасности </w:t>
      </w:r>
      <w:r w:rsidR="00B22AD2">
        <w:t>бенефициаров</w:t>
      </w:r>
      <w:r>
        <w:t xml:space="preserve">, сотрудников </w:t>
      </w:r>
      <w:r w:rsidR="00777EF1">
        <w:t>агентства</w:t>
      </w:r>
      <w:r>
        <w:t xml:space="preserve"> или партнеров.</w:t>
      </w:r>
      <w:r w:rsidR="00B22AD2">
        <w:t xml:space="preserve"> </w:t>
      </w:r>
      <w:r>
        <w:t xml:space="preserve">Координационные действия позволяют </w:t>
      </w:r>
      <w:r w:rsidR="00B22AD2">
        <w:t>создать</w:t>
      </w:r>
      <w:r>
        <w:t xml:space="preserve"> платформу для работы с </w:t>
      </w:r>
      <w:r w:rsidR="00B22AD2">
        <w:t>мнимыми</w:t>
      </w:r>
      <w:r>
        <w:t xml:space="preserve"> и реальными рисками, а также для проведения переговоров о снижении тарифов за банковские переводы и другие услуги.</w:t>
      </w:r>
      <w:r w:rsidR="00B22AD2">
        <w:t xml:space="preserve"> </w:t>
      </w:r>
      <w:r>
        <w:t>Они также позволяют обмениваться опытом, что может иметь положительное влияние на эффективность программы.</w:t>
      </w:r>
    </w:p>
    <w:p w:rsidR="00DE7A73" w:rsidRPr="00A16EF0" w:rsidRDefault="003F2071" w:rsidP="00A61890">
      <w:r>
        <w:t xml:space="preserve">Координирование </w:t>
      </w:r>
      <w:r w:rsidR="00B22AD2">
        <w:t>ПДП</w:t>
      </w:r>
      <w:r>
        <w:t xml:space="preserve"> подразумевает целый набор функций, от технических до стратегических, в том числе:</w:t>
      </w:r>
    </w:p>
    <w:p w:rsidR="00DE7A73" w:rsidRDefault="003F2071" w:rsidP="00F604DF">
      <w:pPr>
        <w:pStyle w:val="Bullet2"/>
      </w:pPr>
      <w:r>
        <w:rPr>
          <w:b/>
          <w:bCs/>
        </w:rPr>
        <w:t>Сообщество практиков</w:t>
      </w:r>
      <w:r>
        <w:t xml:space="preserve">, позволяющее обмениваться передовыми методами работы, техническими и процедурными инновациями, соглашениями с местными властями и сложностями при реализации </w:t>
      </w:r>
      <w:r w:rsidR="00B22AD2">
        <w:t>ПДП</w:t>
      </w:r>
      <w:r>
        <w:t>.</w:t>
      </w:r>
      <w:r w:rsidR="00B22AD2">
        <w:t xml:space="preserve"> </w:t>
      </w:r>
      <w:r>
        <w:t>Кроме того, оно помогает добиваться лучших условий на переговорах с поставщиками услуг.</w:t>
      </w:r>
    </w:p>
    <w:p w:rsidR="00DE7A73" w:rsidRDefault="003F2071" w:rsidP="00F604DF">
      <w:pPr>
        <w:pStyle w:val="Bullet2"/>
      </w:pPr>
      <w:r>
        <w:lastRenderedPageBreak/>
        <w:t xml:space="preserve">Способ </w:t>
      </w:r>
      <w:r w:rsidR="00B22AD2">
        <w:rPr>
          <w:b/>
          <w:bCs/>
        </w:rPr>
        <w:t>синхронизировать</w:t>
      </w:r>
      <w:r>
        <w:rPr>
          <w:b/>
          <w:bCs/>
        </w:rPr>
        <w:t xml:space="preserve"> методы работы </w:t>
      </w:r>
      <w:r w:rsidR="00B22AD2">
        <w:rPr>
          <w:b/>
          <w:bCs/>
        </w:rPr>
        <w:t>ПДП</w:t>
      </w:r>
      <w:r>
        <w:t>, в особенности объёмы переводимых средств, суточные ставки работников и отборочные критерии</w:t>
      </w:r>
    </w:p>
    <w:p w:rsidR="00DE7A73" w:rsidRDefault="003F2071" w:rsidP="00F604DF">
      <w:pPr>
        <w:pStyle w:val="Bullet2"/>
      </w:pPr>
      <w:r>
        <w:t xml:space="preserve">Сеть для </w:t>
      </w:r>
      <w:r>
        <w:rPr>
          <w:b/>
          <w:bCs/>
        </w:rPr>
        <w:t xml:space="preserve">определения возможностей для получения финансирования и </w:t>
      </w:r>
      <w:r w:rsidR="00B22AD2">
        <w:rPr>
          <w:b/>
          <w:bCs/>
        </w:rPr>
        <w:t xml:space="preserve">выбора </w:t>
      </w:r>
      <w:r>
        <w:rPr>
          <w:b/>
          <w:bCs/>
        </w:rPr>
        <w:t>партнерских организаций для работы</w:t>
      </w:r>
      <w:bookmarkStart w:id="0" w:name="_GoBack"/>
      <w:bookmarkEnd w:id="0"/>
    </w:p>
    <w:p w:rsidR="00DE7A73" w:rsidRDefault="003F2071" w:rsidP="00F604DF">
      <w:pPr>
        <w:pStyle w:val="Bullet2"/>
      </w:pPr>
      <w:r>
        <w:rPr>
          <w:b/>
          <w:bCs/>
        </w:rPr>
        <w:t xml:space="preserve">Платформа для информационной деятельности </w:t>
      </w:r>
      <w:r>
        <w:t xml:space="preserve">для соответствующих  </w:t>
      </w:r>
      <w:r w:rsidR="00B22AD2">
        <w:t>ПДП</w:t>
      </w:r>
      <w:r>
        <w:t xml:space="preserve"> в отношении доноров, агентств ООН и правительств принимающих стран, а также в отношении местных властей и пострадавшего населения.</w:t>
      </w:r>
    </w:p>
    <w:p w:rsidR="00DE7A73" w:rsidRDefault="003F2071" w:rsidP="00F604DF">
      <w:pPr>
        <w:pStyle w:val="Bullet2"/>
      </w:pPr>
      <w:r>
        <w:t xml:space="preserve">Способ </w:t>
      </w:r>
      <w:r w:rsidR="00B22AD2">
        <w:rPr>
          <w:b/>
          <w:bCs/>
        </w:rPr>
        <w:t>выявить</w:t>
      </w:r>
      <w:r>
        <w:rPr>
          <w:b/>
          <w:bCs/>
        </w:rPr>
        <w:t xml:space="preserve"> пробелы и избежать дублирования</w:t>
      </w:r>
      <w:r>
        <w:t xml:space="preserve"> с помощью обзора того, что было сделано (результаты), и результирующего воздействия (итоги), а также того, в какой степени удовлетворены потребности людей в различных географических районах.</w:t>
      </w:r>
    </w:p>
    <w:p w:rsidR="00DE7A73" w:rsidRPr="007D3524" w:rsidRDefault="003F2071" w:rsidP="00F604DF">
      <w:pPr>
        <w:pStyle w:val="Bullet2"/>
      </w:pPr>
      <w:r>
        <w:t xml:space="preserve">Механизм планирования и </w:t>
      </w:r>
      <w:r>
        <w:rPr>
          <w:b/>
          <w:bCs/>
        </w:rPr>
        <w:t>обмена результатами оценки и мониторинга</w:t>
      </w:r>
      <w:r>
        <w:t xml:space="preserve">, а также установления </w:t>
      </w:r>
      <w:r>
        <w:rPr>
          <w:b/>
          <w:bCs/>
        </w:rPr>
        <w:t xml:space="preserve">связей между чрезвычайными службами, </w:t>
      </w:r>
      <w:r w:rsidR="00777EF1">
        <w:rPr>
          <w:b/>
          <w:bCs/>
        </w:rPr>
        <w:t>механизмами развития</w:t>
      </w:r>
      <w:r>
        <w:rPr>
          <w:b/>
          <w:bCs/>
        </w:rPr>
        <w:t xml:space="preserve"> и </w:t>
      </w:r>
      <w:r w:rsidR="00777EF1">
        <w:rPr>
          <w:b/>
          <w:bCs/>
        </w:rPr>
        <w:t>обеспечения готовности</w:t>
      </w:r>
      <w:r>
        <w:rPr>
          <w:b/>
          <w:bCs/>
        </w:rPr>
        <w:t xml:space="preserve"> к стихийным бедствиям</w:t>
      </w:r>
      <w:r>
        <w:t>.</w:t>
      </w:r>
    </w:p>
    <w:p w:rsidR="007D3524" w:rsidRPr="004C7417" w:rsidRDefault="007D3524" w:rsidP="00F604DF">
      <w:pPr>
        <w:pStyle w:val="Bullet2"/>
      </w:pPr>
      <w:r>
        <w:t xml:space="preserve">Платформа, </w:t>
      </w:r>
      <w:r>
        <w:rPr>
          <w:b/>
        </w:rPr>
        <w:t>с помощью которой можно обмениваться информацией о том, кто делает что и когда</w:t>
      </w:r>
      <w:r>
        <w:t>.</w:t>
      </w:r>
      <w:r w:rsidR="00B22AD2">
        <w:t xml:space="preserve"> </w:t>
      </w:r>
      <w:r>
        <w:t xml:space="preserve">Эта информация может включать число </w:t>
      </w:r>
      <w:r w:rsidR="00B22AD2">
        <w:t>бенефициаров</w:t>
      </w:r>
      <w:r>
        <w:t xml:space="preserve"> и их расположение, методы и механизмы </w:t>
      </w:r>
      <w:r w:rsidR="00B22AD2">
        <w:t>раздачи</w:t>
      </w:r>
      <w:r>
        <w:t>, объёмы переводов и оклады, а также расписание переводов.</w:t>
      </w:r>
    </w:p>
    <w:p w:rsidR="00DE7A73" w:rsidRPr="00632749" w:rsidRDefault="003F2071" w:rsidP="00A04403">
      <w:pPr>
        <w:pStyle w:val="2"/>
      </w:pPr>
      <w:r>
        <w:t>В какой степени и каким образом координирование переводов денежных средств должно быть интегрировано в секторные кластеры?</w:t>
      </w:r>
    </w:p>
    <w:p w:rsidR="00DE7A73" w:rsidRDefault="003F2071" w:rsidP="00A61890">
      <w:pPr>
        <w:keepNext/>
        <w:keepLines/>
      </w:pPr>
      <w:r>
        <w:t>Денежные средства - это вид оказания помощи, это не сектор.  Денежная помощь актуальна во всех гуманитарных областях.</w:t>
      </w:r>
      <w:r w:rsidR="00B22AD2">
        <w:t xml:space="preserve"> </w:t>
      </w:r>
      <w:r>
        <w:t xml:space="preserve">В принципе, кластеры </w:t>
      </w:r>
      <w:r w:rsidR="00B22AD2">
        <w:t xml:space="preserve">сами по себе </w:t>
      </w:r>
      <w:r>
        <w:t>уже отвечают за большую часть координирующих функций, относящихся к использованию денежных средств.</w:t>
      </w:r>
      <w:r w:rsidR="00B22AD2">
        <w:t xml:space="preserve"> </w:t>
      </w:r>
      <w:r>
        <w:t>Таким образом, существует насущная потребность переключить внимание на денежную помощь во всех секторальных кластерах (например, при обучении, оценке, принятии решений, выработке инструментов и руководства).</w:t>
      </w:r>
    </w:p>
    <w:p w:rsidR="00DE7A73" w:rsidRDefault="003F2071" w:rsidP="00A61890">
      <w:r>
        <w:t>В исследовании, выполненном по заказу CaLP, был предложен метод координирования на полевом уровне.</w:t>
      </w:r>
      <w:r w:rsidR="00B22AD2">
        <w:t xml:space="preserve"> </w:t>
      </w:r>
      <w:r>
        <w:t xml:space="preserve">Предлагаемая модель включает «независимые» рабочие группы, созданные специально для работы с денежными средствами, которые оказывают поддержку всем кластерам, а также </w:t>
      </w:r>
      <w:r w:rsidR="00B22AD2">
        <w:t xml:space="preserve">осуществляют </w:t>
      </w:r>
      <w:r>
        <w:t>стратегическое координирование работы с денежными средствами, интегрированное в кластерную систему.</w:t>
      </w:r>
      <w:r w:rsidR="00B22AD2">
        <w:t xml:space="preserve"> </w:t>
      </w:r>
      <w:r>
        <w:t>Интегрирование может происходить с помощью лиц, ответственных за денежные средства</w:t>
      </w:r>
      <w:r w:rsidR="00B22AD2">
        <w:t>,</w:t>
      </w:r>
      <w:r>
        <w:t xml:space="preserve"> или «координаторов», что может привнести аспект денежных средств во все фазы цикла проекта и поможет выявить пробелы и дублирования.</w:t>
      </w:r>
    </w:p>
    <w:p w:rsidR="00DE7A73" w:rsidRPr="0074634B" w:rsidRDefault="003F2071" w:rsidP="00A61890">
      <w:pPr>
        <w:spacing w:after="360"/>
      </w:pPr>
      <w:r>
        <w:t>Как эта модель будет работать на практике, будет зависеть от конкретных условий, в особенности</w:t>
      </w:r>
      <w:r w:rsidR="00B22AD2">
        <w:t>,</w:t>
      </w:r>
      <w:r>
        <w:t xml:space="preserve"> от имеющегося опыта </w:t>
      </w:r>
      <w:r w:rsidR="00B22AD2">
        <w:t>ПДП</w:t>
      </w:r>
      <w:r>
        <w:t xml:space="preserve"> (включая работу с правительством принимающей страны), типа и фазы кризиса, потребностей, а также существования программ социальной защиты и механизмов координирования.</w:t>
      </w:r>
    </w:p>
    <w:tbl>
      <w:tblPr>
        <w:tblStyle w:val="a3"/>
        <w:tblW w:w="5000" w:type="pct"/>
        <w:shd w:val="solid" w:color="F2F2F2" w:themeColor="background1" w:themeShade="F2" w:fill="auto"/>
        <w:tblLook w:val="04A0" w:firstRow="1" w:lastRow="0" w:firstColumn="1" w:lastColumn="0" w:noHBand="0" w:noVBand="1"/>
      </w:tblPr>
      <w:tblGrid>
        <w:gridCol w:w="9848"/>
      </w:tblGrid>
      <w:tr w:rsidR="00DE7A73" w:rsidRPr="00A61890" w:rsidTr="00A61890">
        <w:tc>
          <w:tcPr>
            <w:tcW w:w="5000" w:type="pct"/>
            <w:shd w:val="solid" w:color="F2F2F2" w:themeColor="background1" w:themeShade="F2" w:fill="auto"/>
          </w:tcPr>
          <w:p w:rsidR="00DE7A73" w:rsidRPr="00A61890" w:rsidRDefault="00A61890" w:rsidP="00A61890">
            <w:pPr>
              <w:pStyle w:val="RefTitre"/>
              <w:spacing w:before="120"/>
            </w:pPr>
            <w:r>
              <w:t>СОВЕТЫ КООРДИНАТОРАМ ПО РАБОТЕ С ДЕНЕЖНЫМИ СРЕДСТВАМИ</w:t>
            </w:r>
          </w:p>
          <w:p w:rsidR="00DE7A73" w:rsidRPr="00A61890" w:rsidRDefault="003F2071" w:rsidP="00A61890">
            <w:pPr>
              <w:pStyle w:val="BulletTableau"/>
              <w:framePr w:wrap="around"/>
              <w:spacing w:before="144" w:after="48"/>
              <w:ind w:left="714" w:hanging="357"/>
            </w:pPr>
            <w:r>
              <w:t xml:space="preserve">Свяжите технические рабочие группы, работающие именно с денежными средствами, с кластерной системой или с другим установленным </w:t>
            </w:r>
            <w:r w:rsidR="00B22AD2">
              <w:t xml:space="preserve"> в стране </w:t>
            </w:r>
            <w:r>
              <w:t xml:space="preserve">механизмом координирования.  Это повысит уровень осведомлённости и узнавания механизмов координирования </w:t>
            </w:r>
            <w:r w:rsidR="00B22AD2">
              <w:t xml:space="preserve">денежных </w:t>
            </w:r>
            <w:r>
              <w:t xml:space="preserve">переводов, </w:t>
            </w:r>
            <w:r w:rsidR="00B22AD2">
              <w:t>и гарантирует</w:t>
            </w:r>
            <w:r>
              <w:t>, что стратегические соображения принимаются во внимание, и повысит уровень отчётности.</w:t>
            </w:r>
          </w:p>
          <w:p w:rsidR="00DE7A73" w:rsidRPr="00A61890" w:rsidRDefault="003F2071" w:rsidP="00A61890">
            <w:pPr>
              <w:pStyle w:val="BulletTableau"/>
              <w:framePr w:wrap="around"/>
              <w:spacing w:before="144" w:after="48"/>
              <w:ind w:left="714" w:hanging="357"/>
            </w:pPr>
            <w:r>
              <w:t>Проследите, чтобы в механизмах координирования денежные средства признавались методом, имеющим многосекторную природу.</w:t>
            </w:r>
            <w:r w:rsidR="00B22AD2">
              <w:t xml:space="preserve"> </w:t>
            </w:r>
            <w:r>
              <w:t>Координирование работы с денежными средствами не должно ограничиваться только продовольственной безопасностью и источниками средств к существованию.  Оно должно быть интегрировано в различные сектор</w:t>
            </w:r>
            <w:r w:rsidR="00777EF1">
              <w:t>ы</w:t>
            </w:r>
            <w:r>
              <w:t xml:space="preserve"> и кластерные дискуссии с целью повысить степень выявления пробелов и </w:t>
            </w:r>
            <w:r w:rsidR="00777EF1">
              <w:t>уменьшить</w:t>
            </w:r>
            <w:r>
              <w:t xml:space="preserve"> число дублирований в программах по оказанию денежной и неденежной помощи.</w:t>
            </w:r>
          </w:p>
          <w:p w:rsidR="00DE7A73" w:rsidRPr="00A61890" w:rsidRDefault="003F2071" w:rsidP="00A61890">
            <w:pPr>
              <w:pStyle w:val="BulletTableau"/>
              <w:framePr w:wrap="around"/>
              <w:spacing w:before="144" w:after="48"/>
              <w:ind w:left="714" w:hanging="357"/>
            </w:pPr>
            <w:r>
              <w:t xml:space="preserve">Интегрируйте </w:t>
            </w:r>
            <w:r w:rsidR="00B22AD2">
              <w:t>ПДП</w:t>
            </w:r>
            <w:r>
              <w:t xml:space="preserve"> в процесс принятия решений в ходе оценки, анализа мероприятий по оказанию помощи, мониторинга и оценки воздействия, а также в планирование действий в </w:t>
            </w:r>
            <w:r>
              <w:lastRenderedPageBreak/>
              <w:t>непредвиденных обстоятельствах.</w:t>
            </w:r>
          </w:p>
          <w:p w:rsidR="00DE7A73" w:rsidRPr="00A61890" w:rsidRDefault="00796C5E" w:rsidP="00A61890">
            <w:pPr>
              <w:pStyle w:val="BulletTableau"/>
              <w:framePr w:wrap="around"/>
              <w:spacing w:before="144" w:after="48"/>
              <w:ind w:left="714" w:hanging="357"/>
            </w:pPr>
            <w:r>
              <w:t>Убедитесь, что фокусом координирования работы с денежными средствами являются итоги, а не результаты, чтобы измерять не только объём оказанной помощи, но и то, каким образом вся оказываемая помощь удовлетворяет потребности людей.</w:t>
            </w:r>
          </w:p>
          <w:p w:rsidR="00DE7A73" w:rsidRPr="00A61890" w:rsidRDefault="003F2071" w:rsidP="00A61890">
            <w:pPr>
              <w:pStyle w:val="BulletTableau"/>
              <w:framePr w:wrap="around"/>
              <w:spacing w:beforeLines="0" w:afterLines="0"/>
              <w:ind w:left="714" w:hanging="357"/>
            </w:pPr>
            <w:r>
              <w:t xml:space="preserve">Установите связи с соответствующими правительственными структурами или рабочими группами, которые работают с программами безопасности, строительством, повышением уровня готовности, планированием действий в непредвиденных обстоятельствах и т.п., чтобы в них можно было использовать уроки, извлечённые из работы </w:t>
            </w:r>
            <w:r w:rsidR="00B22AD2">
              <w:t>ПДП</w:t>
            </w:r>
            <w:r>
              <w:t xml:space="preserve"> в чрезвычайных ситуациях.</w:t>
            </w:r>
          </w:p>
        </w:tc>
      </w:tr>
    </w:tbl>
    <w:p w:rsidR="00DE7A73" w:rsidRPr="00AF6EA9" w:rsidRDefault="00DE7A73" w:rsidP="00DE7A73">
      <w:pPr>
        <w:rPr>
          <w:szCs w:val="22"/>
        </w:rPr>
      </w:pPr>
    </w:p>
    <w:sectPr w:rsidR="00DE7A73" w:rsidRPr="00AF6EA9" w:rsidSect="00A61890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EC" w:rsidRDefault="001470EC" w:rsidP="00DE7A73">
      <w:pPr>
        <w:spacing w:after="0"/>
      </w:pPr>
      <w:r>
        <w:separator/>
      </w:r>
    </w:p>
  </w:endnote>
  <w:endnote w:type="continuationSeparator" w:id="0">
    <w:p w:rsidR="001470EC" w:rsidRDefault="001470EC" w:rsidP="00DE7A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C0B" w:rsidRDefault="00E53DC9" w:rsidP="00D20C0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D20C0B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B22AD2">
      <w:rPr>
        <w:rStyle w:val="af4"/>
        <w:noProof/>
      </w:rPr>
      <w:t>0</w:t>
    </w:r>
    <w:r>
      <w:rPr>
        <w:rStyle w:val="af4"/>
      </w:rPr>
      <w:fldChar w:fldCharType="end"/>
    </w:r>
  </w:p>
  <w:p w:rsidR="00C03AF1" w:rsidRDefault="00C03AF1" w:rsidP="00D20C0B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90" w:rsidRPr="00B45C74" w:rsidRDefault="00E53DC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A61890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E58F9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A61890" w:rsidRPr="003A3500" w:rsidRDefault="00A61890" w:rsidP="00ED1B2B">
    <w:pPr>
      <w:pStyle w:val="af2"/>
    </w:pPr>
    <w:r>
      <w:rPr>
        <w:b/>
      </w:rPr>
      <w:t>Модуль 4.</w:t>
    </w:r>
    <w:r>
      <w:t xml:space="preserve">Этап 1.Подэтап 3. </w:t>
    </w:r>
    <w:fldSimple w:instr=" STYLEREF  H1 \t  \* MERGEFORMAT ">
      <w:r w:rsidR="008E58F9" w:rsidRPr="008E58F9">
        <w:rPr>
          <w:bCs/>
          <w:noProof/>
        </w:rPr>
        <w:t>Ключевые элементы координирования ПДП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EC" w:rsidRDefault="001470EC" w:rsidP="00DE7A73">
      <w:pPr>
        <w:spacing w:after="0"/>
      </w:pPr>
      <w:r>
        <w:separator/>
      </w:r>
    </w:p>
  </w:footnote>
  <w:footnote w:type="continuationSeparator" w:id="0">
    <w:p w:rsidR="001470EC" w:rsidRDefault="001470EC" w:rsidP="00DE7A73">
      <w:pPr>
        <w:spacing w:after="0"/>
      </w:pPr>
      <w:r>
        <w:continuationSeparator/>
      </w:r>
    </w:p>
  </w:footnote>
  <w:footnote w:id="1">
    <w:p w:rsidR="00C03AF1" w:rsidRPr="00A61890" w:rsidRDefault="00C03AF1" w:rsidP="00A61890">
      <w:pPr>
        <w:pStyle w:val="a6"/>
      </w:pPr>
      <w:r>
        <w:rPr>
          <w:rStyle w:val="a8"/>
        </w:rPr>
        <w:footnoteRef/>
      </w:r>
      <w:r>
        <w:t xml:space="preserve"> Этот инструмент был адаптирован из руководства по координированию в пособии CaLP  для координаторов.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90" w:rsidRPr="00074036" w:rsidRDefault="00A61890" w:rsidP="00173FF2">
    <w:pPr>
      <w:pStyle w:val="af0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B22AD2">
      <w:rPr>
        <w:rStyle w:val="Pantone485"/>
      </w:rPr>
      <w:t xml:space="preserve"> </w:t>
    </w:r>
    <w:r>
      <w:rPr>
        <w:rStyle w:val="af4"/>
        <w:bCs/>
        <w:szCs w:val="16"/>
      </w:rPr>
      <w:t>I</w:t>
    </w:r>
    <w:r w:rsidR="00B22AD2">
      <w:rPr>
        <w:rStyle w:val="af4"/>
        <w:bCs/>
        <w:szCs w:val="16"/>
      </w:rPr>
      <w:t xml:space="preserve"> </w:t>
    </w:r>
    <w:r w:rsidR="00D513B8">
      <w:rPr>
        <w:szCs w:val="16"/>
      </w:rPr>
      <w:t>Наличные денежные средства в условиях ЧС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A5CBE"/>
    <w:multiLevelType w:val="hybridMultilevel"/>
    <w:tmpl w:val="6480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B77D4E"/>
    <w:multiLevelType w:val="hybridMultilevel"/>
    <w:tmpl w:val="0FC6A59C"/>
    <w:lvl w:ilvl="0" w:tplc="31421D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C6457"/>
    <w:multiLevelType w:val="hybridMultilevel"/>
    <w:tmpl w:val="6AB8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673F9"/>
    <w:multiLevelType w:val="hybridMultilevel"/>
    <w:tmpl w:val="D748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37C2"/>
    <w:rsid w:val="00064D48"/>
    <w:rsid w:val="001470EC"/>
    <w:rsid w:val="001D0DF3"/>
    <w:rsid w:val="002136A1"/>
    <w:rsid w:val="00231C1B"/>
    <w:rsid w:val="003F2071"/>
    <w:rsid w:val="00492589"/>
    <w:rsid w:val="004C7417"/>
    <w:rsid w:val="004F1049"/>
    <w:rsid w:val="005900D4"/>
    <w:rsid w:val="005C2171"/>
    <w:rsid w:val="00642A77"/>
    <w:rsid w:val="00663140"/>
    <w:rsid w:val="00777EF1"/>
    <w:rsid w:val="007947DA"/>
    <w:rsid w:val="00796C5E"/>
    <w:rsid w:val="007D3524"/>
    <w:rsid w:val="007F27BA"/>
    <w:rsid w:val="0083372A"/>
    <w:rsid w:val="00861C1F"/>
    <w:rsid w:val="008E58F9"/>
    <w:rsid w:val="0093179C"/>
    <w:rsid w:val="009C6988"/>
    <w:rsid w:val="00A04403"/>
    <w:rsid w:val="00A61890"/>
    <w:rsid w:val="00AD0E64"/>
    <w:rsid w:val="00AD13FC"/>
    <w:rsid w:val="00AD60E5"/>
    <w:rsid w:val="00B22AD2"/>
    <w:rsid w:val="00B2355E"/>
    <w:rsid w:val="00B56698"/>
    <w:rsid w:val="00B81B49"/>
    <w:rsid w:val="00BD37C2"/>
    <w:rsid w:val="00C0006F"/>
    <w:rsid w:val="00C03AF1"/>
    <w:rsid w:val="00D20C0B"/>
    <w:rsid w:val="00D513B8"/>
    <w:rsid w:val="00DE7A73"/>
    <w:rsid w:val="00E005C6"/>
    <w:rsid w:val="00E37DE8"/>
    <w:rsid w:val="00E53DC9"/>
    <w:rsid w:val="00E979A4"/>
    <w:rsid w:val="00F21E5E"/>
    <w:rsid w:val="00F604DF"/>
    <w:rsid w:val="00FF59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9B807E-45A1-48B4-951B-86A99674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56698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B56698"/>
  </w:style>
  <w:style w:type="paragraph" w:styleId="2">
    <w:name w:val="heading 2"/>
    <w:basedOn w:val="a"/>
    <w:next w:val="a"/>
    <w:link w:val="20"/>
    <w:uiPriority w:val="9"/>
    <w:unhideWhenUsed/>
    <w:qFormat/>
    <w:rsid w:val="00B56698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B56698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69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B56698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56698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6">
    <w:name w:val="footnote text"/>
    <w:basedOn w:val="a"/>
    <w:link w:val="a7"/>
    <w:uiPriority w:val="99"/>
    <w:unhideWhenUsed/>
    <w:rsid w:val="00B56698"/>
    <w:pPr>
      <w:spacing w:after="0"/>
    </w:pPr>
    <w:rPr>
      <w:sz w:val="16"/>
      <w:szCs w:val="22"/>
    </w:rPr>
  </w:style>
  <w:style w:type="character" w:customStyle="1" w:styleId="a7">
    <w:name w:val="Текст сноски Знак"/>
    <w:basedOn w:val="a0"/>
    <w:link w:val="a6"/>
    <w:uiPriority w:val="99"/>
    <w:rsid w:val="00B56698"/>
    <w:rPr>
      <w:rFonts w:ascii="Arial" w:hAnsi="Arial" w:cs="Times New Roman"/>
      <w:sz w:val="16"/>
      <w:szCs w:val="22"/>
    </w:rPr>
  </w:style>
  <w:style w:type="character" w:styleId="a8">
    <w:name w:val="footnote reference"/>
    <w:basedOn w:val="a0"/>
    <w:uiPriority w:val="99"/>
    <w:unhideWhenUsed/>
    <w:rsid w:val="00B5669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B566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63140"/>
  </w:style>
  <w:style w:type="character" w:customStyle="1" w:styleId="ab">
    <w:name w:val="Текст примечания Знак"/>
    <w:basedOn w:val="a0"/>
    <w:link w:val="aa"/>
    <w:uiPriority w:val="99"/>
    <w:semiHidden/>
    <w:rsid w:val="00663140"/>
    <w:rPr>
      <w:lang w:val="ru-RU"/>
    </w:rPr>
  </w:style>
  <w:style w:type="paragraph" w:styleId="ac">
    <w:name w:val="annotation subject"/>
    <w:basedOn w:val="a"/>
    <w:link w:val="ad"/>
    <w:uiPriority w:val="99"/>
    <w:semiHidden/>
    <w:unhideWhenUsed/>
    <w:rsid w:val="00B56698"/>
    <w:rPr>
      <w:b/>
      <w:bCs/>
    </w:rPr>
  </w:style>
  <w:style w:type="character" w:customStyle="1" w:styleId="ad">
    <w:name w:val="Тема примечания Знак"/>
    <w:basedOn w:val="a0"/>
    <w:link w:val="ac"/>
    <w:uiPriority w:val="99"/>
    <w:semiHidden/>
    <w:rsid w:val="00B56698"/>
    <w:rPr>
      <w:rFonts w:ascii="Arial" w:hAnsi="Arial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566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56698"/>
    <w:rPr>
      <w:rFonts w:ascii="Lucida Grande" w:hAnsi="Lucida Grande" w:cs="Lucida Grande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56698"/>
    <w:pPr>
      <w:spacing w:after="0" w:line="288" w:lineRule="auto"/>
      <w:jc w:val="left"/>
    </w:pPr>
    <w:rPr>
      <w:sz w:val="16"/>
    </w:rPr>
  </w:style>
  <w:style w:type="character" w:customStyle="1" w:styleId="af1">
    <w:name w:val="Верхний колонтитул Знак"/>
    <w:basedOn w:val="a0"/>
    <w:link w:val="af0"/>
    <w:uiPriority w:val="99"/>
    <w:rsid w:val="00B56698"/>
    <w:rPr>
      <w:rFonts w:ascii="Arial" w:hAnsi="Arial" w:cs="Times New Roman"/>
      <w:sz w:val="16"/>
    </w:rPr>
  </w:style>
  <w:style w:type="paragraph" w:styleId="af2">
    <w:name w:val="footer"/>
    <w:basedOn w:val="a"/>
    <w:link w:val="af3"/>
    <w:uiPriority w:val="99"/>
    <w:unhideWhenUsed/>
    <w:rsid w:val="00B56698"/>
    <w:pPr>
      <w:spacing w:after="0"/>
      <w:jc w:val="left"/>
    </w:pPr>
    <w:rPr>
      <w:sz w:val="16"/>
      <w:szCs w:val="18"/>
    </w:rPr>
  </w:style>
  <w:style w:type="character" w:customStyle="1" w:styleId="af3">
    <w:name w:val="Нижний колонтитул Знак"/>
    <w:basedOn w:val="a0"/>
    <w:link w:val="af2"/>
    <w:uiPriority w:val="99"/>
    <w:rsid w:val="00B56698"/>
    <w:rPr>
      <w:rFonts w:ascii="Arial" w:hAnsi="Arial" w:cs="Times New Roman"/>
      <w:sz w:val="16"/>
      <w:szCs w:val="18"/>
    </w:rPr>
  </w:style>
  <w:style w:type="character" w:styleId="af4">
    <w:name w:val="page number"/>
    <w:basedOn w:val="a0"/>
    <w:uiPriority w:val="99"/>
    <w:unhideWhenUsed/>
    <w:rsid w:val="00B56698"/>
    <w:rPr>
      <w:b/>
    </w:rPr>
  </w:style>
  <w:style w:type="character" w:customStyle="1" w:styleId="10">
    <w:name w:val="Заголовок 1 Знак"/>
    <w:basedOn w:val="a0"/>
    <w:link w:val="1"/>
    <w:uiPriority w:val="9"/>
    <w:rsid w:val="00B56698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B56698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56698"/>
    <w:rPr>
      <w:rFonts w:ascii="Arial" w:hAnsi="Arial" w:cs="Times New Roman"/>
      <w:b/>
      <w:sz w:val="22"/>
      <w:szCs w:val="24"/>
    </w:rPr>
  </w:style>
  <w:style w:type="character" w:customStyle="1" w:styleId="a5">
    <w:name w:val="Абзац списка Знак"/>
    <w:basedOn w:val="a0"/>
    <w:link w:val="a4"/>
    <w:uiPriority w:val="34"/>
    <w:rsid w:val="00B56698"/>
    <w:rPr>
      <w:rFonts w:ascii="Arial" w:eastAsiaTheme="minorHAnsi" w:hAnsi="Arial" w:cstheme="minorBidi"/>
      <w:szCs w:val="22"/>
    </w:rPr>
  </w:style>
  <w:style w:type="character" w:styleId="af5">
    <w:name w:val="Hyperlink"/>
    <w:basedOn w:val="a0"/>
    <w:uiPriority w:val="99"/>
    <w:unhideWhenUsed/>
    <w:rsid w:val="00B56698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B56698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56698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B56698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B56698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B56698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B56698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B56698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f0"/>
    <w:rsid w:val="00B56698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B56698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B56698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B56698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4"/>
    <w:rsid w:val="00B56698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B56698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B56698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a4"/>
    <w:qFormat/>
    <w:rsid w:val="00B56698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B56698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B56698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B56698"/>
    <w:pPr>
      <w:keepNext/>
      <w:keepLines/>
      <w:framePr w:hSpace="141" w:wrap="around" w:vAnchor="text" w:hAnchor="margin" w:y="402"/>
      <w:numPr>
        <w:numId w:val="10"/>
      </w:numPr>
      <w:spacing w:beforeLines="60" w:afterLines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4A726-40FB-46DC-9B9B-4C98E924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54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Mareta GAZIKOVA</cp:lastModifiedBy>
  <cp:revision>21</cp:revision>
  <cp:lastPrinted>2015-10-11T22:16:00Z</cp:lastPrinted>
  <dcterms:created xsi:type="dcterms:W3CDTF">2014-12-02T18:03:00Z</dcterms:created>
  <dcterms:modified xsi:type="dcterms:W3CDTF">2017-04-20T10:40:00Z</dcterms:modified>
</cp:coreProperties>
</file>