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70" w:rsidRPr="006E3B4A" w:rsidRDefault="00B44945" w:rsidP="00622938">
      <w:pPr>
        <w:pStyle w:val="H1"/>
        <w:rPr>
          <w:rFonts w:cs="Arial"/>
        </w:rPr>
      </w:pPr>
      <w:r>
        <w:t xml:space="preserve">Дорожная карта для коммуникации с </w:t>
      </w:r>
      <w:r w:rsidR="002F0F57">
        <w:t>бенефициарами</w:t>
      </w:r>
      <w:r>
        <w:t xml:space="preserve"> и отчётности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7"/>
        <w:gridCol w:w="2125"/>
        <w:gridCol w:w="1892"/>
        <w:gridCol w:w="1951"/>
        <w:gridCol w:w="1923"/>
      </w:tblGrid>
      <w:tr w:rsidR="005E1C6E" w:rsidRPr="005E1C6E" w:rsidTr="00370C03">
        <w:tc>
          <w:tcPr>
            <w:tcW w:w="9848" w:type="dxa"/>
            <w:gridSpan w:val="5"/>
          </w:tcPr>
          <w:p w:rsidR="005E1C6E" w:rsidRPr="005E1C6E" w:rsidRDefault="005E1C6E" w:rsidP="005E1C6E">
            <w:pPr>
              <w:pStyle w:val="2"/>
              <w:pBdr>
                <w:top w:val="none" w:sz="0" w:space="0" w:color="auto"/>
              </w:pBdr>
              <w:jc w:val="center"/>
              <w:outlineLvl w:val="1"/>
              <w:rPr>
                <w:sz w:val="20"/>
                <w:szCs w:val="20"/>
              </w:rPr>
            </w:pPr>
            <w:r w:rsidRPr="005E1C6E">
              <w:rPr>
                <w:sz w:val="20"/>
                <w:szCs w:val="20"/>
              </w:rPr>
              <w:t>ПОДГОТОВКА И РЕАЛИЗАЦИЯ</w:t>
            </w:r>
          </w:p>
        </w:tc>
      </w:tr>
      <w:tr w:rsidR="005E1C6E" w:rsidRPr="005E1C6E" w:rsidTr="005E1C6E">
        <w:tc>
          <w:tcPr>
            <w:tcW w:w="1957" w:type="dxa"/>
          </w:tcPr>
          <w:p w:rsidR="005E1C6E" w:rsidRPr="005E1C6E" w:rsidRDefault="005E1C6E" w:rsidP="005E1C6E">
            <w:pPr>
              <w:pStyle w:val="NormalNo"/>
              <w:tabs>
                <w:tab w:val="left" w:pos="435"/>
              </w:tabs>
              <w:ind w:left="142" w:hanging="11"/>
              <w:rPr>
                <w:sz w:val="20"/>
              </w:rPr>
            </w:pPr>
            <w:r w:rsidRPr="005E1C6E">
              <w:rPr>
                <w:sz w:val="20"/>
              </w:rPr>
              <w:t>Подготовка программы</w:t>
            </w:r>
          </w:p>
        </w:tc>
        <w:tc>
          <w:tcPr>
            <w:tcW w:w="2125" w:type="dxa"/>
          </w:tcPr>
          <w:p w:rsidR="005E1C6E" w:rsidRPr="005E1C6E" w:rsidRDefault="005E1C6E" w:rsidP="005E1C6E">
            <w:pPr>
              <w:pStyle w:val="NormalNo"/>
              <w:tabs>
                <w:tab w:val="left" w:pos="386"/>
              </w:tabs>
              <w:ind w:left="103" w:hanging="50"/>
              <w:rPr>
                <w:sz w:val="20"/>
              </w:rPr>
            </w:pPr>
            <w:r w:rsidRPr="005E1C6E">
              <w:rPr>
                <w:sz w:val="20"/>
              </w:rPr>
              <w:t>Коммуникация с бенефициарами и отчётность</w:t>
            </w:r>
          </w:p>
        </w:tc>
        <w:tc>
          <w:tcPr>
            <w:tcW w:w="1892" w:type="dxa"/>
          </w:tcPr>
          <w:p w:rsidR="005E1C6E" w:rsidRPr="005E1C6E" w:rsidRDefault="005E1C6E" w:rsidP="005E1C6E">
            <w:pPr>
              <w:pStyle w:val="NormalNo"/>
              <w:tabs>
                <w:tab w:val="left" w:pos="381"/>
              </w:tabs>
              <w:ind w:left="103" w:hanging="50"/>
            </w:pPr>
            <w:r w:rsidRPr="005E1C6E">
              <w:rPr>
                <w:sz w:val="20"/>
              </w:rPr>
              <w:t xml:space="preserve">Договоры </w:t>
            </w:r>
            <w:r>
              <w:rPr>
                <w:sz w:val="20"/>
              </w:rPr>
              <w:t>с поставщиками услуг</w:t>
            </w:r>
          </w:p>
        </w:tc>
        <w:tc>
          <w:tcPr>
            <w:tcW w:w="1951" w:type="dxa"/>
          </w:tcPr>
          <w:p w:rsidR="005E1C6E" w:rsidRPr="005E1C6E" w:rsidRDefault="005E1C6E" w:rsidP="005E1C6E">
            <w:pPr>
              <w:pStyle w:val="NormalNo"/>
              <w:tabs>
                <w:tab w:val="left" w:pos="386"/>
              </w:tabs>
              <w:ind w:left="103" w:hanging="50"/>
            </w:pPr>
            <w:r>
              <w:rPr>
                <w:sz w:val="20"/>
              </w:rPr>
              <w:t>Регистрация и идентификация</w:t>
            </w:r>
          </w:p>
        </w:tc>
        <w:tc>
          <w:tcPr>
            <w:tcW w:w="1923" w:type="dxa"/>
          </w:tcPr>
          <w:p w:rsidR="005E1C6E" w:rsidRPr="005E1C6E" w:rsidRDefault="005E1C6E" w:rsidP="005E1C6E">
            <w:pPr>
              <w:pStyle w:val="NormalNo"/>
              <w:tabs>
                <w:tab w:val="left" w:pos="386"/>
              </w:tabs>
              <w:ind w:left="103" w:hanging="50"/>
            </w:pPr>
            <w:r w:rsidRPr="005E1C6E">
              <w:rPr>
                <w:sz w:val="20"/>
              </w:rPr>
              <w:t>Раздача и обналичивание</w:t>
            </w:r>
          </w:p>
        </w:tc>
      </w:tr>
      <w:tr w:rsidR="005E1C6E" w:rsidRPr="005E1C6E" w:rsidTr="005E1C6E">
        <w:tc>
          <w:tcPr>
            <w:tcW w:w="1957" w:type="dxa"/>
          </w:tcPr>
          <w:p w:rsidR="005E1C6E" w:rsidRDefault="005E1C6E" w:rsidP="005E1C6E">
            <w:pPr>
              <w:jc w:val="left"/>
            </w:pPr>
            <w:r>
              <w:t>.1 Разработать оперативный план ПДП</w:t>
            </w:r>
          </w:p>
          <w:p w:rsidR="005E1C6E" w:rsidRDefault="005E1C6E" w:rsidP="005E1C6E">
            <w:pPr>
              <w:jc w:val="left"/>
            </w:pPr>
            <w:r>
              <w:t>.2 Внутренняя координация</w:t>
            </w:r>
          </w:p>
          <w:p w:rsidR="005E1C6E" w:rsidRPr="005E1C6E" w:rsidRDefault="005E1C6E" w:rsidP="005E1C6E">
            <w:pPr>
              <w:jc w:val="left"/>
            </w:pPr>
            <w:r>
              <w:t>.3 Координация с другими организациями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5E1C6E" w:rsidRDefault="005E1C6E" w:rsidP="005E1C6E">
            <w:pPr>
              <w:jc w:val="left"/>
            </w:pPr>
            <w:r w:rsidRPr="005E1C6E">
              <w:t xml:space="preserve">.1 </w:t>
            </w:r>
            <w:r>
              <w:t>Разработать план КБО</w:t>
            </w:r>
          </w:p>
          <w:p w:rsidR="005E1C6E" w:rsidRDefault="005E1C6E" w:rsidP="005E1C6E">
            <w:pPr>
              <w:jc w:val="left"/>
            </w:pPr>
            <w:r>
              <w:t>.2 Повысить квалификацию персонала</w:t>
            </w:r>
          </w:p>
          <w:p w:rsidR="005E1C6E" w:rsidRDefault="005E1C6E" w:rsidP="005E1C6E">
            <w:pPr>
              <w:jc w:val="left"/>
            </w:pPr>
            <w:r>
              <w:t>.3 Выбрать каналы и инструменты коммуникации</w:t>
            </w:r>
          </w:p>
          <w:p w:rsidR="005E1C6E" w:rsidRDefault="005E1C6E" w:rsidP="005E1C6E">
            <w:pPr>
              <w:jc w:val="left"/>
            </w:pPr>
            <w:r>
              <w:t>.4 Разработать послания для целевых аудиторий</w:t>
            </w:r>
          </w:p>
          <w:p w:rsidR="005E1C6E" w:rsidRDefault="005E1C6E" w:rsidP="005E1C6E">
            <w:pPr>
              <w:jc w:val="left"/>
            </w:pPr>
            <w:r>
              <w:t>.5 Разработать механизм для подачи отзывов и жалоб</w:t>
            </w:r>
          </w:p>
          <w:p w:rsidR="005E1C6E" w:rsidRPr="005E1C6E" w:rsidRDefault="005E1C6E" w:rsidP="005E1C6E">
            <w:pPr>
              <w:jc w:val="left"/>
            </w:pPr>
            <w:r>
              <w:t>.6 Ревизия и извлечение уроков</w:t>
            </w:r>
          </w:p>
        </w:tc>
        <w:tc>
          <w:tcPr>
            <w:tcW w:w="1892" w:type="dxa"/>
          </w:tcPr>
          <w:p w:rsidR="005E1C6E" w:rsidRDefault="005E1C6E" w:rsidP="005E1C6E">
            <w:pPr>
              <w:jc w:val="left"/>
            </w:pPr>
            <w:r>
              <w:t>.1 Провести исследование потенциальных поставщиков услуг</w:t>
            </w:r>
          </w:p>
          <w:p w:rsidR="005E1C6E" w:rsidRDefault="005E1C6E" w:rsidP="005E1C6E">
            <w:pPr>
              <w:jc w:val="left"/>
            </w:pPr>
            <w:r>
              <w:t>.2 Тендеры и выбор поставщиков услуг</w:t>
            </w:r>
          </w:p>
          <w:p w:rsidR="005E1C6E" w:rsidRDefault="005E1C6E" w:rsidP="005E1C6E">
            <w:pPr>
              <w:jc w:val="left"/>
            </w:pPr>
            <w:r>
              <w:t>.3 Заключение договоров и определение методов работы</w:t>
            </w:r>
          </w:p>
          <w:p w:rsidR="005E1C6E" w:rsidRPr="005E1C6E" w:rsidRDefault="005E1C6E" w:rsidP="005E1C6E">
            <w:pPr>
              <w:jc w:val="left"/>
            </w:pPr>
            <w:r>
              <w:t>.4 Обработка и защита данных бенефициаров</w:t>
            </w:r>
          </w:p>
        </w:tc>
        <w:tc>
          <w:tcPr>
            <w:tcW w:w="1951" w:type="dxa"/>
          </w:tcPr>
          <w:p w:rsidR="005E1C6E" w:rsidRDefault="005E1C6E" w:rsidP="005E1C6E">
            <w:pPr>
              <w:jc w:val="left"/>
            </w:pPr>
            <w:r>
              <w:t>.1 Спланировать регистрацию и подготовиться к ней</w:t>
            </w:r>
          </w:p>
          <w:p w:rsidR="005E1C6E" w:rsidRPr="005E1C6E" w:rsidRDefault="005E1C6E" w:rsidP="005E1C6E">
            <w:pPr>
              <w:jc w:val="left"/>
            </w:pPr>
            <w:r>
              <w:t>.2 Идентификация и проверка</w:t>
            </w:r>
          </w:p>
        </w:tc>
        <w:tc>
          <w:tcPr>
            <w:tcW w:w="1923" w:type="dxa"/>
          </w:tcPr>
          <w:p w:rsidR="005E1C6E" w:rsidRDefault="005E1C6E" w:rsidP="005E1C6E">
            <w:pPr>
              <w:jc w:val="left"/>
            </w:pPr>
            <w:r>
              <w:t>.1 Обучение и коммуникация</w:t>
            </w:r>
          </w:p>
          <w:p w:rsidR="005E1C6E" w:rsidRDefault="005E1C6E" w:rsidP="005E1C6E">
            <w:pPr>
              <w:jc w:val="left"/>
            </w:pPr>
            <w:r>
              <w:t>.2 Планирование и осуществление раздач</w:t>
            </w:r>
          </w:p>
          <w:p w:rsidR="005E1C6E" w:rsidRDefault="005E1C6E" w:rsidP="005E1C6E">
            <w:pPr>
              <w:jc w:val="left"/>
            </w:pPr>
            <w:r>
              <w:t>.3 Планирование обналичивания</w:t>
            </w:r>
          </w:p>
          <w:p w:rsidR="005E1C6E" w:rsidRPr="005E1C6E" w:rsidRDefault="005E1C6E" w:rsidP="005E1C6E">
            <w:pPr>
              <w:jc w:val="left"/>
            </w:pPr>
            <w:r>
              <w:t>.4 Осуществление обналичивания</w:t>
            </w:r>
          </w:p>
        </w:tc>
      </w:tr>
    </w:tbl>
    <w:p w:rsidR="00AA1E51" w:rsidRPr="006E3B4A" w:rsidRDefault="001C4B5C" w:rsidP="00372099">
      <w:pPr>
        <w:pStyle w:val="2"/>
        <w:rPr>
          <w:rFonts w:cs="Arial"/>
        </w:rPr>
      </w:pPr>
      <w:r>
        <w:t>ВВЕДЕНИЕ</w:t>
      </w:r>
    </w:p>
    <w:p w:rsidR="00AA1E51" w:rsidRPr="006E3B4A" w:rsidRDefault="001C4B5C" w:rsidP="006E3B4A">
      <w:pPr>
        <w:rPr>
          <w:rFonts w:cs="Arial"/>
        </w:rPr>
      </w:pPr>
      <w:r>
        <w:rPr>
          <w:color w:val="000000"/>
        </w:rPr>
        <w:t xml:space="preserve">Данная дорожная карта послужит необходимым руководством в том, как наладить коммуникацию с </w:t>
      </w:r>
      <w:r w:rsidR="005E1C6E">
        <w:rPr>
          <w:color w:val="000000"/>
        </w:rPr>
        <w:t>бенефициарами</w:t>
      </w:r>
      <w:r>
        <w:rPr>
          <w:color w:val="000000"/>
        </w:rPr>
        <w:t>, и как отчитываться перед ними.</w:t>
      </w:r>
      <w:r w:rsidR="005E1C6E">
        <w:rPr>
          <w:color w:val="000000"/>
        </w:rPr>
        <w:t xml:space="preserve"> </w:t>
      </w:r>
      <w:r>
        <w:t>Информируя людей о том, что вы делаете, вы проявляете уважение к сообществам, а также повышаете вероятность успеха программы.</w:t>
      </w:r>
      <w:r w:rsidR="005E1C6E">
        <w:t xml:space="preserve"> </w:t>
      </w:r>
      <w:r>
        <w:t>С помощью хорошего плана коммуникации можно наладить доверительные отношения, управлять ожиданиями, а также стимулировать вовлечённост</w:t>
      </w:r>
      <w:r w:rsidR="005E1C6E">
        <w:t>ь</w:t>
      </w:r>
      <w:r>
        <w:t xml:space="preserve"> и привлекать к сотрудничеству.</w:t>
      </w:r>
    </w:p>
    <w:p w:rsidR="00D33DE8" w:rsidRPr="006E3B4A" w:rsidRDefault="00D33DE8" w:rsidP="006E3B4A">
      <w:pPr>
        <w:rPr>
          <w:rFonts w:cs="Arial"/>
        </w:rPr>
      </w:pPr>
      <w:r>
        <w:t xml:space="preserve">В данной дорожной карте также выражены предположения о том, какие инструменты </w:t>
      </w:r>
      <w:r w:rsidR="000A3729">
        <w:t>методических материалов «</w:t>
      </w:r>
      <w:r>
        <w:t>Денежны</w:t>
      </w:r>
      <w:r w:rsidR="000A3729">
        <w:t>е</w:t>
      </w:r>
      <w:r>
        <w:t xml:space="preserve"> перевод</w:t>
      </w:r>
      <w:r w:rsidR="000A3729">
        <w:t>ы</w:t>
      </w:r>
      <w:r>
        <w:t xml:space="preserve"> в чрезвычайных ситуациях</w:t>
      </w:r>
      <w:r w:rsidR="000A3729">
        <w:t>»</w:t>
      </w:r>
      <w:r>
        <w:t xml:space="preserve"> наиболее полезны для данного </w:t>
      </w:r>
      <w:r w:rsidR="00D07CBF">
        <w:t>раздела</w:t>
      </w:r>
      <w:r>
        <w:t xml:space="preserve"> и </w:t>
      </w:r>
      <w:r w:rsidR="00D07CBF">
        <w:t>подразделов</w:t>
      </w:r>
      <w:r>
        <w:t>.</w:t>
      </w:r>
      <w:r w:rsidR="005E1C6E">
        <w:t xml:space="preserve"> </w:t>
      </w:r>
      <w:r>
        <w:t>Эти инструменты будет необходимо скорректировать согласно вашим потребностям и условиям.</w:t>
      </w:r>
    </w:p>
    <w:p w:rsidR="00D33DE8" w:rsidRPr="006E3B4A" w:rsidRDefault="00D33DE8" w:rsidP="006E3B4A">
      <w:pPr>
        <w:rPr>
          <w:rFonts w:cs="Arial"/>
        </w:rPr>
      </w:pPr>
      <w:r>
        <w:t>Вы должны всегда стремиться соблюдать минимал</w:t>
      </w:r>
      <w:r w:rsidR="00D07CBF">
        <w:t>ьные стандарты, перечисленные в этом разделе</w:t>
      </w:r>
      <w:r>
        <w:t>.  Это поможет повысить уровень качества ваших действий.</w:t>
      </w:r>
    </w:p>
    <w:p w:rsidR="00D33DE8" w:rsidRPr="006E3B4A" w:rsidRDefault="00D33DE8" w:rsidP="006E3B4A">
      <w:pPr>
        <w:rPr>
          <w:rFonts w:cs="Arial"/>
        </w:rPr>
      </w:pPr>
      <w:r>
        <w:t>Вероятно, по мере того как завершаются процессы и информация поступает в каждый под</w:t>
      </w:r>
      <w:r w:rsidR="00D07CBF">
        <w:t>раздел</w:t>
      </w:r>
      <w:r>
        <w:t xml:space="preserve">, для принятия решений вам потребуется </w:t>
      </w:r>
      <w:r>
        <w:rPr>
          <w:b/>
        </w:rPr>
        <w:t>переходить от одного под</w:t>
      </w:r>
      <w:r w:rsidR="00D07CBF">
        <w:rPr>
          <w:b/>
        </w:rPr>
        <w:t>раздела</w:t>
      </w:r>
      <w:r>
        <w:rPr>
          <w:b/>
        </w:rPr>
        <w:t xml:space="preserve"> к другому</w:t>
      </w:r>
      <w:r>
        <w:t>.</w:t>
      </w:r>
    </w:p>
    <w:p w:rsidR="00D33DE8" w:rsidRPr="006E3B4A" w:rsidRDefault="00D33DE8" w:rsidP="006E3B4A">
      <w:r>
        <w:t xml:space="preserve">Если вам потребуется более детальное руководство по коммуникации с </w:t>
      </w:r>
      <w:r w:rsidR="005E1C6E">
        <w:t>бенефициарами</w:t>
      </w:r>
      <w:r>
        <w:t xml:space="preserve"> и отчётности, обратитесь к справочным документам, перечисленным в конце данной дорожной карты.</w:t>
      </w:r>
    </w:p>
    <w:p w:rsidR="00DD6D92" w:rsidRPr="006E3B4A" w:rsidRDefault="001C4B5C" w:rsidP="006E3B4A">
      <w:pPr>
        <w:pStyle w:val="2"/>
      </w:pPr>
      <w:r>
        <w:lastRenderedPageBreak/>
        <w:t>МИНИМАЛЬНЫЕ СТАНДАРТЫ</w:t>
      </w:r>
    </w:p>
    <w:p w:rsidR="00AA1E51" w:rsidRPr="006E3B4A" w:rsidRDefault="001C4B5C" w:rsidP="006E3B4A">
      <w:pPr>
        <w:pStyle w:val="Bullet1"/>
      </w:pPr>
      <w:r>
        <w:t xml:space="preserve">Разработайте план коммуникации с </w:t>
      </w:r>
      <w:r w:rsidR="002F0F57">
        <w:t>бенефициарами</w:t>
      </w:r>
      <w:r>
        <w:t xml:space="preserve"> и отчётности, так чтобы он включал ваших партнёров, и чтобы в нём были чётко определены роли и зоны ответственности.</w:t>
      </w:r>
    </w:p>
    <w:p w:rsidR="00AA1E51" w:rsidRPr="006E3B4A" w:rsidRDefault="000A3729" w:rsidP="006E3B4A">
      <w:pPr>
        <w:pStyle w:val="Bullet1"/>
      </w:pPr>
      <w:r>
        <w:t>Установите системны</w:t>
      </w:r>
      <w:r w:rsidR="001C4B5C">
        <w:t>е прозрачные механизмы, с помощью которых пострадавшие от стихийного бедствия или конфликта люди смогут регулярно оставлять свои отзывы и влиять на ход программы (Sphere)</w:t>
      </w:r>
    </w:p>
    <w:p w:rsidR="00AA1E51" w:rsidRPr="006E3B4A" w:rsidRDefault="001C4B5C" w:rsidP="006E3B4A">
      <w:pPr>
        <w:pStyle w:val="Bullet1"/>
      </w:pPr>
      <w:r>
        <w:t>Дайте людям возможность направлять жалобы легко и безопасно, установите прозрачные, с чёткими временными рамками процедуры для ответа и ответных мер (Sphere)</w:t>
      </w:r>
    </w:p>
    <w:p w:rsidR="00AA1E51" w:rsidRPr="006E3B4A" w:rsidRDefault="001C4B5C" w:rsidP="006E3B4A">
      <w:pPr>
        <w:pStyle w:val="Bullet1"/>
      </w:pPr>
      <w:r>
        <w:t>Добейтесь того, чтобы по всем отзывам и жалобам проводилась дальнейшая работа, и все вопросы получили соответствующее внимание</w:t>
      </w:r>
    </w:p>
    <w:p w:rsidR="00726C05" w:rsidRPr="006E3B4A" w:rsidRDefault="00014E3A" w:rsidP="006E3B4A">
      <w:pPr>
        <w:pStyle w:val="Bullet1"/>
      </w:pPr>
      <w:r>
        <w:t xml:space="preserve">Разработайте внутренний механизм обратной связи (систему информирования о нарушениях), чтобы сотрудники и </w:t>
      </w:r>
      <w:r w:rsidR="002F0F57">
        <w:t>добровольцы</w:t>
      </w:r>
      <w:r>
        <w:t xml:space="preserve"> могли сообщать о предполагаемых ошибочных действиях и мошенничестве.</w:t>
      </w:r>
    </w:p>
    <w:p w:rsidR="00AA3D8F" w:rsidRPr="006E3B4A" w:rsidRDefault="00D07CBF" w:rsidP="006E3B4A">
      <w:pPr>
        <w:pStyle w:val="2"/>
      </w:pPr>
      <w:r>
        <w:t>ПОДраздел</w:t>
      </w:r>
      <w:r w:rsidR="001C4B5C">
        <w:t>Ы И ИНСТРУМЕНТЫ</w:t>
      </w:r>
    </w:p>
    <w:p w:rsidR="00B83A71" w:rsidRPr="006E3B4A" w:rsidRDefault="001C4B5C" w:rsidP="006E3B4A">
      <w:pPr>
        <w:pStyle w:val="3"/>
      </w:pPr>
      <w:r>
        <w:t xml:space="preserve">Разработайте план </w:t>
      </w:r>
      <w:r w:rsidR="002F0F57">
        <w:t>КБО</w:t>
      </w:r>
    </w:p>
    <w:p w:rsidR="004420EF" w:rsidRPr="006E3B4A" w:rsidRDefault="001C4B5C" w:rsidP="003371FC">
      <w:pPr>
        <w:rPr>
          <w:rFonts w:cs="Arial"/>
        </w:rPr>
      </w:pPr>
      <w:r>
        <w:rPr>
          <w:color w:val="000000"/>
          <w:szCs w:val="22"/>
        </w:rPr>
        <w:t xml:space="preserve">В плане коммуникации с </w:t>
      </w:r>
      <w:r w:rsidR="002F0F57">
        <w:rPr>
          <w:color w:val="000000"/>
          <w:szCs w:val="22"/>
        </w:rPr>
        <w:t>бенефициарами</w:t>
      </w:r>
      <w:r>
        <w:rPr>
          <w:color w:val="000000"/>
          <w:szCs w:val="22"/>
        </w:rPr>
        <w:t xml:space="preserve"> и отчётности (</w:t>
      </w:r>
      <w:r w:rsidR="002F0F57">
        <w:rPr>
          <w:color w:val="000000"/>
          <w:szCs w:val="22"/>
        </w:rPr>
        <w:t>КБО</w:t>
      </w:r>
      <w:r>
        <w:rPr>
          <w:color w:val="000000"/>
          <w:szCs w:val="22"/>
        </w:rPr>
        <w:t>) определяется подход, используемый в программе для коммуникации с сообществами.</w:t>
      </w:r>
      <w:r w:rsidR="002F0F57">
        <w:rPr>
          <w:color w:val="000000"/>
          <w:szCs w:val="22"/>
        </w:rPr>
        <w:t xml:space="preserve"> </w:t>
      </w:r>
      <w:r>
        <w:t>Для того чтобы осуществить ваш план коммуникации вам может потребоваться использовать ряд мероприятий.</w:t>
      </w:r>
      <w:r w:rsidR="002F0F57">
        <w:t xml:space="preserve"> </w:t>
      </w:r>
      <w:r>
        <w:t>Мероприятия могут быть одноразовыми, периодическими или непрерывными.</w:t>
      </w:r>
      <w:r w:rsidR="002F0F57">
        <w:t xml:space="preserve"> </w:t>
      </w:r>
      <w:r>
        <w:t>Обдумайте порядок, в каком различным людям нужно сообщать информацию.</w:t>
      </w:r>
      <w:r w:rsidR="002F0F57">
        <w:t xml:space="preserve"> </w:t>
      </w:r>
      <w:r>
        <w:t>Например, возможно, следует проинформировать сотрудников прежде</w:t>
      </w:r>
      <w:r w:rsidR="002F0F57">
        <w:t>,</w:t>
      </w:r>
      <w:r>
        <w:t xml:space="preserve"> чем они могут объяснить суть программы другим людям.</w:t>
      </w:r>
      <w:r w:rsidR="002F0F57">
        <w:t xml:space="preserve"> </w:t>
      </w:r>
      <w:r>
        <w:t>Часто в ходе программы бывает необходимо информировать лидеров сообществ и других групп сообщества прежде более широкой общественности.</w:t>
      </w:r>
    </w:p>
    <w:p w:rsidR="00770B93" w:rsidRPr="006E3B4A" w:rsidRDefault="00D07CBF" w:rsidP="003371FC">
      <w:pPr>
        <w:rPr>
          <w:rFonts w:cs="Arial"/>
          <w:color w:val="000000"/>
          <w:szCs w:val="22"/>
        </w:rPr>
      </w:pPr>
      <w:r>
        <w:t>Инструменты подраздела</w:t>
      </w:r>
      <w:r w:rsidR="001C4B5C">
        <w:t xml:space="preserve"> помогут вам задать правильные вопросы и ответить на них в ходе процесса, а также разработать план </w:t>
      </w:r>
      <w:r w:rsidR="002F0F57">
        <w:t>КБО</w:t>
      </w:r>
      <w:r w:rsidR="001C4B5C">
        <w:t xml:space="preserve"> и бюджет.</w:t>
      </w:r>
    </w:p>
    <w:p w:rsidR="00163CDE" w:rsidRPr="006E3B4A" w:rsidRDefault="001C4B5C" w:rsidP="006E3B4A">
      <w:pPr>
        <w:pStyle w:val="3"/>
      </w:pPr>
      <w:r>
        <w:t>Повышение квалификации сотрудников</w:t>
      </w:r>
    </w:p>
    <w:p w:rsidR="00BF1903" w:rsidRPr="006E3B4A" w:rsidRDefault="001C4B5C" w:rsidP="006E3B4A">
      <w:r>
        <w:t xml:space="preserve">Учитывая особые культурные и прочие условия, в которых необходимо вести коммуникацию, для успешной работы программы </w:t>
      </w:r>
      <w:r w:rsidR="002F0F57">
        <w:t>чрезвычайно</w:t>
      </w:r>
      <w:r>
        <w:t xml:space="preserve"> важно хорошо подготовить </w:t>
      </w:r>
      <w:r w:rsidR="002F0F57">
        <w:t>добровольцев</w:t>
      </w:r>
      <w:r>
        <w:t xml:space="preserve"> и местный персонал в вопросах </w:t>
      </w:r>
      <w:r w:rsidR="002F0F57">
        <w:t>КБО</w:t>
      </w:r>
      <w:r>
        <w:t>.</w:t>
      </w:r>
      <w:r w:rsidR="002F0F57">
        <w:t xml:space="preserve"> </w:t>
      </w:r>
      <w:r>
        <w:t xml:space="preserve">Мероприятия по обучению </w:t>
      </w:r>
      <w:r w:rsidR="002F0F57">
        <w:t>добровольцев</w:t>
      </w:r>
      <w:r>
        <w:t xml:space="preserve"> и персонала по вопросам </w:t>
      </w:r>
      <w:r w:rsidR="002F0F57">
        <w:t>КБО</w:t>
      </w:r>
      <w:r>
        <w:t xml:space="preserve"> должны быть включены во все программы.</w:t>
      </w:r>
      <w:r w:rsidR="002F0F57">
        <w:t xml:space="preserve"> </w:t>
      </w:r>
      <w:r>
        <w:t xml:space="preserve">Целью данных мероприятий должно быть повышение квалификации сотрудников и </w:t>
      </w:r>
      <w:r w:rsidR="002F0F57">
        <w:t>добровольцев для</w:t>
      </w:r>
      <w:r>
        <w:t xml:space="preserve"> коммуникации с пострадавшим населением, а также в использовании инструментов </w:t>
      </w:r>
      <w:r w:rsidR="002F0F57">
        <w:t>КБО</w:t>
      </w:r>
      <w:r>
        <w:t xml:space="preserve"> при работе с информацией.</w:t>
      </w:r>
      <w:r w:rsidR="002F0F57">
        <w:t xml:space="preserve"> </w:t>
      </w:r>
      <w:r>
        <w:t xml:space="preserve">Следует разработать и ввести в работу учебную программу для </w:t>
      </w:r>
      <w:r w:rsidR="002F0F57">
        <w:t>добровольцев</w:t>
      </w:r>
      <w:r>
        <w:t xml:space="preserve"> и сотрудников.</w:t>
      </w:r>
    </w:p>
    <w:p w:rsidR="00163CDE" w:rsidRPr="006E3B4A" w:rsidRDefault="001C4B5C" w:rsidP="006E3B4A">
      <w:pPr>
        <w:pStyle w:val="3"/>
      </w:pPr>
      <w:r>
        <w:t>Выберите каналы и инструменты коммуникации</w:t>
      </w:r>
    </w:p>
    <w:p w:rsidR="00163CDE" w:rsidRPr="006E3B4A" w:rsidRDefault="001C4B5C" w:rsidP="006E3B4A">
      <w:r>
        <w:t>Условия работы, задачи и целевая аудитория помогут вам определить, какие каналы и инструменты коммуникации будут наиболее подходящими.</w:t>
      </w:r>
      <w:r w:rsidR="002F0F57">
        <w:t xml:space="preserve"> </w:t>
      </w:r>
      <w:r>
        <w:t>В идеале вы должны стремиться к тому, чтобы выбрать от двух до четырёх каналов или инструментов и сделать их приоритетными (совмещая устные и письменные).</w:t>
      </w:r>
    </w:p>
    <w:p w:rsidR="00163CDE" w:rsidRPr="006E3B4A" w:rsidRDefault="001C4B5C" w:rsidP="006E3B4A">
      <w:pPr>
        <w:pStyle w:val="3"/>
      </w:pPr>
      <w:r>
        <w:t>Разработайте послание для целевой аудитории</w:t>
      </w:r>
    </w:p>
    <w:p w:rsidR="00163CDE" w:rsidRPr="006E3B4A" w:rsidRDefault="001F45CB" w:rsidP="006E3B4A">
      <w:r>
        <w:t>Прежде всего</w:t>
      </w:r>
      <w:r w:rsidR="000A3729">
        <w:t>,</w:t>
      </w:r>
      <w:r>
        <w:t xml:space="preserve"> вам следует установить, какие группы внутри сообщества или за его пределами могут влиять на мероприятия программы или испытывать их влияние на себе.</w:t>
      </w:r>
      <w:r w:rsidR="002F0F57">
        <w:t xml:space="preserve"> </w:t>
      </w:r>
      <w:r>
        <w:t>Затем вам следует определить, какую информацию сообщать каждой группе для достижения целей программы.</w:t>
      </w:r>
      <w:r w:rsidR="002F0F57">
        <w:t xml:space="preserve"> </w:t>
      </w:r>
      <w:r w:rsidR="00D07CBF">
        <w:t>Инструменты подраздел</w:t>
      </w:r>
      <w:r>
        <w:t>а могут помочь вам определить, какую информацию необходимо сообщить различным аудиториям.</w:t>
      </w:r>
      <w:r w:rsidR="002F0F57">
        <w:t xml:space="preserve"> </w:t>
      </w:r>
      <w:r>
        <w:t>В наборе инструментов вы найдёте список часто задаваемых вопросов о программе, на которые сотрудники должны быть готовы ответить, а также десять правил успешной коммуникации с получателями помощи.</w:t>
      </w:r>
    </w:p>
    <w:p w:rsidR="00163CDE" w:rsidRPr="006E3B4A" w:rsidRDefault="001F45CB" w:rsidP="006E3B4A">
      <w:pPr>
        <w:pStyle w:val="3"/>
      </w:pPr>
      <w:r>
        <w:lastRenderedPageBreak/>
        <w:t>Разработайте и установите механизм обратной связи и подачи жалоб (МЖ)</w:t>
      </w:r>
    </w:p>
    <w:p w:rsidR="00C17CED" w:rsidRPr="006E3B4A" w:rsidRDefault="001C4B5C" w:rsidP="00165324">
      <w:pPr>
        <w:spacing w:after="240"/>
      </w:pPr>
      <w:r>
        <w:t xml:space="preserve">В плане </w:t>
      </w:r>
      <w:r w:rsidR="002F0F57">
        <w:t>КБО</w:t>
      </w:r>
      <w:r>
        <w:t xml:space="preserve"> должны быть предусмотрены систематический обмен информацией и двусторонняя коммуникация, должен приветствоваться диалог, а у организаций должна быть возможность получать от сообществ идеи, предложения и отзывы.</w:t>
      </w:r>
      <w:r w:rsidR="002F0F57">
        <w:t xml:space="preserve"> </w:t>
      </w:r>
      <w:r>
        <w:t xml:space="preserve">Для этого потребуется разработать механизм подачи жалоб и ответа на них (МЖ), который будет нацелен на </w:t>
      </w:r>
      <w:r w:rsidR="002F0F57">
        <w:t>работу с отзывами</w:t>
      </w:r>
      <w:r>
        <w:t xml:space="preserve"> </w:t>
      </w:r>
      <w:r w:rsidR="002F0F57">
        <w:t>бенефициаров</w:t>
      </w:r>
      <w:r>
        <w:t>, на которые обязательно должен быть дан ответ.</w:t>
      </w:r>
      <w:r w:rsidR="002F0F57">
        <w:t xml:space="preserve"> </w:t>
      </w:r>
      <w:r>
        <w:t>Следует рекомендовать использовать термин механизм «отзывов и жалоб», чтобы фокусироваться как на положительных, так и отрицательных отзывах.</w:t>
      </w:r>
    </w:p>
    <w:tbl>
      <w:tblPr>
        <w:tblStyle w:val="a6"/>
        <w:tblW w:w="4918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6"/>
      </w:tblGrid>
      <w:tr w:rsidR="00C17CED" w:rsidRPr="006E3B4A" w:rsidTr="00165324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720C0F" w:rsidRPr="00866875" w:rsidRDefault="001C4B5C" w:rsidP="00165324">
            <w:pPr>
              <w:spacing w:before="24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Преимущества механизмов отзывов и жалоб</w:t>
            </w:r>
          </w:p>
          <w:p w:rsidR="00720C0F" w:rsidRPr="006E3B4A" w:rsidRDefault="001C4B5C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 xml:space="preserve">Признают достоинство и права </w:t>
            </w:r>
            <w:r w:rsidR="002F0F57">
              <w:t>бенефициаров</w:t>
            </w:r>
            <w:r>
              <w:t xml:space="preserve"> проекта, включая их право выражать своё мнение и высказывать замечания</w:t>
            </w:r>
          </w:p>
          <w:p w:rsidR="00720C0F" w:rsidRPr="006E3B4A" w:rsidRDefault="001C4B5C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Повышает степень отчётности перед сообществами, получающими поддержку, и другими партнёрами</w:t>
            </w:r>
          </w:p>
          <w:p w:rsidR="004C0A9B" w:rsidRPr="006E3B4A" w:rsidRDefault="001C4B5C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Позволяет на ранних стадиях выявлять сложности и риски и справляться с ними</w:t>
            </w:r>
          </w:p>
          <w:p w:rsidR="004C0A9B" w:rsidRPr="006E3B4A" w:rsidRDefault="001C4B5C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Персонал получает возможность исследовать возникающие сложности и реагировать на них, таким образом</w:t>
            </w:r>
            <w:r w:rsidR="000A3729">
              <w:t>,</w:t>
            </w:r>
            <w:r>
              <w:t xml:space="preserve"> повышается уровень защиты персонала.</w:t>
            </w:r>
          </w:p>
          <w:p w:rsidR="00B070C0" w:rsidRPr="006E3B4A" w:rsidRDefault="002F0F57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Повышается степень защиты н</w:t>
            </w:r>
            <w:r w:rsidR="00B070C0">
              <w:t>ациональных обществ от непроверенных слухов и предположений</w:t>
            </w:r>
          </w:p>
          <w:p w:rsidR="00B070C0" w:rsidRPr="006E3B4A" w:rsidRDefault="00B070C0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Демонстрирует донорам компетентность сотрудников и прозрачность работы</w:t>
            </w:r>
          </w:p>
          <w:p w:rsidR="00F276AC" w:rsidRPr="006E3B4A" w:rsidRDefault="001C4B5C" w:rsidP="00165324">
            <w:pPr>
              <w:pStyle w:val="BulletTableau"/>
              <w:framePr w:wrap="around"/>
              <w:spacing w:beforeLines="0" w:afterLines="0"/>
              <w:ind w:left="714" w:hanging="357"/>
            </w:pPr>
            <w:r>
              <w:t>Приветствует непрерывное обучение и улучшение</w:t>
            </w:r>
          </w:p>
        </w:tc>
      </w:tr>
    </w:tbl>
    <w:p w:rsidR="00011A0F" w:rsidRPr="006E3B4A" w:rsidRDefault="001C4B5C" w:rsidP="003348BB">
      <w:pPr>
        <w:spacing w:before="120"/>
        <w:rPr>
          <w:rFonts w:cs="Arial"/>
        </w:rPr>
      </w:pPr>
      <w:r>
        <w:t>Среди инст</w:t>
      </w:r>
      <w:r w:rsidR="00D07CBF">
        <w:t>рументов, предоставленных вам в этом подраздел</w:t>
      </w:r>
      <w:r>
        <w:t>е, вы найдёте ключевые инструменты, которые следует учесть до и во время разработки и налаживания успешно функционирующего МЖ, а также практические инструменты, разработанные на основе опыта МЖ Ливанского Красного Креста.  Они должны стать для вас основой для разработки собственных инструментов и процедур.</w:t>
      </w:r>
    </w:p>
    <w:p w:rsidR="004E5AAA" w:rsidRPr="006E3B4A" w:rsidRDefault="001C4B5C" w:rsidP="004E5AAA">
      <w:pPr>
        <w:spacing w:before="120"/>
        <w:rPr>
          <w:rFonts w:cs="Arial"/>
          <w:szCs w:val="30"/>
        </w:rPr>
      </w:pPr>
      <w:r>
        <w:t xml:space="preserve">Помимо МЖ, основанного на отзывах от </w:t>
      </w:r>
      <w:r w:rsidR="002F0F57">
        <w:t>бенефициаров, следует внедрить си</w:t>
      </w:r>
      <w:r>
        <w:t xml:space="preserve">стему, позволяющую </w:t>
      </w:r>
      <w:r w:rsidR="002F0F57">
        <w:t>добровольцам</w:t>
      </w:r>
      <w:r>
        <w:t xml:space="preserve"> и сотрудникам выявлять предполагаемые ошибки и </w:t>
      </w:r>
      <w:r w:rsidR="002F0F57">
        <w:t>случаи мошенничества</w:t>
      </w:r>
      <w:r>
        <w:t>.</w:t>
      </w:r>
      <w:r w:rsidR="002F0F57">
        <w:t xml:space="preserve"> </w:t>
      </w:r>
      <w:r>
        <w:t xml:space="preserve">Это чрезвычайно для </w:t>
      </w:r>
      <w:r w:rsidR="002F0F57">
        <w:t>ПДП</w:t>
      </w:r>
      <w:r>
        <w:t>, так как подобные угрозы могут возникнуть при работе с крупными суммами денег.</w:t>
      </w:r>
    </w:p>
    <w:p w:rsidR="00093556" w:rsidRPr="006E3B4A" w:rsidRDefault="001C4B5C" w:rsidP="006E3B4A">
      <w:pPr>
        <w:pStyle w:val="3"/>
      </w:pPr>
      <w:r>
        <w:t>Ревизия и уроки</w:t>
      </w:r>
    </w:p>
    <w:p w:rsidR="001A2B87" w:rsidRDefault="00612A1C" w:rsidP="00165324">
      <w:pPr>
        <w:spacing w:after="360"/>
        <w:rPr>
          <w:rFonts w:cs="Arial"/>
        </w:rPr>
      </w:pPr>
      <w:r>
        <w:t xml:space="preserve">Ревизия </w:t>
      </w:r>
      <w:r w:rsidR="002F0F57">
        <w:t>КБО</w:t>
      </w:r>
      <w:r>
        <w:t xml:space="preserve"> может быть как отдельным мероприятием, так и частью общей ревизии программы.</w:t>
      </w:r>
      <w:r w:rsidR="002F0F57">
        <w:t xml:space="preserve"> </w:t>
      </w:r>
      <w:r>
        <w:t xml:space="preserve">Прежде чем приступить к исполнению плана, вам следует решить вместе с командой, каким образом и когда будет проходить ревизия плана </w:t>
      </w:r>
      <w:r w:rsidR="002F0F57">
        <w:t>КБО</w:t>
      </w:r>
      <w:r>
        <w:t>.</w:t>
      </w:r>
      <w:r w:rsidR="002F0F57">
        <w:t xml:space="preserve"> </w:t>
      </w:r>
      <w:r>
        <w:t>Это напомнит сотрудникам о важности обучения и постоянного повышения качества работы.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916"/>
      </w:tblGrid>
      <w:tr w:rsidR="00165324" w:rsidRPr="00D07CBF" w:rsidTr="00165324">
        <w:tc>
          <w:tcPr>
            <w:tcW w:w="9848" w:type="dxa"/>
          </w:tcPr>
          <w:p w:rsidR="00165324" w:rsidRPr="006E3B4A" w:rsidRDefault="00165324" w:rsidP="00165324">
            <w:pPr>
              <w:pStyle w:val="RefTitre"/>
            </w:pPr>
            <w:r>
              <w:t>СПРАВОЧНЫЕ ДОКУМЕНТЫ</w:t>
            </w:r>
          </w:p>
          <w:p w:rsidR="00165324" w:rsidRPr="006E3B4A" w:rsidRDefault="00165324" w:rsidP="00165324">
            <w:pPr>
              <w:pStyle w:val="RefItem1"/>
              <w:rPr>
                <w:color w:val="0000FF"/>
                <w:u w:val="single"/>
              </w:rPr>
            </w:pPr>
            <w:r>
              <w:t xml:space="preserve">Коммуникация с </w:t>
            </w:r>
            <w:r w:rsidR="002F0F57">
              <w:t>бенефициарами</w:t>
            </w:r>
            <w:r>
              <w:t xml:space="preserve"> и отчётность (МФОККиКП) / Beneficiary Communication and Accountability (IFRC) </w:t>
            </w:r>
            <w:hyperlink r:id="rId7" w:history="1">
              <w:r>
                <w:rPr>
                  <w:rStyle w:val="af1"/>
                </w:rPr>
                <w:t>http://www.ifrc.org/PageFiles/94411/IFRC%20BCA%20Lesson%20Learned%20doc_final.pdf</w:t>
              </w:r>
            </w:hyperlink>
          </w:p>
          <w:p w:rsidR="00165324" w:rsidRPr="006E3B4A" w:rsidRDefault="00165324" w:rsidP="00165324">
            <w:pPr>
              <w:pStyle w:val="RefItem1"/>
              <w:rPr>
                <w:color w:val="0000FF"/>
              </w:rPr>
            </w:pPr>
            <w:r>
              <w:t xml:space="preserve">Коммуникация с </w:t>
            </w:r>
            <w:r w:rsidR="000A3729">
              <w:t>деньгами</w:t>
            </w:r>
            <w:r w:rsidR="002F0F57">
              <w:t>:</w:t>
            </w:r>
            <w:r>
              <w:t xml:space="preserve"> Руководство по коммуникации </w:t>
            </w:r>
            <w:r w:rsidR="002F0F57">
              <w:t>бенефициарами</w:t>
            </w:r>
            <w:r>
              <w:t xml:space="preserve"> в программах</w:t>
            </w:r>
            <w:r w:rsidR="002F0F57">
              <w:t xml:space="preserve"> денежных</w:t>
            </w:r>
            <w:r>
              <w:t xml:space="preserve"> переводов </w:t>
            </w:r>
            <w:r w:rsidR="002F0F57">
              <w:t xml:space="preserve">/Communicating cash: </w:t>
            </w:r>
            <w:r>
              <w:t>A field guide to beneficiary communications in cash transfer programming.CaLP (2011)</w:t>
            </w:r>
            <w:r>
              <w:rPr>
                <w:color w:val="0000FF"/>
              </w:rPr>
              <w:br/>
            </w:r>
            <w:hyperlink r:id="rId8" w:history="1">
              <w:r>
                <w:rPr>
                  <w:rStyle w:val="af1"/>
                </w:rPr>
                <w:t>http://www.cashlearning.org/resources/library/28-communicating-cash-a-field-guide-to-beneficiary-communications-in-cash-transfer-programmeming-screen-version</w:t>
              </w:r>
            </w:hyperlink>
          </w:p>
          <w:p w:rsidR="00165324" w:rsidRPr="000A3729" w:rsidRDefault="00165324" w:rsidP="00165324">
            <w:pPr>
              <w:pStyle w:val="RefItem1"/>
              <w:rPr>
                <w:lang w:val="en-US"/>
              </w:rPr>
            </w:pPr>
            <w:r>
              <w:t>Разработайте план коммуникации за девять шагов</w:t>
            </w:r>
            <w:r w:rsidR="002F0F57">
              <w:t>.</w:t>
            </w:r>
            <w:r>
              <w:t xml:space="preserve"> </w:t>
            </w:r>
            <w:r w:rsidR="002F0F57">
              <w:t>Инструменты</w:t>
            </w:r>
            <w:r w:rsidR="002F0F57" w:rsidRPr="002F0F57">
              <w:rPr>
                <w:lang w:val="en-US"/>
              </w:rPr>
              <w:t xml:space="preserve"> </w:t>
            </w:r>
            <w:r w:rsidR="002F0F57">
              <w:t>для</w:t>
            </w:r>
            <w:r w:rsidR="002F0F57" w:rsidRPr="002F0F57">
              <w:rPr>
                <w:lang w:val="en-US"/>
              </w:rPr>
              <w:t xml:space="preserve"> </w:t>
            </w:r>
            <w:r w:rsidR="002F0F57">
              <w:t>коммуникации</w:t>
            </w:r>
            <w:r w:rsidR="002F0F57" w:rsidRPr="002F0F57">
              <w:rPr>
                <w:lang w:val="en-US"/>
              </w:rPr>
              <w:t xml:space="preserve"> </w:t>
            </w:r>
            <w:r w:rsidRPr="002F0F57">
              <w:rPr>
                <w:lang w:val="en-US"/>
              </w:rPr>
              <w:t>/ Develop a communication plan in nine steps.</w:t>
            </w:r>
            <w:r w:rsidR="002F0F57">
              <w:rPr>
                <w:lang w:val="en-US"/>
              </w:rPr>
              <w:t xml:space="preserve"> </w:t>
            </w:r>
            <w:r w:rsidRPr="002F0F57">
              <w:rPr>
                <w:lang w:val="en-US"/>
              </w:rPr>
              <w:t>Communication toolbox CRS.</w:t>
            </w:r>
            <w:r w:rsidRPr="002F0F57">
              <w:rPr>
                <w:lang w:val="en-US"/>
              </w:rPr>
              <w:br/>
            </w:r>
            <w:hyperlink r:id="rId9" w:history="1">
              <w:r w:rsidRPr="000A3729">
                <w:rPr>
                  <w:rStyle w:val="af1"/>
                  <w:lang w:val="en-US"/>
                </w:rPr>
                <w:t>http://www.crsprogrammequality.org/storage/pubs/general/communication-toolbox-template-develop-a-communication-plan.pdf</w:t>
              </w:r>
            </w:hyperlink>
          </w:p>
          <w:p w:rsidR="00165324" w:rsidRPr="009634C4" w:rsidRDefault="00165324" w:rsidP="00866875">
            <w:pPr>
              <w:pStyle w:val="RefItem1"/>
              <w:rPr>
                <w:rStyle w:val="af1"/>
                <w:rFonts w:eastAsia="Times New Roman" w:cs="Arial"/>
                <w:szCs w:val="22"/>
                <w:lang w:val="en-US"/>
              </w:rPr>
            </w:pPr>
            <w:r>
              <w:t>Внедрение</w:t>
            </w:r>
            <w:r w:rsidRPr="009634C4">
              <w:rPr>
                <w:lang w:val="en-US"/>
              </w:rPr>
              <w:t xml:space="preserve"> </w:t>
            </w:r>
            <w:r>
              <w:t>механизма</w:t>
            </w:r>
            <w:r w:rsidRPr="009634C4">
              <w:rPr>
                <w:lang w:val="en-US"/>
              </w:rPr>
              <w:t xml:space="preserve"> </w:t>
            </w:r>
            <w:r>
              <w:t>подачи</w:t>
            </w:r>
            <w:r w:rsidRPr="009634C4">
              <w:rPr>
                <w:lang w:val="en-US"/>
              </w:rPr>
              <w:t xml:space="preserve"> </w:t>
            </w:r>
            <w:r>
              <w:t>жалоб</w:t>
            </w:r>
            <w:r w:rsidRPr="009634C4">
              <w:rPr>
                <w:lang w:val="en-US"/>
              </w:rPr>
              <w:t xml:space="preserve"> / Setting up Complaints Response Mechanisms (Save the Children International) </w:t>
            </w:r>
            <w:r w:rsidRPr="009634C4">
              <w:rPr>
                <w:lang w:val="en-US"/>
              </w:rPr>
              <w:br/>
            </w:r>
            <w:hyperlink r:id="rId10" w:history="1">
              <w:r w:rsidRPr="009634C4">
                <w:rPr>
                  <w:rStyle w:val="af1"/>
                  <w:lang w:val="en-US"/>
                </w:rPr>
                <w:t>http://www.qualityandaccountabilitynetwork.care2share.wikispaces.net/file/view/2011+SCF+CRM+guide+FINAL.pdf</w:t>
              </w:r>
            </w:hyperlink>
          </w:p>
          <w:p w:rsidR="007561F5" w:rsidRPr="009634C4" w:rsidRDefault="007561F5" w:rsidP="007561F5">
            <w:pPr>
              <w:spacing w:after="0"/>
              <w:jc w:val="left"/>
              <w:rPr>
                <w:rFonts w:eastAsia="Times New Roman" w:cs="Arial"/>
                <w:lang w:val="en-US"/>
              </w:rPr>
            </w:pPr>
            <w:r>
              <w:t>Качество</w:t>
            </w:r>
            <w:r w:rsidRPr="009634C4">
              <w:rPr>
                <w:lang w:val="en-US"/>
              </w:rPr>
              <w:t xml:space="preserve"> </w:t>
            </w:r>
            <w:r>
              <w:t>программ</w:t>
            </w:r>
            <w:r w:rsidRPr="009634C4">
              <w:rPr>
                <w:lang w:val="en-US"/>
              </w:rPr>
              <w:t xml:space="preserve">, </w:t>
            </w:r>
            <w:r>
              <w:t>в</w:t>
            </w:r>
            <w:r w:rsidRPr="009634C4">
              <w:rPr>
                <w:lang w:val="en-US"/>
              </w:rPr>
              <w:t xml:space="preserve"> </w:t>
            </w:r>
            <w:r>
              <w:t>Оперативном</w:t>
            </w:r>
            <w:r w:rsidRPr="009634C4">
              <w:rPr>
                <w:lang w:val="en-US"/>
              </w:rPr>
              <w:t xml:space="preserve"> </w:t>
            </w:r>
            <w:r>
              <w:t>руководстве</w:t>
            </w:r>
            <w:r w:rsidRPr="009634C4">
              <w:rPr>
                <w:lang w:val="en-US"/>
              </w:rPr>
              <w:t xml:space="preserve"> </w:t>
            </w:r>
            <w:r>
              <w:t>и</w:t>
            </w:r>
            <w:r w:rsidRPr="009634C4">
              <w:rPr>
                <w:lang w:val="en-US"/>
              </w:rPr>
              <w:t xml:space="preserve"> </w:t>
            </w:r>
            <w:r>
              <w:t>наборе</w:t>
            </w:r>
            <w:r w:rsidRPr="009634C4">
              <w:rPr>
                <w:lang w:val="en-US"/>
              </w:rPr>
              <w:t xml:space="preserve"> </w:t>
            </w:r>
            <w:r>
              <w:t>инструментов</w:t>
            </w:r>
            <w:r w:rsidRPr="009634C4">
              <w:rPr>
                <w:lang w:val="en-US"/>
              </w:rPr>
              <w:t xml:space="preserve"> </w:t>
            </w:r>
            <w:r>
              <w:t>для</w:t>
            </w:r>
            <w:r w:rsidRPr="009634C4">
              <w:rPr>
                <w:lang w:val="en-US"/>
              </w:rPr>
              <w:t xml:space="preserve"> </w:t>
            </w:r>
            <w:r>
              <w:t>многоцелевых</w:t>
            </w:r>
            <w:r w:rsidRPr="009634C4">
              <w:rPr>
                <w:lang w:val="en-US"/>
              </w:rPr>
              <w:t xml:space="preserve"> </w:t>
            </w:r>
            <w:r>
              <w:t>денежных</w:t>
            </w:r>
            <w:r w:rsidRPr="009634C4">
              <w:rPr>
                <w:lang w:val="en-US"/>
              </w:rPr>
              <w:t xml:space="preserve"> </w:t>
            </w:r>
            <w:r>
              <w:t>грантов</w:t>
            </w:r>
            <w:r w:rsidRPr="009634C4">
              <w:rPr>
                <w:lang w:val="en-US"/>
              </w:rPr>
              <w:t xml:space="preserve"> (</w:t>
            </w:r>
            <w:r>
              <w:t>УВКБООН</w:t>
            </w:r>
            <w:r w:rsidRPr="009634C4">
              <w:rPr>
                <w:lang w:val="en-US"/>
              </w:rPr>
              <w:t xml:space="preserve"> 2016) /  MPG Programme Quality, in Operational Guidance and Toolkit for Multipurpose Cash Grants (UNHCR 2016)</w:t>
            </w:r>
          </w:p>
          <w:p w:rsidR="007561F5" w:rsidRPr="009634C4" w:rsidRDefault="007561F5" w:rsidP="007561F5">
            <w:pPr>
              <w:spacing w:after="0"/>
              <w:jc w:val="left"/>
              <w:rPr>
                <w:lang w:val="en-US"/>
              </w:rPr>
            </w:pPr>
          </w:p>
        </w:tc>
      </w:tr>
    </w:tbl>
    <w:p w:rsidR="00165324" w:rsidRPr="009634C4" w:rsidRDefault="00165324" w:rsidP="00165324">
      <w:pPr>
        <w:spacing w:after="360"/>
        <w:rPr>
          <w:rFonts w:cs="Arial"/>
          <w:lang w:val="en-US"/>
        </w:rPr>
      </w:pPr>
    </w:p>
    <w:sectPr w:rsidR="00165324" w:rsidRPr="009634C4" w:rsidSect="00DD35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57" w:rsidRDefault="009A6E57">
      <w:pPr>
        <w:spacing w:after="0"/>
      </w:pPr>
      <w:r>
        <w:separator/>
      </w:r>
    </w:p>
  </w:endnote>
  <w:endnote w:type="continuationSeparator" w:id="0">
    <w:p w:rsidR="009A6E57" w:rsidRDefault="009A6E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F8" w:rsidRDefault="0032566A" w:rsidP="004C0A9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C4B5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634C4">
      <w:rPr>
        <w:rStyle w:val="af6"/>
        <w:noProof/>
      </w:rPr>
      <w:t>0</w:t>
    </w:r>
    <w:r>
      <w:rPr>
        <w:rStyle w:val="af6"/>
      </w:rPr>
      <w:fldChar w:fldCharType="end"/>
    </w:r>
  </w:p>
  <w:p w:rsidR="007F0BF8" w:rsidRDefault="009A6E57" w:rsidP="00530F4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38" w:rsidRPr="00B45C74" w:rsidRDefault="0032566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622938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07CBF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622938" w:rsidRPr="00622938" w:rsidRDefault="00622938" w:rsidP="00ED1B2B">
    <w:pPr>
      <w:pStyle w:val="af4"/>
    </w:pPr>
    <w:r>
      <w:rPr>
        <w:b/>
      </w:rPr>
      <w:t>Модуль 4.</w:t>
    </w:r>
    <w:r w:rsidR="00D07CBF">
      <w:t>Раздел</w:t>
    </w:r>
    <w:r>
      <w:t xml:space="preserve"> 2. </w:t>
    </w:r>
    <w:fldSimple w:instr=" STYLEREF  H1 \t  \* MERGEFORMAT ">
      <w:r w:rsidR="00D07CBF" w:rsidRPr="00D07CBF">
        <w:rPr>
          <w:i/>
          <w:noProof/>
        </w:rPr>
        <w:t>Дорожная карта для коммуникации с бенефициарами и отчётности</w:t>
      </w:r>
    </w:fldSimple>
    <w:fldSimple w:instr=" STYLEREF  H1 \t  \* MERGEFORMAT ">
      <w:r w:rsidR="00D07CBF">
        <w:rPr>
          <w:noProof/>
        </w:rPr>
        <w:t>Дорожная карта для коммуникации с бенефициарами и отчётности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38" w:rsidRPr="00B45C74" w:rsidRDefault="0032566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622938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07CBF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622938" w:rsidRPr="003A3500" w:rsidRDefault="00622938" w:rsidP="00ED1B2B">
    <w:pPr>
      <w:pStyle w:val="af4"/>
    </w:pPr>
    <w:r>
      <w:rPr>
        <w:b/>
      </w:rPr>
      <w:t>Модуль 4.</w:t>
    </w:r>
    <w:r w:rsidR="00D07CBF">
      <w:t>Раздел</w:t>
    </w:r>
    <w:r>
      <w:t xml:space="preserve"> 2. </w:t>
    </w:r>
    <w:fldSimple w:instr=" STYLEREF  H1 \t  \* MERGEFORMAT ">
      <w:r w:rsidR="00D07CBF" w:rsidRPr="00D07CBF">
        <w:rPr>
          <w:bCs/>
          <w:noProof/>
        </w:rPr>
        <w:t>Дорожная карта для коммуникации с бенефициарами</w:t>
      </w:r>
      <w:r w:rsidR="00D07CBF" w:rsidRPr="00D07CBF">
        <w:rPr>
          <w:i/>
          <w:noProof/>
        </w:rPr>
        <w:t xml:space="preserve"> и отчётности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57" w:rsidRDefault="009A6E57">
      <w:pPr>
        <w:spacing w:after="0"/>
      </w:pPr>
      <w:r>
        <w:separator/>
      </w:r>
    </w:p>
  </w:footnote>
  <w:footnote w:type="continuationSeparator" w:id="0">
    <w:p w:rsidR="009A6E57" w:rsidRDefault="009A6E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BF" w:rsidRDefault="00D07CB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38" w:rsidRPr="00074036" w:rsidRDefault="00622938" w:rsidP="00173FF2">
    <w:pPr>
      <w:pStyle w:val="af2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2F0F57">
      <w:rPr>
        <w:rStyle w:val="Pantone485"/>
      </w:rPr>
      <w:t xml:space="preserve"> </w:t>
    </w:r>
    <w:r>
      <w:rPr>
        <w:rStyle w:val="af6"/>
        <w:bCs/>
        <w:szCs w:val="16"/>
      </w:rPr>
      <w:t>I</w:t>
    </w:r>
    <w:r w:rsidR="002F0F57">
      <w:rPr>
        <w:rStyle w:val="af6"/>
        <w:bCs/>
        <w:szCs w:val="16"/>
      </w:rPr>
      <w:t xml:space="preserve"> </w:t>
    </w:r>
    <w:r w:rsidR="00D07CBF">
      <w:rPr>
        <w:szCs w:val="16"/>
      </w:rPr>
      <w:t>Наличные денежные средства в условиях ЧС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38" w:rsidRDefault="00622938" w:rsidP="00050617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938" w:rsidRDefault="00622938" w:rsidP="00050617">
    <w:pPr>
      <w:pStyle w:val="Header1"/>
    </w:pPr>
  </w:p>
  <w:p w:rsidR="00622938" w:rsidRDefault="00622938" w:rsidP="00CB38F7">
    <w:pPr>
      <w:pStyle w:val="af2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938" w:rsidRDefault="00622938" w:rsidP="00C16D71">
    <w:pPr>
      <w:pStyle w:val="af2"/>
      <w:spacing w:line="240" w:lineRule="auto"/>
      <w:rPr>
        <w:b/>
        <w:color w:val="DC281E"/>
        <w:sz w:val="24"/>
        <w:szCs w:val="24"/>
      </w:rPr>
    </w:pPr>
  </w:p>
  <w:p w:rsidR="00622938" w:rsidRDefault="00622938" w:rsidP="00C16D71">
    <w:pPr>
      <w:pStyle w:val="af2"/>
      <w:spacing w:line="240" w:lineRule="auto"/>
      <w:rPr>
        <w:b/>
        <w:color w:val="DC281E"/>
        <w:sz w:val="24"/>
        <w:szCs w:val="24"/>
      </w:rPr>
    </w:pPr>
  </w:p>
  <w:p w:rsidR="00622938" w:rsidRPr="00622938" w:rsidRDefault="00D07CBF" w:rsidP="00050617">
    <w:pPr>
      <w:pStyle w:val="Header1"/>
      <w:rPr>
        <w:rFonts w:ascii="Arial Bold" w:hAnsi="Arial Bold"/>
        <w:color w:val="DC281E"/>
      </w:rPr>
    </w:pPr>
    <w:r>
      <w:rPr>
        <w:rFonts w:ascii="Arial Bold" w:hAnsi="Arial Bold"/>
        <w:color w:val="DC281E"/>
      </w:rPr>
      <w:t>Наличные денежные средства в условиях ЧС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7AC9"/>
    <w:multiLevelType w:val="hybridMultilevel"/>
    <w:tmpl w:val="1992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F70"/>
    <w:rsid w:val="00000DEE"/>
    <w:rsid w:val="00014E3A"/>
    <w:rsid w:val="000261C4"/>
    <w:rsid w:val="00040318"/>
    <w:rsid w:val="000A3729"/>
    <w:rsid w:val="001368A2"/>
    <w:rsid w:val="0014094F"/>
    <w:rsid w:val="00165324"/>
    <w:rsid w:val="001B75BF"/>
    <w:rsid w:val="001C4B5C"/>
    <w:rsid w:val="001F45CB"/>
    <w:rsid w:val="002F0F57"/>
    <w:rsid w:val="00302500"/>
    <w:rsid w:val="0032566A"/>
    <w:rsid w:val="0032571C"/>
    <w:rsid w:val="00372099"/>
    <w:rsid w:val="00487F77"/>
    <w:rsid w:val="004A7836"/>
    <w:rsid w:val="005115B5"/>
    <w:rsid w:val="005867EB"/>
    <w:rsid w:val="005E1C6E"/>
    <w:rsid w:val="00612A1C"/>
    <w:rsid w:val="00622938"/>
    <w:rsid w:val="006E3B4A"/>
    <w:rsid w:val="00703EE2"/>
    <w:rsid w:val="007525F6"/>
    <w:rsid w:val="007544E5"/>
    <w:rsid w:val="007561F5"/>
    <w:rsid w:val="007D4F63"/>
    <w:rsid w:val="008229AE"/>
    <w:rsid w:val="00866875"/>
    <w:rsid w:val="008F25A1"/>
    <w:rsid w:val="009634C4"/>
    <w:rsid w:val="00994917"/>
    <w:rsid w:val="009A6E57"/>
    <w:rsid w:val="009D2F70"/>
    <w:rsid w:val="009E77BE"/>
    <w:rsid w:val="00A07774"/>
    <w:rsid w:val="00B070C0"/>
    <w:rsid w:val="00B44945"/>
    <w:rsid w:val="00B55AA9"/>
    <w:rsid w:val="00C17097"/>
    <w:rsid w:val="00C4264E"/>
    <w:rsid w:val="00D025B2"/>
    <w:rsid w:val="00D07CBF"/>
    <w:rsid w:val="00D33DE8"/>
    <w:rsid w:val="00D97680"/>
    <w:rsid w:val="00DD35FD"/>
    <w:rsid w:val="00E313E4"/>
    <w:rsid w:val="00E42FCE"/>
    <w:rsid w:val="00E448F6"/>
    <w:rsid w:val="00E91D4B"/>
    <w:rsid w:val="00F60746"/>
    <w:rsid w:val="00F638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13790"/>
  <w15:docId w15:val="{ECB2A6D0-BBD6-47B1-B4C8-5651D6CA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9" w:unhideWhenUsed="1"/>
    <w:lsdException w:name="index 1" w:semiHidden="1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DD35FD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D35FD"/>
  </w:style>
  <w:style w:type="paragraph" w:styleId="2">
    <w:name w:val="heading 2"/>
    <w:basedOn w:val="a"/>
    <w:next w:val="a"/>
    <w:link w:val="20"/>
    <w:uiPriority w:val="9"/>
    <w:unhideWhenUsed/>
    <w:qFormat/>
    <w:rsid w:val="00DD35F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D35F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F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3">
    <w:name w:val="Pa13"/>
    <w:basedOn w:val="Default"/>
    <w:next w:val="Default"/>
    <w:uiPriority w:val="99"/>
    <w:rsid w:val="009D2F7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D2F70"/>
    <w:pPr>
      <w:spacing w:line="4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D2F70"/>
    <w:pPr>
      <w:spacing w:line="22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D2F70"/>
    <w:rPr>
      <w:rFonts w:ascii="Franklin Gothic Book" w:hAnsi="Franklin Gothic Book" w:cs="Franklin Gothic Book"/>
      <w:color w:val="000000"/>
      <w:sz w:val="19"/>
      <w:szCs w:val="19"/>
    </w:rPr>
  </w:style>
  <w:style w:type="paragraph" w:styleId="a3">
    <w:name w:val="List Paragraph"/>
    <w:basedOn w:val="a"/>
    <w:link w:val="a4"/>
    <w:uiPriority w:val="34"/>
    <w:qFormat/>
    <w:rsid w:val="00DD35F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11">
    <w:name w:val="Pa11"/>
    <w:basedOn w:val="Default"/>
    <w:next w:val="Default"/>
    <w:uiPriority w:val="99"/>
    <w:rsid w:val="00366671"/>
    <w:pPr>
      <w:spacing w:line="281" w:lineRule="atLeast"/>
    </w:pPr>
    <w:rPr>
      <w:rFonts w:ascii="Franklin Gothic Demi" w:hAnsi="Franklin Gothic Demi" w:cs="Times New Roman"/>
      <w:color w:val="auto"/>
    </w:rPr>
  </w:style>
  <w:style w:type="table" w:styleId="a6">
    <w:name w:val="Table Grid"/>
    <w:basedOn w:val="a1"/>
    <w:uiPriority w:val="59"/>
    <w:rsid w:val="00DD35FD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DD35FD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DD35FD"/>
    <w:rPr>
      <w:rFonts w:ascii="Arial" w:hAnsi="Arial" w:cs="Times New Roman"/>
      <w:sz w:val="16"/>
      <w:szCs w:val="22"/>
    </w:rPr>
  </w:style>
  <w:style w:type="character" w:styleId="a9">
    <w:name w:val="footnote reference"/>
    <w:basedOn w:val="a0"/>
    <w:uiPriority w:val="99"/>
    <w:unhideWhenUsed/>
    <w:rsid w:val="00DD35FD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D35F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20F43"/>
  </w:style>
  <w:style w:type="character" w:customStyle="1" w:styleId="ac">
    <w:name w:val="Текст примечания Знак"/>
    <w:basedOn w:val="a0"/>
    <w:link w:val="ab"/>
    <w:semiHidden/>
    <w:rsid w:val="00220F43"/>
    <w:rPr>
      <w:sz w:val="20"/>
      <w:szCs w:val="20"/>
      <w:lang w:val="ru-RU"/>
    </w:rPr>
  </w:style>
  <w:style w:type="paragraph" w:styleId="ad">
    <w:name w:val="annotation subject"/>
    <w:basedOn w:val="a"/>
    <w:link w:val="ae"/>
    <w:uiPriority w:val="99"/>
    <w:semiHidden/>
    <w:unhideWhenUsed/>
    <w:rsid w:val="00DD35FD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DD35FD"/>
    <w:rPr>
      <w:rFonts w:ascii="Arial" w:hAnsi="Arial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35F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D35FD"/>
    <w:rPr>
      <w:rFonts w:ascii="Lucida Grande" w:hAnsi="Lucida Grande" w:cs="Lucida Grande"/>
      <w:sz w:val="18"/>
      <w:szCs w:val="18"/>
    </w:rPr>
  </w:style>
  <w:style w:type="character" w:styleId="af1">
    <w:name w:val="Hyperlink"/>
    <w:basedOn w:val="a0"/>
    <w:uiPriority w:val="99"/>
    <w:unhideWhenUsed/>
    <w:rsid w:val="00DD35FD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DD35FD"/>
    <w:pPr>
      <w:spacing w:after="0" w:line="288" w:lineRule="auto"/>
      <w:jc w:val="left"/>
    </w:pPr>
    <w:rPr>
      <w:sz w:val="16"/>
    </w:rPr>
  </w:style>
  <w:style w:type="character" w:customStyle="1" w:styleId="af3">
    <w:name w:val="Верхний колонтитул Знак"/>
    <w:basedOn w:val="a0"/>
    <w:link w:val="af2"/>
    <w:uiPriority w:val="99"/>
    <w:rsid w:val="00DD35FD"/>
    <w:rPr>
      <w:rFonts w:ascii="Arial" w:hAnsi="Arial" w:cs="Times New Roman"/>
      <w:sz w:val="16"/>
      <w:szCs w:val="20"/>
    </w:rPr>
  </w:style>
  <w:style w:type="paragraph" w:styleId="af4">
    <w:name w:val="footer"/>
    <w:basedOn w:val="a"/>
    <w:link w:val="af5"/>
    <w:uiPriority w:val="99"/>
    <w:unhideWhenUsed/>
    <w:rsid w:val="00DD35FD"/>
    <w:pPr>
      <w:spacing w:after="0"/>
      <w:jc w:val="left"/>
    </w:pPr>
    <w:rPr>
      <w:sz w:val="16"/>
      <w:szCs w:val="18"/>
    </w:rPr>
  </w:style>
  <w:style w:type="character" w:customStyle="1" w:styleId="af5">
    <w:name w:val="Нижний колонтитул Знак"/>
    <w:basedOn w:val="a0"/>
    <w:link w:val="af4"/>
    <w:uiPriority w:val="99"/>
    <w:rsid w:val="00DD35FD"/>
    <w:rPr>
      <w:rFonts w:ascii="Arial" w:hAnsi="Arial" w:cs="Times New Roman"/>
      <w:sz w:val="16"/>
      <w:szCs w:val="18"/>
    </w:rPr>
  </w:style>
  <w:style w:type="character" w:styleId="af6">
    <w:name w:val="page number"/>
    <w:basedOn w:val="a0"/>
    <w:uiPriority w:val="99"/>
    <w:unhideWhenUsed/>
    <w:rsid w:val="00DD35FD"/>
    <w:rPr>
      <w:b/>
    </w:rPr>
  </w:style>
  <w:style w:type="character" w:styleId="af7">
    <w:name w:val="FollowedHyperlink"/>
    <w:basedOn w:val="a0"/>
    <w:uiPriority w:val="99"/>
    <w:unhideWhenUsed/>
    <w:rsid w:val="00DD35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35FD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D35FD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D35FD"/>
    <w:rPr>
      <w:rFonts w:ascii="Arial" w:hAnsi="Arial" w:cs="Times New Roman"/>
      <w:b/>
      <w:sz w:val="22"/>
    </w:rPr>
  </w:style>
  <w:style w:type="character" w:customStyle="1" w:styleId="a4">
    <w:name w:val="Абзац списка Знак"/>
    <w:basedOn w:val="a0"/>
    <w:link w:val="a3"/>
    <w:uiPriority w:val="34"/>
    <w:rsid w:val="00DD35FD"/>
    <w:rPr>
      <w:rFonts w:ascii="Arial" w:eastAsiaTheme="minorHAnsi" w:hAnsi="Arial" w:cstheme="minorBidi"/>
      <w:sz w:val="20"/>
      <w:szCs w:val="22"/>
    </w:rPr>
  </w:style>
  <w:style w:type="paragraph" w:styleId="af8">
    <w:name w:val="Revision"/>
    <w:hidden/>
    <w:uiPriority w:val="99"/>
    <w:semiHidden/>
    <w:rsid w:val="00DD35F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D35F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D35F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D35FD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D35F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D35F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2"/>
    <w:rsid w:val="00DD35F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D35F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D35F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D35FD"/>
    <w:rPr>
      <w:rFonts w:asciiTheme="minorHAnsi" w:hAnsiTheme="minorHAnsi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D35FD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DD35FD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D35FD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D35FD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D35F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D35FD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DD35FD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learning.org/resources/library/28-communicating-cash-a-field-guide-to-beneficiary-communications-in-cash-transfer-programming-screen-vers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frc.org/PageFiles/94411/IFRC%20&#1050;&#1055;&#1055;&#1054;:%20%20&#1059;&#1088;&#1086;&#1082;&#1080;%20/%20BCA%20Lesson%20Learned%20doc_final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qualityandaccountabilitynetwork.care2share.wikispaces.net/file/view/2011+SCF+CRM+guide+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crsprogrammequality.org/storage/pubs/general/communication-toolbox-template-develop-a-communication-plan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67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Mareta GAZIKOVA</cp:lastModifiedBy>
  <cp:revision>7</cp:revision>
  <cp:lastPrinted>2015-10-09T14:44:00Z</cp:lastPrinted>
  <dcterms:created xsi:type="dcterms:W3CDTF">2016-08-04T11:02:00Z</dcterms:created>
  <dcterms:modified xsi:type="dcterms:W3CDTF">2017-04-20T10:54:00Z</dcterms:modified>
</cp:coreProperties>
</file>