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91" w:rsidRDefault="00247891" w:rsidP="00247891">
      <w:pPr>
        <w:pStyle w:val="H1"/>
      </w:pPr>
      <w:r>
        <w:t>Дорожная карта для выбора поставщиков услуг и заключения договоров</w:t>
      </w:r>
    </w:p>
    <w:tbl>
      <w:tblPr>
        <w:tblStyle w:val="a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7"/>
        <w:gridCol w:w="2125"/>
        <w:gridCol w:w="1892"/>
        <w:gridCol w:w="1951"/>
        <w:gridCol w:w="1923"/>
      </w:tblGrid>
      <w:tr w:rsidR="00BA7B73" w:rsidRPr="005E1C6E" w:rsidTr="00BA7B73">
        <w:tc>
          <w:tcPr>
            <w:tcW w:w="9848" w:type="dxa"/>
            <w:gridSpan w:val="5"/>
            <w:shd w:val="clear" w:color="auto" w:fill="FFFFFF" w:themeFill="background1"/>
          </w:tcPr>
          <w:p w:rsidR="00BA7B73" w:rsidRPr="005E1C6E" w:rsidRDefault="00BA7B73" w:rsidP="00946F2E">
            <w:pPr>
              <w:pStyle w:val="2"/>
              <w:pBdr>
                <w:top w:val="none" w:sz="0" w:space="0" w:color="auto"/>
              </w:pBdr>
              <w:jc w:val="center"/>
              <w:outlineLvl w:val="1"/>
              <w:rPr>
                <w:sz w:val="20"/>
                <w:szCs w:val="20"/>
              </w:rPr>
            </w:pPr>
            <w:r w:rsidRPr="005E1C6E">
              <w:rPr>
                <w:sz w:val="20"/>
                <w:szCs w:val="20"/>
              </w:rPr>
              <w:t>ПОДГОТОВКА И РЕАЛИЗАЦИЯ</w:t>
            </w:r>
          </w:p>
        </w:tc>
      </w:tr>
      <w:tr w:rsidR="00BA7B73" w:rsidRPr="005E1C6E" w:rsidTr="00BA7B73">
        <w:tc>
          <w:tcPr>
            <w:tcW w:w="1957" w:type="dxa"/>
            <w:shd w:val="clear" w:color="auto" w:fill="FFFFFF" w:themeFill="background1"/>
          </w:tcPr>
          <w:p w:rsidR="00BA7B73" w:rsidRPr="005E1C6E" w:rsidRDefault="00BA7B73" w:rsidP="00946F2E">
            <w:pPr>
              <w:pStyle w:val="NormalNo"/>
              <w:tabs>
                <w:tab w:val="left" w:pos="435"/>
              </w:tabs>
              <w:ind w:left="142" w:hanging="11"/>
              <w:rPr>
                <w:sz w:val="20"/>
              </w:rPr>
            </w:pPr>
            <w:r w:rsidRPr="005E1C6E">
              <w:rPr>
                <w:sz w:val="20"/>
              </w:rPr>
              <w:t>Подготовка программы</w:t>
            </w:r>
          </w:p>
        </w:tc>
        <w:tc>
          <w:tcPr>
            <w:tcW w:w="2125" w:type="dxa"/>
            <w:shd w:val="clear" w:color="auto" w:fill="FFFFFF" w:themeFill="background1"/>
          </w:tcPr>
          <w:p w:rsidR="00BA7B73" w:rsidRPr="005E1C6E" w:rsidRDefault="00BA7B73" w:rsidP="00946F2E">
            <w:pPr>
              <w:pStyle w:val="NormalNo"/>
              <w:tabs>
                <w:tab w:val="left" w:pos="386"/>
              </w:tabs>
              <w:ind w:left="103" w:hanging="50"/>
              <w:rPr>
                <w:sz w:val="20"/>
              </w:rPr>
            </w:pPr>
            <w:r w:rsidRPr="005E1C6E">
              <w:rPr>
                <w:sz w:val="20"/>
              </w:rPr>
              <w:t>Коммуникация с бенефициарами и отчётность</w:t>
            </w:r>
          </w:p>
        </w:tc>
        <w:tc>
          <w:tcPr>
            <w:tcW w:w="1892" w:type="dxa"/>
            <w:shd w:val="clear" w:color="auto" w:fill="FFFFFF" w:themeFill="background1"/>
          </w:tcPr>
          <w:p w:rsidR="00BA7B73" w:rsidRPr="005E1C6E" w:rsidRDefault="00BA7B73" w:rsidP="00946F2E">
            <w:pPr>
              <w:pStyle w:val="NormalNo"/>
              <w:tabs>
                <w:tab w:val="left" w:pos="381"/>
              </w:tabs>
              <w:ind w:left="103" w:hanging="50"/>
            </w:pPr>
            <w:r w:rsidRPr="005E1C6E">
              <w:rPr>
                <w:sz w:val="20"/>
              </w:rPr>
              <w:t xml:space="preserve">Договоры </w:t>
            </w:r>
            <w:r>
              <w:rPr>
                <w:sz w:val="20"/>
              </w:rPr>
              <w:t>с поставщиками услуг</w:t>
            </w:r>
          </w:p>
        </w:tc>
        <w:tc>
          <w:tcPr>
            <w:tcW w:w="1951" w:type="dxa"/>
            <w:shd w:val="clear" w:color="auto" w:fill="FFFFFF" w:themeFill="background1"/>
          </w:tcPr>
          <w:p w:rsidR="00BA7B73" w:rsidRPr="005E1C6E" w:rsidRDefault="00BA7B73" w:rsidP="00946F2E">
            <w:pPr>
              <w:pStyle w:val="NormalNo"/>
              <w:tabs>
                <w:tab w:val="left" w:pos="386"/>
              </w:tabs>
              <w:ind w:left="103" w:hanging="50"/>
            </w:pPr>
            <w:r>
              <w:rPr>
                <w:sz w:val="20"/>
              </w:rPr>
              <w:t>Регистрация и идентификация</w:t>
            </w:r>
          </w:p>
        </w:tc>
        <w:tc>
          <w:tcPr>
            <w:tcW w:w="1923" w:type="dxa"/>
            <w:shd w:val="clear" w:color="auto" w:fill="FFFFFF" w:themeFill="background1"/>
          </w:tcPr>
          <w:p w:rsidR="00BA7B73" w:rsidRPr="005E1C6E" w:rsidRDefault="00BA7B73" w:rsidP="00946F2E">
            <w:pPr>
              <w:pStyle w:val="NormalNo"/>
              <w:tabs>
                <w:tab w:val="left" w:pos="386"/>
              </w:tabs>
              <w:ind w:left="103" w:hanging="50"/>
            </w:pPr>
            <w:r w:rsidRPr="005E1C6E">
              <w:rPr>
                <w:sz w:val="20"/>
              </w:rPr>
              <w:t>Раздача и обналичивание</w:t>
            </w:r>
          </w:p>
        </w:tc>
      </w:tr>
      <w:tr w:rsidR="00BA7B73" w:rsidRPr="005E1C6E" w:rsidTr="00BA7B73">
        <w:tc>
          <w:tcPr>
            <w:tcW w:w="1957" w:type="dxa"/>
            <w:shd w:val="clear" w:color="auto" w:fill="FFFFFF" w:themeFill="background1"/>
          </w:tcPr>
          <w:p w:rsidR="00BA7B73" w:rsidRDefault="00BA7B73" w:rsidP="00946F2E">
            <w:pPr>
              <w:jc w:val="left"/>
            </w:pPr>
            <w:r>
              <w:t>.1 Разработать оперативный план ПДП</w:t>
            </w:r>
          </w:p>
          <w:p w:rsidR="00BA7B73" w:rsidRDefault="00BA7B73" w:rsidP="00946F2E">
            <w:pPr>
              <w:jc w:val="left"/>
            </w:pPr>
            <w:r>
              <w:t>.2 Внутренн</w:t>
            </w:r>
            <w:r w:rsidR="00F42B0F">
              <w:t>ее координирование</w:t>
            </w:r>
          </w:p>
          <w:p w:rsidR="00BA7B73" w:rsidRPr="005E1C6E" w:rsidRDefault="00BA7B73" w:rsidP="00F42B0F">
            <w:pPr>
              <w:jc w:val="left"/>
            </w:pPr>
            <w:r>
              <w:t>.3 Координ</w:t>
            </w:r>
            <w:r w:rsidR="00F42B0F">
              <w:t>ирование</w:t>
            </w:r>
            <w:r>
              <w:t xml:space="preserve"> с другими организациями</w:t>
            </w:r>
          </w:p>
        </w:tc>
        <w:tc>
          <w:tcPr>
            <w:tcW w:w="2125" w:type="dxa"/>
            <w:shd w:val="clear" w:color="auto" w:fill="FFFFFF" w:themeFill="background1"/>
          </w:tcPr>
          <w:p w:rsidR="00BA7B73" w:rsidRDefault="00BA7B73" w:rsidP="00946F2E">
            <w:pPr>
              <w:jc w:val="left"/>
            </w:pPr>
            <w:r w:rsidRPr="005E1C6E">
              <w:t xml:space="preserve">.1 </w:t>
            </w:r>
            <w:r>
              <w:t>Разработать план КБО</w:t>
            </w:r>
          </w:p>
          <w:p w:rsidR="00BA7B73" w:rsidRDefault="00BA7B73" w:rsidP="00946F2E">
            <w:pPr>
              <w:jc w:val="left"/>
            </w:pPr>
            <w:r>
              <w:t>.2 Повысить квалификацию персонала</w:t>
            </w:r>
          </w:p>
          <w:p w:rsidR="00BA7B73" w:rsidRDefault="00BA7B73" w:rsidP="00946F2E">
            <w:pPr>
              <w:jc w:val="left"/>
            </w:pPr>
            <w:r>
              <w:t>.3 Выбрать каналы и инструменты коммуникации</w:t>
            </w:r>
          </w:p>
          <w:p w:rsidR="00BA7B73" w:rsidRDefault="00BA7B73" w:rsidP="00946F2E">
            <w:pPr>
              <w:jc w:val="left"/>
            </w:pPr>
            <w:r>
              <w:t>.4 Разработать послания для целевых аудиторий</w:t>
            </w:r>
          </w:p>
          <w:p w:rsidR="00BA7B73" w:rsidRDefault="00BA7B73" w:rsidP="00946F2E">
            <w:pPr>
              <w:jc w:val="left"/>
            </w:pPr>
            <w:r>
              <w:t>.5 Разработать механизм для подачи отзывов и жалоб</w:t>
            </w:r>
          </w:p>
          <w:p w:rsidR="00BA7B73" w:rsidRPr="005E1C6E" w:rsidRDefault="00BA7B73" w:rsidP="00946F2E">
            <w:pPr>
              <w:jc w:val="left"/>
            </w:pPr>
            <w:r>
              <w:t>.6 Ревизия и извлечение уроков</w:t>
            </w:r>
          </w:p>
        </w:tc>
        <w:tc>
          <w:tcPr>
            <w:tcW w:w="1892" w:type="dxa"/>
            <w:shd w:val="clear" w:color="auto" w:fill="DBE5F1" w:themeFill="accent1" w:themeFillTint="33"/>
          </w:tcPr>
          <w:p w:rsidR="00BA7B73" w:rsidRDefault="00BA7B73" w:rsidP="00946F2E">
            <w:pPr>
              <w:jc w:val="left"/>
            </w:pPr>
            <w:r>
              <w:t>.1 Провести исследование потенциальных поставщиков услуг</w:t>
            </w:r>
          </w:p>
          <w:p w:rsidR="00BA7B73" w:rsidRDefault="00BA7B73" w:rsidP="00946F2E">
            <w:pPr>
              <w:jc w:val="left"/>
            </w:pPr>
            <w:r>
              <w:t>.2 Тендеры и выбор поставщиков услуг</w:t>
            </w:r>
          </w:p>
          <w:p w:rsidR="00BA7B73" w:rsidRDefault="00BA7B73" w:rsidP="00946F2E">
            <w:pPr>
              <w:jc w:val="left"/>
            </w:pPr>
            <w:r>
              <w:t>.3 Заключение договоров и определение методов работы</w:t>
            </w:r>
          </w:p>
          <w:p w:rsidR="00BA7B73" w:rsidRPr="005E1C6E" w:rsidRDefault="00BA7B73" w:rsidP="00946F2E">
            <w:pPr>
              <w:jc w:val="left"/>
            </w:pPr>
            <w:r>
              <w:t>.4 Обработка и защита данных бенефициаров</w:t>
            </w:r>
          </w:p>
        </w:tc>
        <w:tc>
          <w:tcPr>
            <w:tcW w:w="1951" w:type="dxa"/>
            <w:shd w:val="clear" w:color="auto" w:fill="FFFFFF" w:themeFill="background1"/>
          </w:tcPr>
          <w:p w:rsidR="00BA7B73" w:rsidRDefault="00BA7B73" w:rsidP="00946F2E">
            <w:pPr>
              <w:jc w:val="left"/>
            </w:pPr>
            <w:r>
              <w:t>.1 Спланировать регистрацию и подготовиться к ней</w:t>
            </w:r>
          </w:p>
          <w:p w:rsidR="00BA7B73" w:rsidRPr="005E1C6E" w:rsidRDefault="00BA7B73" w:rsidP="00946F2E">
            <w:pPr>
              <w:jc w:val="left"/>
            </w:pPr>
            <w:r>
              <w:t>.2 Идентификация и проверка</w:t>
            </w:r>
          </w:p>
        </w:tc>
        <w:tc>
          <w:tcPr>
            <w:tcW w:w="1923" w:type="dxa"/>
            <w:shd w:val="clear" w:color="auto" w:fill="FFFFFF" w:themeFill="background1"/>
          </w:tcPr>
          <w:p w:rsidR="00BA7B73" w:rsidRDefault="00BA7B73" w:rsidP="00946F2E">
            <w:pPr>
              <w:jc w:val="left"/>
            </w:pPr>
            <w:r>
              <w:t>.1 Обучение и коммуникация</w:t>
            </w:r>
          </w:p>
          <w:p w:rsidR="00BA7B73" w:rsidRDefault="00BA7B73" w:rsidP="00946F2E">
            <w:pPr>
              <w:jc w:val="left"/>
            </w:pPr>
            <w:r>
              <w:t>.2 Планирование и осуществление раздач</w:t>
            </w:r>
          </w:p>
          <w:p w:rsidR="00BA7B73" w:rsidRDefault="00BA7B73" w:rsidP="00946F2E">
            <w:pPr>
              <w:jc w:val="left"/>
            </w:pPr>
            <w:r>
              <w:t>.3 Планирование обналичивания</w:t>
            </w:r>
          </w:p>
          <w:p w:rsidR="00BA7B73" w:rsidRPr="005E1C6E" w:rsidRDefault="00BA7B73" w:rsidP="00946F2E">
            <w:pPr>
              <w:jc w:val="left"/>
            </w:pPr>
            <w:r>
              <w:t>.4 Осуществление обналичивания</w:t>
            </w:r>
          </w:p>
        </w:tc>
      </w:tr>
    </w:tbl>
    <w:p w:rsidR="00E13538" w:rsidRPr="007E00C6" w:rsidRDefault="00E13538" w:rsidP="003C4CDD">
      <w:pPr>
        <w:pStyle w:val="2"/>
      </w:pPr>
      <w:r>
        <w:t>ВВЕДЕНИЕ</w:t>
      </w:r>
      <w:bookmarkStart w:id="0" w:name="_GoBack"/>
      <w:bookmarkEnd w:id="0"/>
    </w:p>
    <w:p w:rsidR="00ED5069" w:rsidRPr="007C7EE8" w:rsidRDefault="00BA7B73" w:rsidP="00ED5069">
      <w:pPr>
        <w:rPr>
          <w:rFonts w:eastAsia="Times New Roman" w:cs="Arial"/>
        </w:rPr>
      </w:pPr>
      <w:r>
        <w:t>Осуществление</w:t>
      </w:r>
      <w:r w:rsidR="00ED5069">
        <w:t xml:space="preserve"> программ обычно проходит при поддержке поставщиков услуг, которые являются коммерческими частными предприятиями, оказывающими соответствующие услуги, используемые при </w:t>
      </w:r>
      <w:r>
        <w:t>осуществлении</w:t>
      </w:r>
      <w:r w:rsidR="00ED5069">
        <w:t xml:space="preserve"> программы.</w:t>
      </w:r>
      <w:r>
        <w:t xml:space="preserve">  </w:t>
      </w:r>
      <w:r w:rsidR="00ED5069">
        <w:t>В случае с программами оказания неденежной помощи или ваучерными программами поставщиками услуг могут быть оптовые торговые предприятия, супермаркеты, местные торговцы и т.п.  В случае программ денежных переводов это компании, оказывающие финансовые услуги, такие как банки, микрофинансовые учреждения, операторы мобильной связи, то есть те, кто отвечает за обналичивание средств.</w:t>
      </w:r>
    </w:p>
    <w:p w:rsidR="00ED5069" w:rsidRDefault="005E0834" w:rsidP="00ED5069">
      <w:pPr>
        <w:rPr>
          <w:rFonts w:cs="Arial"/>
        </w:rPr>
      </w:pPr>
      <w:r>
        <w:t xml:space="preserve">Эта дорожная карта послужит вам навигатором в процессе отбора поставщиков финансовых услуг для </w:t>
      </w:r>
      <w:r w:rsidR="00BA7B73">
        <w:t>ПДП</w:t>
      </w:r>
      <w:r>
        <w:t xml:space="preserve"> и заключения с ними договоров.</w:t>
      </w:r>
      <w:r w:rsidR="00BA7B73">
        <w:t xml:space="preserve">  </w:t>
      </w:r>
      <w:r>
        <w:t>Процесс включает в себя проведение исследования и отсеивание потенциальных поставщиков услуг согласно установленным критериям, проведение тендера и процесса отбора, и, наконец, заключение договоров и определение методов работы с поставщиками услуг.</w:t>
      </w:r>
      <w:r w:rsidR="00BA7B73">
        <w:t xml:space="preserve">  </w:t>
      </w:r>
      <w:r>
        <w:t>При работе с поставщиками финансовых услуг чрезвычайно важно обратить внимание на потенциальные риски, касающиеся конфиденциальности данных получателей помощи, а также мошенничества и нарушений.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48"/>
      </w:tblGrid>
      <w:tr w:rsidR="005E0834" w:rsidTr="002C4707">
        <w:tc>
          <w:tcPr>
            <w:tcW w:w="9848" w:type="dxa"/>
            <w:shd w:val="clear" w:color="auto" w:fill="D9D9D9" w:themeFill="background1" w:themeFillShade="D9"/>
          </w:tcPr>
          <w:p w:rsidR="005E0834" w:rsidRDefault="005E0834" w:rsidP="002C4707">
            <w:pPr>
              <w:spacing w:before="120"/>
              <w:rPr>
                <w:rFonts w:eastAsia="Times New Roman" w:cs="Arial"/>
              </w:rPr>
            </w:pPr>
            <w:r>
              <w:t>В разделе, посвящённом методам работы с ваучерами, вы найдёте конкретные инструменты, которые помогут вам выбрать торговцев для товарных и денежных ваучеров и заключить с ними договоры.</w:t>
            </w:r>
          </w:p>
        </w:tc>
      </w:tr>
    </w:tbl>
    <w:p w:rsidR="00EB6B84" w:rsidRPr="000927CA" w:rsidRDefault="005E0834" w:rsidP="00267627">
      <w:pPr>
        <w:spacing w:before="120"/>
      </w:pPr>
      <w:r>
        <w:lastRenderedPageBreak/>
        <w:t xml:space="preserve">В данной дорожной карте также даются предложения, какие инструменты </w:t>
      </w:r>
      <w:r w:rsidR="00F42B0F">
        <w:t>методических материалов «</w:t>
      </w:r>
      <w:r>
        <w:t>Денежны</w:t>
      </w:r>
      <w:r w:rsidR="00F42B0F">
        <w:t>е</w:t>
      </w:r>
      <w:r>
        <w:t xml:space="preserve"> перевод</w:t>
      </w:r>
      <w:r w:rsidR="00F42B0F">
        <w:t>ы</w:t>
      </w:r>
      <w:r>
        <w:t xml:space="preserve"> в чрезвычайных ситуациях</w:t>
      </w:r>
      <w:r w:rsidR="00F42B0F">
        <w:t>»</w:t>
      </w:r>
      <w:r>
        <w:t xml:space="preserve"> наиболее полезны для данного </w:t>
      </w:r>
      <w:r w:rsidR="00022551">
        <w:t>раздела и подраздел</w:t>
      </w:r>
      <w:r>
        <w:t>ов.</w:t>
      </w:r>
      <w:r w:rsidR="00BA7B73">
        <w:t xml:space="preserve">  </w:t>
      </w:r>
      <w:r>
        <w:t>Эти инструменты будет необходимо скорректировать согласно вашим потребностям и условиям.</w:t>
      </w:r>
    </w:p>
    <w:p w:rsidR="00EB6B84" w:rsidRPr="000927CA" w:rsidRDefault="00EB6B84" w:rsidP="00252927">
      <w:r>
        <w:t>Вы должны всегда стремиться соблюдать минималь</w:t>
      </w:r>
      <w:r w:rsidR="000B6D90">
        <w:t>ные стандарты, перечисленные в этом разделе</w:t>
      </w:r>
      <w:r>
        <w:t xml:space="preserve">.  Это поможет улучшить качество работы </w:t>
      </w:r>
      <w:r w:rsidR="00BA7B73">
        <w:t>ПДП</w:t>
      </w:r>
      <w:r>
        <w:t>.</w:t>
      </w:r>
    </w:p>
    <w:p w:rsidR="00EB6B84" w:rsidRPr="000927CA" w:rsidRDefault="00EB6B84" w:rsidP="00252927">
      <w:r>
        <w:t>Вероятно, по мере того как завершаются процессы и инфор</w:t>
      </w:r>
      <w:r w:rsidR="00022551">
        <w:t>мация поступает в каждый подраздел</w:t>
      </w:r>
      <w:r>
        <w:t xml:space="preserve">, для принятия решений вам потребуется </w:t>
      </w:r>
      <w:r>
        <w:rPr>
          <w:b/>
        </w:rPr>
        <w:t>переходить от одного под</w:t>
      </w:r>
      <w:r w:rsidR="00022551">
        <w:rPr>
          <w:b/>
        </w:rPr>
        <w:t>раздела</w:t>
      </w:r>
      <w:r>
        <w:rPr>
          <w:b/>
        </w:rPr>
        <w:t xml:space="preserve"> к другому</w:t>
      </w:r>
      <w:r>
        <w:t>.</w:t>
      </w:r>
    </w:p>
    <w:p w:rsidR="00EB6B84" w:rsidRPr="000927CA" w:rsidRDefault="00EB6B84" w:rsidP="00252927">
      <w:r>
        <w:t>Если вам потребуется более детальное руководство по выбору соответствующих партнёров и заключению договоров, обратитесь к справочным документам, перечисленным в конце данной дорожной карты.</w:t>
      </w:r>
    </w:p>
    <w:p w:rsidR="000F5637" w:rsidRPr="007E00C6" w:rsidRDefault="000F5637" w:rsidP="003C4CDD">
      <w:pPr>
        <w:pStyle w:val="2"/>
      </w:pPr>
      <w:r>
        <w:t>МИНИМАЛЬНЫЕ СТАНДАРТЫ</w:t>
      </w:r>
    </w:p>
    <w:p w:rsidR="000F5637" w:rsidRPr="000F5637" w:rsidRDefault="000F5637" w:rsidP="00247891">
      <w:pPr>
        <w:pStyle w:val="Bullet1"/>
      </w:pPr>
      <w:r>
        <w:t xml:space="preserve">В процессе отбора потенциальных поставщиков услуг и заключения с ними договоров </w:t>
      </w:r>
      <w:r w:rsidR="00BA7B73">
        <w:t xml:space="preserve">должны участвовать финансовая </w:t>
      </w:r>
      <w:r>
        <w:t>служб</w:t>
      </w:r>
      <w:r w:rsidR="00BA7B73">
        <w:t>а и служба логистики</w:t>
      </w:r>
      <w:r>
        <w:t>.</w:t>
      </w:r>
    </w:p>
    <w:p w:rsidR="000F5637" w:rsidRPr="000F5637" w:rsidRDefault="000F5637" w:rsidP="00247891">
      <w:pPr>
        <w:pStyle w:val="Bullet1"/>
      </w:pPr>
      <w:r>
        <w:t xml:space="preserve">Критерии отбора должны быть включены в </w:t>
      </w:r>
      <w:r w:rsidR="00BA7B73">
        <w:t>т</w:t>
      </w:r>
      <w:r>
        <w:t>ехническое задание (ТЗ) для тендера.</w:t>
      </w:r>
    </w:p>
    <w:p w:rsidR="000F5637" w:rsidRPr="000F5637" w:rsidRDefault="000F5637" w:rsidP="00247891">
      <w:pPr>
        <w:pStyle w:val="Bullet1"/>
      </w:pPr>
      <w:r>
        <w:t>Убедитесь, что договоры с поставщиками услуг соответствуют общим правилам и условиям составления договоров.</w:t>
      </w:r>
    </w:p>
    <w:p w:rsidR="000F5637" w:rsidRPr="000F5637" w:rsidRDefault="000F5637" w:rsidP="003C4CDD">
      <w:pPr>
        <w:pStyle w:val="2"/>
      </w:pPr>
      <w:r>
        <w:t>ПОД</w:t>
      </w:r>
      <w:r w:rsidR="00022551">
        <w:t>РАЗДЕЛЫ</w:t>
      </w:r>
      <w:r>
        <w:t xml:space="preserve"> И ИНСТРУМЕНТЫ</w:t>
      </w:r>
    </w:p>
    <w:p w:rsidR="00AA0EE5" w:rsidRPr="005D7CD5" w:rsidRDefault="00AA0EE5" w:rsidP="00247891">
      <w:pPr>
        <w:pStyle w:val="3"/>
      </w:pPr>
      <w:r>
        <w:t>Исследование и отсеивание потенциальных поставщиков услуг</w:t>
      </w:r>
    </w:p>
    <w:p w:rsidR="00640EEC" w:rsidRPr="000927CA" w:rsidRDefault="00AA0EE5" w:rsidP="00252927">
      <w:r>
        <w:t>Вам следует тщательно оценить возможности потенциальных поставщиков услуг в отношении работы с денежными средствами в условиях чрезвычайной ситуации, а также риски работы с ними.</w:t>
      </w:r>
      <w:r w:rsidR="00BA7B73">
        <w:t xml:space="preserve">  </w:t>
      </w:r>
      <w:r>
        <w:t>Возможно, вам придётся выбирать из небольшого числа конкурентоспособных поставщиков услуг.</w:t>
      </w:r>
      <w:r w:rsidR="00BA7B73">
        <w:t xml:space="preserve">  </w:t>
      </w:r>
      <w:r>
        <w:t>Вот несколько моментов, которые помогут вам определиться с выбором:</w:t>
      </w:r>
    </w:p>
    <w:p w:rsidR="00640EEC" w:rsidRPr="00640EEC" w:rsidRDefault="00640EEC" w:rsidP="00247891">
      <w:pPr>
        <w:pStyle w:val="Bullet2"/>
      </w:pPr>
      <w:r>
        <w:t xml:space="preserve">как они удовлетворяют потребности организации и предполагаемых </w:t>
      </w:r>
      <w:r w:rsidR="00BA7B73">
        <w:t>бенефициаров</w:t>
      </w:r>
      <w:r>
        <w:t>,</w:t>
      </w:r>
    </w:p>
    <w:p w:rsidR="00640EEC" w:rsidRPr="00640EEC" w:rsidRDefault="00640EEC" w:rsidP="00247891">
      <w:pPr>
        <w:pStyle w:val="Bullet2"/>
      </w:pPr>
      <w:r>
        <w:t>их географическое покрытие,</w:t>
      </w:r>
    </w:p>
    <w:p w:rsidR="00640EEC" w:rsidRPr="00640EEC" w:rsidRDefault="00640EEC" w:rsidP="00247891">
      <w:pPr>
        <w:pStyle w:val="Bullet2"/>
      </w:pPr>
      <w:r>
        <w:t>сборы, которые они взимают, и</w:t>
      </w:r>
    </w:p>
    <w:p w:rsidR="00640EEC" w:rsidRPr="00640EEC" w:rsidRDefault="00640EEC" w:rsidP="00247891">
      <w:pPr>
        <w:pStyle w:val="Bullet2"/>
      </w:pPr>
      <w:r>
        <w:t>качество предлагаемых услуг.</w:t>
      </w:r>
    </w:p>
    <w:p w:rsidR="00AA0EE5" w:rsidRPr="000927CA" w:rsidRDefault="00AA0EE5" w:rsidP="00252927">
      <w:r>
        <w:t>Инструменты данного под</w:t>
      </w:r>
      <w:r w:rsidR="00022551">
        <w:t>раздела</w:t>
      </w:r>
      <w:r>
        <w:t xml:space="preserve"> позволят вам понять, что требовать от конкретных поставщиков услуг, чтобы они могли быть включены в процесс отбора.</w:t>
      </w:r>
    </w:p>
    <w:p w:rsidR="00AA0EE5" w:rsidRPr="005D7CD5" w:rsidRDefault="00AA0EE5" w:rsidP="00247891">
      <w:pPr>
        <w:pStyle w:val="3"/>
      </w:pPr>
      <w:r>
        <w:t>Тендер и отбор поставщиков услуг</w:t>
      </w:r>
    </w:p>
    <w:p w:rsidR="00AA0EE5" w:rsidRPr="000927CA" w:rsidRDefault="00AA0EE5" w:rsidP="00252927">
      <w:r>
        <w:t>Следующие шаги будут зависеть от протоколов вашей организации в области снабжения и подрядных работ.</w:t>
      </w:r>
      <w:r w:rsidR="00BA7B73">
        <w:t xml:space="preserve">  </w:t>
      </w:r>
      <w:r>
        <w:t>Обычно процесс выбора поставщика подразумевает формальный тендер, проводимый отделом логистики.</w:t>
      </w:r>
      <w:r w:rsidR="00BA7B73">
        <w:t xml:space="preserve">  </w:t>
      </w:r>
      <w:r>
        <w:t>Так как исследование потенциальных партнеров</w:t>
      </w:r>
      <w:r w:rsidR="00FD5A44" w:rsidRPr="00FD5A44">
        <w:t xml:space="preserve"> </w:t>
      </w:r>
      <w:r w:rsidR="00FD5A44">
        <w:t>уже было проведено</w:t>
      </w:r>
      <w:r>
        <w:t>, часть из них были отсеяны, а оставшиеся изучены более подробно, вероятно, при проведении тендера вы ограничитесь только теми поставщиками, которые прошли предварительный отбор.</w:t>
      </w:r>
      <w:r w:rsidR="00BA7B73">
        <w:t xml:space="preserve">  </w:t>
      </w:r>
      <w:r>
        <w:t xml:space="preserve">Если у вас есть только один </w:t>
      </w:r>
      <w:r w:rsidR="00F42B0F">
        <w:t>вариант</w:t>
      </w:r>
      <w:r>
        <w:t>, вероятно, вы будете заключать неконкуре</w:t>
      </w:r>
      <w:r w:rsidR="00FD5A44">
        <w:t>н</w:t>
      </w:r>
      <w:r>
        <w:t>тный или внеконкурсный договор.</w:t>
      </w:r>
    </w:p>
    <w:p w:rsidR="00AA0EE5" w:rsidRPr="000927CA" w:rsidRDefault="004C53A2" w:rsidP="000927CA">
      <w:r>
        <w:t>Техническое задание (ТЗ), разработанное для тендера, должно включать цель запрашиваемых услуг, обязанности, исполнение которых ожидается от поставщика, контрольные показатели, стандарты качества и поддержку, оказываемую агентством, заключающим договор.</w:t>
      </w:r>
      <w:r w:rsidR="00BA7B73">
        <w:t xml:space="preserve">  </w:t>
      </w:r>
      <w:r>
        <w:t>Ожидаемое содержание технического предложения и критерии оценки должны быть описаны в приложениях.</w:t>
      </w:r>
      <w:r w:rsidR="00BA7B73">
        <w:t xml:space="preserve">  </w:t>
      </w:r>
      <w:r>
        <w:t>Вы найдёте бланк ТЗ в инструментах этого под</w:t>
      </w:r>
      <w:r w:rsidR="00022551">
        <w:t>раздела</w:t>
      </w:r>
      <w:r>
        <w:t>.</w:t>
      </w:r>
    </w:p>
    <w:p w:rsidR="00AA1585" w:rsidRPr="000927CA" w:rsidRDefault="00AA0EE5" w:rsidP="000927CA">
      <w:r>
        <w:t>Предложения должны оцениваться на основе критериев, которые были представлены участникам в ТЗ.  Оценка должна проводиться при участии специалистов финансового департамента и департамента информационных технологий, чтобы учесть все критерии:</w:t>
      </w:r>
    </w:p>
    <w:p w:rsidR="00AA1585" w:rsidRPr="00AA1585" w:rsidRDefault="00AA1585" w:rsidP="00247891">
      <w:pPr>
        <w:pStyle w:val="Bullet2"/>
      </w:pPr>
      <w:r>
        <w:t>затраты,</w:t>
      </w:r>
    </w:p>
    <w:p w:rsidR="00AA1585" w:rsidRPr="00AA1585" w:rsidRDefault="00AA1585" w:rsidP="00247891">
      <w:pPr>
        <w:pStyle w:val="Bullet2"/>
      </w:pPr>
      <w:r>
        <w:lastRenderedPageBreak/>
        <w:t>скорость,</w:t>
      </w:r>
    </w:p>
    <w:p w:rsidR="00AA1585" w:rsidRPr="00AA1585" w:rsidRDefault="00AA1585" w:rsidP="00247891">
      <w:pPr>
        <w:pStyle w:val="Bullet2"/>
      </w:pPr>
      <w:r>
        <w:t>гибкость поставщика услуг по отношению к потребностям проекта,</w:t>
      </w:r>
    </w:p>
    <w:p w:rsidR="00AA1585" w:rsidRPr="00AA1585" w:rsidRDefault="00AA1585" w:rsidP="00247891">
      <w:pPr>
        <w:pStyle w:val="Bullet2"/>
      </w:pPr>
      <w:r>
        <w:t>насколько лёгок процесс коммуникации и координирования</w:t>
      </w:r>
    </w:p>
    <w:p w:rsidR="00AA1585" w:rsidRPr="00AA1585" w:rsidRDefault="00AA1585" w:rsidP="00247891">
      <w:pPr>
        <w:pStyle w:val="Bullet2"/>
      </w:pPr>
      <w:r>
        <w:t>возможность оказания технической поддержки и</w:t>
      </w:r>
    </w:p>
    <w:p w:rsidR="00AA1585" w:rsidRPr="00AA1585" w:rsidRDefault="00AA1585" w:rsidP="00247891">
      <w:pPr>
        <w:pStyle w:val="Bullet2"/>
        <w:rPr>
          <w:rFonts w:eastAsia="Times New Roman"/>
        </w:rPr>
      </w:pPr>
      <w:r>
        <w:t>любые «красные флажки», выявленные на стадии предварительного исследования.</w:t>
      </w:r>
    </w:p>
    <w:p w:rsidR="00AA0EE5" w:rsidRPr="00A42585" w:rsidRDefault="00E36ECF" w:rsidP="00247891">
      <w:pPr>
        <w:pStyle w:val="3"/>
      </w:pPr>
      <w:r>
        <w:t>Заключение договоров и определение методов работы</w:t>
      </w:r>
    </w:p>
    <w:p w:rsidR="001A2F29" w:rsidRPr="000927CA" w:rsidRDefault="00AA0EE5" w:rsidP="000927CA">
      <w:r>
        <w:t>Существуют разные способы легального сотрудничества с поставщиком услуг.</w:t>
      </w:r>
      <w:r w:rsidR="00FD5A44">
        <w:t xml:space="preserve">  </w:t>
      </w:r>
      <w:r>
        <w:t>Вероятно, у вас есть стандартный бланк договора, который можно скорректировать, внеся небольшие изменения.</w:t>
      </w:r>
      <w:r w:rsidR="00FD5A44">
        <w:t xml:space="preserve">  </w:t>
      </w:r>
      <w:r>
        <w:t>В зависимости от взаимоотношений с партнёром и от особенностей программы вы можете предпочесть договору простое письмо о согласии.</w:t>
      </w:r>
      <w:r w:rsidR="00FD5A44">
        <w:t xml:space="preserve">  </w:t>
      </w:r>
      <w:r>
        <w:t>В большинстве случаев, однако, у поставщика услуг, особенно, если это банк или оператор мобильной связи, будет стандартный бланк договора на оказание услуг.</w:t>
      </w:r>
      <w:r w:rsidR="00FD5A44">
        <w:t xml:space="preserve">  </w:t>
      </w:r>
      <w:r>
        <w:t>В таком случае, убедитесь, что в документе учтены организационные и программные моменты.</w:t>
      </w:r>
      <w:r w:rsidR="00FD5A44">
        <w:t xml:space="preserve">  </w:t>
      </w:r>
      <w:r>
        <w:t>В инструментах этого под</w:t>
      </w:r>
      <w:r w:rsidR="00022551">
        <w:t>раздела</w:t>
      </w:r>
      <w:r>
        <w:t xml:space="preserve"> вы найдёте бланк догов</w:t>
      </w:r>
      <w:r w:rsidR="00206206">
        <w:t>ора с поставщиком услуг,</w:t>
      </w:r>
      <w:r>
        <w:t xml:space="preserve"> список общих условий для всех контрактов на оказание услуг, а также </w:t>
      </w:r>
      <w:r w:rsidR="00FD5A44">
        <w:t>минимальные</w:t>
      </w:r>
      <w:r>
        <w:t xml:space="preserve"> требования к контрактам с компанией, оказывающей услуги электронных переводов.</w:t>
      </w:r>
    </w:p>
    <w:p w:rsidR="00F31177" w:rsidRPr="00F31177" w:rsidRDefault="00F31177" w:rsidP="00247891">
      <w:pPr>
        <w:pStyle w:val="3"/>
      </w:pPr>
      <w:r>
        <w:t xml:space="preserve">Работа с данными </w:t>
      </w:r>
      <w:r w:rsidR="00206206">
        <w:t>бенефициаров</w:t>
      </w:r>
      <w:r>
        <w:t xml:space="preserve"> и защита данных</w:t>
      </w:r>
    </w:p>
    <w:p w:rsidR="007A4F7E" w:rsidRDefault="00F31177" w:rsidP="00252927">
      <w:r>
        <w:t xml:space="preserve">При осуществлении денежных переводов с участием поставщика финансовых услуг особенно важно уделять внимание работе с данными </w:t>
      </w:r>
      <w:r w:rsidR="00206206">
        <w:t>бенефициаров</w:t>
      </w:r>
      <w:r>
        <w:t xml:space="preserve"> и защите данных.</w:t>
      </w:r>
      <w:r w:rsidR="00FD5A44">
        <w:t xml:space="preserve">  </w:t>
      </w:r>
      <w:r w:rsidR="00206206">
        <w:t xml:space="preserve">Для защиты от возможного нарушения </w:t>
      </w:r>
      <w:r>
        <w:t xml:space="preserve">конфиденциальности, а также для предотвращения случаев мошенничества и злоупотреблений необходимо ввести множественные уровни контроля в областях, касающихся сбора, использования, разглашения и хранения личных данных </w:t>
      </w:r>
      <w:r w:rsidR="00206206">
        <w:t>бенефициаров</w:t>
      </w:r>
      <w:r>
        <w:t>.</w:t>
      </w:r>
      <w:r w:rsidR="00FD5A44">
        <w:t xml:space="preserve">  </w:t>
      </w:r>
      <w:r>
        <w:t>Соблюдайте осторожность при передаче данных небезопасным образом по электронной почте, так как к ним могут получить доступ третьи лица.</w:t>
      </w:r>
    </w:p>
    <w:p w:rsidR="001F4CA6" w:rsidRPr="000927CA" w:rsidRDefault="001F4CA6" w:rsidP="00252927">
      <w:r>
        <w:t>На выбор средств для работы с данными и обеспечения безопасности будут влиять такие факторы, как:</w:t>
      </w:r>
    </w:p>
    <w:p w:rsidR="001F4CA6" w:rsidRPr="001F4CA6" w:rsidRDefault="001F4CA6" w:rsidP="007A4F7E">
      <w:pPr>
        <w:pStyle w:val="Bullet2"/>
        <w:keepNext/>
        <w:spacing w:before="0"/>
        <w:ind w:left="714" w:hanging="357"/>
        <w:contextualSpacing/>
      </w:pPr>
      <w:r>
        <w:t>местное законодательство,</w:t>
      </w:r>
    </w:p>
    <w:p w:rsidR="001F4CA6" w:rsidRPr="001F4CA6" w:rsidRDefault="001F4CA6" w:rsidP="007A4F7E">
      <w:pPr>
        <w:pStyle w:val="Bullet2"/>
        <w:keepNext/>
        <w:spacing w:before="0"/>
        <w:ind w:left="714" w:hanging="357"/>
        <w:contextualSpacing/>
      </w:pPr>
      <w:r>
        <w:t>масштаб программы,</w:t>
      </w:r>
    </w:p>
    <w:p w:rsidR="001F4CA6" w:rsidRPr="001F4CA6" w:rsidRDefault="001F4CA6" w:rsidP="007A4F7E">
      <w:pPr>
        <w:pStyle w:val="Bullet2"/>
        <w:spacing w:before="0"/>
        <w:contextualSpacing/>
      </w:pPr>
      <w:r>
        <w:t>имеющиеся технические знания и ресурсы и</w:t>
      </w:r>
    </w:p>
    <w:p w:rsidR="007A4F7E" w:rsidRDefault="001F4CA6" w:rsidP="007A4F7E">
      <w:pPr>
        <w:pStyle w:val="Bullet2"/>
        <w:spacing w:before="0"/>
        <w:contextualSpacing/>
      </w:pPr>
      <w:r>
        <w:t>требования поставщика услуг.</w:t>
      </w:r>
    </w:p>
    <w:p w:rsidR="00E736B3" w:rsidRPr="000927CA" w:rsidRDefault="00BE35A3" w:rsidP="000927CA">
      <w:pPr>
        <w:spacing w:before="360" w:after="360"/>
      </w:pPr>
      <w:r>
        <w:t>В инструментах этого под</w:t>
      </w:r>
      <w:r w:rsidR="00022551">
        <w:t>раздела</w:t>
      </w:r>
      <w:r>
        <w:t xml:space="preserve"> вы найдёте принципы защиты данных </w:t>
      </w:r>
      <w:r w:rsidR="00206206">
        <w:t>бенефициаров</w:t>
      </w:r>
      <w:r>
        <w:t>, а также предлагаемые варианты положений договора, касающиеся защиты данных.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C4CDD" w:rsidRPr="00206206" w:rsidTr="003C4CDD">
        <w:tc>
          <w:tcPr>
            <w:tcW w:w="9848" w:type="dxa"/>
          </w:tcPr>
          <w:p w:rsidR="003C4CDD" w:rsidRDefault="003C4CDD" w:rsidP="003C4CDD">
            <w:pPr>
              <w:pStyle w:val="RefTitre"/>
              <w:keepNext/>
              <w:rPr>
                <w:sz w:val="22"/>
              </w:rPr>
            </w:pPr>
            <w:r>
              <w:lastRenderedPageBreak/>
              <w:t>СПРАВОЧНЫЕ ДОКУМЕНТЫ</w:t>
            </w:r>
          </w:p>
          <w:p w:rsidR="003C4CDD" w:rsidRPr="00022551" w:rsidRDefault="003C4CDD" w:rsidP="003C4CDD">
            <w:pPr>
              <w:pStyle w:val="RefItem1"/>
              <w:keepNext/>
              <w:rPr>
                <w:lang w:val="en-US"/>
              </w:rPr>
            </w:pPr>
            <w:r>
              <w:t>Инновации в области платежей АМР США и NetHope.  Набор</w:t>
            </w:r>
            <w:r w:rsidRPr="00022551">
              <w:rPr>
                <w:lang w:val="en-US"/>
              </w:rPr>
              <w:t xml:space="preserve"> </w:t>
            </w:r>
            <w:r>
              <w:t>инструментов</w:t>
            </w:r>
            <w:r w:rsidRPr="00022551">
              <w:rPr>
                <w:lang w:val="en-US"/>
              </w:rPr>
              <w:t xml:space="preserve"> </w:t>
            </w:r>
            <w:r>
              <w:t>для</w:t>
            </w:r>
            <w:r w:rsidRPr="00022551">
              <w:rPr>
                <w:lang w:val="en-US"/>
              </w:rPr>
              <w:t xml:space="preserve"> </w:t>
            </w:r>
            <w:r>
              <w:t>электронных</w:t>
            </w:r>
            <w:r w:rsidRPr="00022551">
              <w:rPr>
                <w:lang w:val="en-US"/>
              </w:rPr>
              <w:t xml:space="preserve"> </w:t>
            </w:r>
            <w:r>
              <w:t>платежей</w:t>
            </w:r>
            <w:r w:rsidRPr="00022551">
              <w:rPr>
                <w:lang w:val="en-US"/>
              </w:rPr>
              <w:t xml:space="preserve">. / </w:t>
            </w:r>
            <w:r w:rsidRPr="00BA7B73">
              <w:rPr>
                <w:lang w:val="en-US"/>
              </w:rPr>
              <w:t>USAID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and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NetHope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Payment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Innovations</w:t>
            </w:r>
            <w:r w:rsidRPr="00022551">
              <w:rPr>
                <w:lang w:val="en-US"/>
              </w:rPr>
              <w:t xml:space="preserve">. </w:t>
            </w:r>
            <w:r w:rsidRPr="00BA7B73">
              <w:rPr>
                <w:lang w:val="en-US"/>
              </w:rPr>
              <w:t>e</w:t>
            </w:r>
            <w:r w:rsidRPr="00022551">
              <w:rPr>
                <w:lang w:val="en-US"/>
              </w:rPr>
              <w:t>-</w:t>
            </w:r>
            <w:r w:rsidRPr="00BA7B73">
              <w:rPr>
                <w:lang w:val="en-US"/>
              </w:rPr>
              <w:t>Payment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Toolkit</w:t>
            </w:r>
            <w:r w:rsidRPr="00022551">
              <w:rPr>
                <w:lang w:val="en-US"/>
              </w:rPr>
              <w:t>.</w:t>
            </w:r>
            <w:r w:rsidRPr="00BA7B73">
              <w:rPr>
                <w:color w:val="0000FF"/>
                <w:u w:val="single"/>
                <w:lang w:val="en-US"/>
              </w:rPr>
              <w:t>solutionscenter</w:t>
            </w:r>
            <w:r w:rsidRPr="00022551">
              <w:rPr>
                <w:color w:val="0000FF"/>
                <w:u w:val="single"/>
                <w:lang w:val="en-US"/>
              </w:rPr>
              <w:t>.</w:t>
            </w:r>
            <w:r w:rsidRPr="00BA7B73">
              <w:rPr>
                <w:color w:val="0000FF"/>
                <w:u w:val="single"/>
                <w:lang w:val="en-US"/>
              </w:rPr>
              <w:t>nethope</w:t>
            </w:r>
            <w:r w:rsidRPr="00022551">
              <w:rPr>
                <w:color w:val="0000FF"/>
                <w:u w:val="single"/>
                <w:lang w:val="en-US"/>
              </w:rPr>
              <w:t>.</w:t>
            </w:r>
            <w:r w:rsidRPr="00BA7B73">
              <w:rPr>
                <w:color w:val="0000FF"/>
                <w:u w:val="single"/>
                <w:lang w:val="en-US"/>
              </w:rPr>
              <w:t>org</w:t>
            </w:r>
            <w:r w:rsidRPr="00022551">
              <w:rPr>
                <w:color w:val="0000FF"/>
                <w:u w:val="single"/>
                <w:lang w:val="en-US"/>
              </w:rPr>
              <w:t>/</w:t>
            </w:r>
            <w:r w:rsidRPr="00BA7B73">
              <w:rPr>
                <w:color w:val="0000FF"/>
                <w:u w:val="single"/>
                <w:lang w:val="en-US"/>
              </w:rPr>
              <w:t>programs</w:t>
            </w:r>
            <w:r w:rsidRPr="00022551">
              <w:rPr>
                <w:color w:val="0000FF"/>
                <w:u w:val="single"/>
                <w:lang w:val="en-US"/>
              </w:rPr>
              <w:t>/</w:t>
            </w:r>
            <w:r w:rsidRPr="00BA7B73">
              <w:rPr>
                <w:color w:val="0000FF"/>
                <w:u w:val="single"/>
                <w:lang w:val="en-US"/>
              </w:rPr>
              <w:t>c</w:t>
            </w:r>
            <w:r w:rsidRPr="00022551">
              <w:rPr>
                <w:color w:val="0000FF"/>
                <w:u w:val="single"/>
                <w:lang w:val="en-US"/>
              </w:rPr>
              <w:t>2</w:t>
            </w:r>
            <w:r w:rsidRPr="00BA7B73">
              <w:rPr>
                <w:color w:val="0000FF"/>
                <w:u w:val="single"/>
                <w:lang w:val="en-US"/>
              </w:rPr>
              <w:t>e</w:t>
            </w:r>
            <w:r w:rsidRPr="00022551">
              <w:rPr>
                <w:color w:val="0000FF"/>
                <w:u w:val="single"/>
                <w:lang w:val="en-US"/>
              </w:rPr>
              <w:t>-</w:t>
            </w:r>
            <w:r w:rsidRPr="00BA7B73">
              <w:rPr>
                <w:color w:val="0000FF"/>
                <w:u w:val="single"/>
                <w:lang w:val="en-US"/>
              </w:rPr>
              <w:t>toolkit</w:t>
            </w:r>
          </w:p>
          <w:p w:rsidR="003C4CDD" w:rsidRPr="00022551" w:rsidRDefault="003C4CDD" w:rsidP="003C4CDD">
            <w:pPr>
              <w:pStyle w:val="RefItem1"/>
              <w:keepNext/>
              <w:rPr>
                <w:lang w:val="en-US"/>
              </w:rPr>
            </w:pPr>
            <w:r>
              <w:t>Работа</w:t>
            </w:r>
            <w:r w:rsidRPr="00022551">
              <w:rPr>
                <w:lang w:val="en-US"/>
              </w:rPr>
              <w:t xml:space="preserve"> </w:t>
            </w:r>
            <w:r>
              <w:t>с</w:t>
            </w:r>
            <w:r w:rsidRPr="00022551">
              <w:rPr>
                <w:lang w:val="en-US"/>
              </w:rPr>
              <w:t xml:space="preserve"> </w:t>
            </w:r>
            <w:r>
              <w:t>банками</w:t>
            </w:r>
            <w:r w:rsidR="00206206" w:rsidRPr="00022551">
              <w:rPr>
                <w:lang w:val="en-US"/>
              </w:rPr>
              <w:t xml:space="preserve">.  </w:t>
            </w:r>
            <w:r w:rsidR="00206206">
              <w:t>Руководство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для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работы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на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местах</w:t>
            </w:r>
            <w:r w:rsidR="00206206" w:rsidRPr="00022551">
              <w:rPr>
                <w:lang w:val="en-US"/>
              </w:rPr>
              <w:t xml:space="preserve">:  </w:t>
            </w:r>
            <w:r w:rsidR="00206206">
              <w:t>переговоры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с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банками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при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реализации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программ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переводов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денежных</w:t>
            </w:r>
            <w:r w:rsidR="00206206" w:rsidRPr="00022551">
              <w:rPr>
                <w:lang w:val="en-US"/>
              </w:rPr>
              <w:t xml:space="preserve"> </w:t>
            </w:r>
            <w:r w:rsidR="00206206">
              <w:t>средств</w:t>
            </w:r>
            <w:r w:rsidR="00206206" w:rsidRPr="00022551">
              <w:rPr>
                <w:lang w:val="en-US"/>
              </w:rPr>
              <w:t xml:space="preserve"> </w:t>
            </w:r>
            <w:r w:rsidRPr="00022551">
              <w:rPr>
                <w:lang w:val="en-US"/>
              </w:rPr>
              <w:t xml:space="preserve">/ </w:t>
            </w:r>
            <w:r w:rsidRPr="00BA7B73">
              <w:rPr>
                <w:lang w:val="en-US"/>
              </w:rPr>
              <w:t>Working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With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Banks</w:t>
            </w:r>
            <w:r w:rsidRPr="00022551">
              <w:rPr>
                <w:lang w:val="en-US"/>
              </w:rPr>
              <w:t>:</w:t>
            </w:r>
            <w:r w:rsidR="00206206"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A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field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guide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to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negotiating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with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banks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in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cash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transfer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programming</w:t>
            </w:r>
            <w:r w:rsidRPr="00022551">
              <w:rPr>
                <w:lang w:val="en-US"/>
              </w:rPr>
              <w:t xml:space="preserve"> (2011) </w:t>
            </w:r>
            <w:r w:rsidRPr="00BA7B73">
              <w:rPr>
                <w:lang w:val="en-US"/>
              </w:rPr>
              <w:t>CaLP</w:t>
            </w:r>
            <w:r w:rsidRPr="00022551">
              <w:rPr>
                <w:lang w:val="en-US"/>
              </w:rPr>
              <w:t xml:space="preserve"> </w:t>
            </w:r>
            <w:hyperlink r:id="rId7" w:history="1">
              <w:r w:rsidRPr="00BA7B73">
                <w:rPr>
                  <w:rStyle w:val="af6"/>
                  <w:lang w:val="en-US"/>
                </w:rPr>
                <w:t>http</w:t>
              </w:r>
              <w:r w:rsidRPr="00022551">
                <w:rPr>
                  <w:rStyle w:val="af6"/>
                  <w:lang w:val="en-US"/>
                </w:rPr>
                <w:t>://</w:t>
              </w:r>
              <w:r w:rsidRPr="00BA7B73">
                <w:rPr>
                  <w:rStyle w:val="af6"/>
                  <w:lang w:val="en-US"/>
                </w:rPr>
                <w:t>www</w:t>
              </w:r>
              <w:r w:rsidRPr="00022551">
                <w:rPr>
                  <w:rStyle w:val="af6"/>
                  <w:lang w:val="en-US"/>
                </w:rPr>
                <w:t>.</w:t>
              </w:r>
              <w:r w:rsidRPr="00BA7B73">
                <w:rPr>
                  <w:rStyle w:val="af6"/>
                  <w:lang w:val="en-US"/>
                </w:rPr>
                <w:t>cashlearning</w:t>
              </w:r>
              <w:r w:rsidRPr="00022551">
                <w:rPr>
                  <w:rStyle w:val="af6"/>
                  <w:lang w:val="en-US"/>
                </w:rPr>
                <w:t>.</w:t>
              </w:r>
              <w:r w:rsidRPr="00BA7B73">
                <w:rPr>
                  <w:rStyle w:val="af6"/>
                  <w:lang w:val="en-US"/>
                </w:rPr>
                <w:t>org</w:t>
              </w:r>
              <w:r w:rsidRPr="00022551">
                <w:rPr>
                  <w:rStyle w:val="af6"/>
                  <w:lang w:val="en-US"/>
                </w:rPr>
                <w:t>/</w:t>
              </w:r>
              <w:r w:rsidRPr="00BA7B73">
                <w:rPr>
                  <w:rStyle w:val="af6"/>
                  <w:lang w:val="en-US"/>
                </w:rPr>
                <w:t>resources</w:t>
              </w:r>
              <w:r w:rsidRPr="00022551">
                <w:rPr>
                  <w:rStyle w:val="af6"/>
                  <w:lang w:val="en-US"/>
                </w:rPr>
                <w:t>/</w:t>
              </w:r>
              <w:r w:rsidRPr="00BA7B73">
                <w:rPr>
                  <w:rStyle w:val="af6"/>
                  <w:lang w:val="en-US"/>
                </w:rPr>
                <w:t>library</w:t>
              </w:r>
              <w:r w:rsidRPr="00022551">
                <w:rPr>
                  <w:rStyle w:val="af6"/>
                  <w:lang w:val="en-US"/>
                </w:rPr>
                <w:t>/34-</w:t>
              </w:r>
              <w:r w:rsidRPr="00BA7B73">
                <w:rPr>
                  <w:rStyle w:val="af6"/>
                  <w:lang w:val="en-US"/>
                </w:rPr>
                <w:t>working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with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banks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a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field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guide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to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negotiating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with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banks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in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cash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transfer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programming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screen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version</w:t>
              </w:r>
            </w:hyperlink>
          </w:p>
          <w:p w:rsidR="003C4CDD" w:rsidRPr="00022551" w:rsidRDefault="003C4CDD" w:rsidP="003C4CDD">
            <w:pPr>
              <w:pStyle w:val="RefItem1"/>
              <w:keepNext/>
              <w:rPr>
                <w:rStyle w:val="af6"/>
                <w:lang w:val="en-US"/>
              </w:rPr>
            </w:pPr>
            <w:r>
              <w:t>Электронные</w:t>
            </w:r>
            <w:r w:rsidRPr="00022551">
              <w:rPr>
                <w:lang w:val="en-US"/>
              </w:rPr>
              <w:t xml:space="preserve"> </w:t>
            </w:r>
            <w:r>
              <w:t>переводы</w:t>
            </w:r>
            <w:r w:rsidRPr="00022551">
              <w:rPr>
                <w:lang w:val="en-US"/>
              </w:rPr>
              <w:t xml:space="preserve"> </w:t>
            </w:r>
            <w:r>
              <w:t>в</w:t>
            </w:r>
            <w:r w:rsidRPr="00022551">
              <w:rPr>
                <w:lang w:val="en-US"/>
              </w:rPr>
              <w:t xml:space="preserve"> </w:t>
            </w:r>
            <w:r>
              <w:t>условиях</w:t>
            </w:r>
            <w:r w:rsidRPr="00022551">
              <w:rPr>
                <w:lang w:val="en-US"/>
              </w:rPr>
              <w:t xml:space="preserve"> </w:t>
            </w:r>
            <w:r>
              <w:t>чрезвычайных</w:t>
            </w:r>
            <w:r w:rsidRPr="00022551">
              <w:rPr>
                <w:lang w:val="en-US"/>
              </w:rPr>
              <w:t xml:space="preserve"> </w:t>
            </w:r>
            <w:r>
              <w:t>ситуаций</w:t>
            </w:r>
            <w:r w:rsidRPr="00022551">
              <w:rPr>
                <w:lang w:val="en-US"/>
              </w:rPr>
              <w:t xml:space="preserve">:  </w:t>
            </w:r>
            <w:r>
              <w:t>руководство</w:t>
            </w:r>
            <w:r w:rsidRPr="00022551">
              <w:rPr>
                <w:lang w:val="en-US"/>
              </w:rPr>
              <w:t xml:space="preserve"> </w:t>
            </w:r>
            <w:r>
              <w:t>для</w:t>
            </w:r>
            <w:r w:rsidRPr="00022551">
              <w:rPr>
                <w:lang w:val="en-US"/>
              </w:rPr>
              <w:t xml:space="preserve"> </w:t>
            </w:r>
            <w:r>
              <w:t>реализации</w:t>
            </w:r>
            <w:r w:rsidRPr="00022551">
              <w:rPr>
                <w:lang w:val="en-US"/>
              </w:rPr>
              <w:t xml:space="preserve"> </w:t>
            </w:r>
            <w:r>
              <w:t>программ</w:t>
            </w:r>
            <w:r w:rsidRPr="00022551">
              <w:rPr>
                <w:lang w:val="en-US"/>
              </w:rPr>
              <w:t xml:space="preserve"> / </w:t>
            </w:r>
            <w:r w:rsidRPr="00BA7B73">
              <w:rPr>
                <w:lang w:val="en-US"/>
              </w:rPr>
              <w:t>E</w:t>
            </w:r>
            <w:r w:rsidRPr="00022551">
              <w:rPr>
                <w:lang w:val="en-US"/>
              </w:rPr>
              <w:t>-</w:t>
            </w:r>
            <w:r w:rsidRPr="00BA7B73">
              <w:rPr>
                <w:lang w:val="en-US"/>
              </w:rPr>
              <w:t>transfers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in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emergencies</w:t>
            </w:r>
            <w:r w:rsidRPr="00022551">
              <w:rPr>
                <w:lang w:val="en-US"/>
              </w:rPr>
              <w:t xml:space="preserve">: </w:t>
            </w:r>
            <w:r w:rsidRPr="00BA7B73">
              <w:rPr>
                <w:lang w:val="en-US"/>
              </w:rPr>
              <w:t>implementation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support</w:t>
            </w:r>
            <w:r w:rsidRPr="00022551">
              <w:rPr>
                <w:lang w:val="en-US"/>
              </w:rPr>
              <w:t xml:space="preserve"> </w:t>
            </w:r>
            <w:r w:rsidRPr="00BA7B73">
              <w:rPr>
                <w:lang w:val="en-US"/>
              </w:rPr>
              <w:t>guidelines</w:t>
            </w:r>
            <w:r w:rsidRPr="00022551">
              <w:rPr>
                <w:lang w:val="en-US"/>
              </w:rPr>
              <w:t xml:space="preserve">" 2013 </w:t>
            </w:r>
            <w:r w:rsidRPr="00BA7B73">
              <w:rPr>
                <w:lang w:val="en-US"/>
              </w:rPr>
              <w:t>CaLP</w:t>
            </w:r>
            <w:r w:rsidRPr="00022551">
              <w:rPr>
                <w:lang w:val="en-US"/>
              </w:rPr>
              <w:t xml:space="preserve"> </w:t>
            </w:r>
            <w:hyperlink r:id="rId8" w:history="1">
              <w:r w:rsidRPr="00BA7B73">
                <w:rPr>
                  <w:rStyle w:val="af6"/>
                  <w:lang w:val="en-US"/>
                </w:rPr>
                <w:t>http</w:t>
              </w:r>
              <w:r w:rsidRPr="00022551">
                <w:rPr>
                  <w:rStyle w:val="af6"/>
                  <w:lang w:val="en-US"/>
                </w:rPr>
                <w:t>://</w:t>
              </w:r>
              <w:r w:rsidRPr="00BA7B73">
                <w:rPr>
                  <w:rStyle w:val="af6"/>
                  <w:lang w:val="en-US"/>
                </w:rPr>
                <w:t>www</w:t>
              </w:r>
              <w:r w:rsidRPr="00022551">
                <w:rPr>
                  <w:rStyle w:val="af6"/>
                  <w:lang w:val="en-US"/>
                </w:rPr>
                <w:t>.</w:t>
              </w:r>
              <w:r w:rsidRPr="00BA7B73">
                <w:rPr>
                  <w:rStyle w:val="af6"/>
                  <w:lang w:val="en-US"/>
                </w:rPr>
                <w:t>cashlearning</w:t>
              </w:r>
              <w:r w:rsidRPr="00022551">
                <w:rPr>
                  <w:rStyle w:val="af6"/>
                  <w:lang w:val="en-US"/>
                </w:rPr>
                <w:t>.</w:t>
              </w:r>
              <w:r w:rsidRPr="00BA7B73">
                <w:rPr>
                  <w:rStyle w:val="af6"/>
                  <w:lang w:val="en-US"/>
                </w:rPr>
                <w:t>org</w:t>
              </w:r>
              <w:r w:rsidRPr="00022551">
                <w:rPr>
                  <w:rStyle w:val="af6"/>
                  <w:lang w:val="en-US"/>
                </w:rPr>
                <w:t>/</w:t>
              </w:r>
              <w:r w:rsidRPr="00BA7B73">
                <w:rPr>
                  <w:rStyle w:val="af6"/>
                  <w:lang w:val="en-US"/>
                </w:rPr>
                <w:t>resources</w:t>
              </w:r>
              <w:r w:rsidRPr="00022551">
                <w:rPr>
                  <w:rStyle w:val="af6"/>
                  <w:lang w:val="en-US"/>
                </w:rPr>
                <w:t>/</w:t>
              </w:r>
              <w:r w:rsidRPr="00BA7B73">
                <w:rPr>
                  <w:rStyle w:val="af6"/>
                  <w:lang w:val="en-US"/>
                </w:rPr>
                <w:t>library</w:t>
              </w:r>
              <w:r w:rsidRPr="00022551">
                <w:rPr>
                  <w:rStyle w:val="af6"/>
                  <w:lang w:val="en-US"/>
                </w:rPr>
                <w:t>/390-</w:t>
              </w:r>
              <w:r w:rsidRPr="00BA7B73">
                <w:rPr>
                  <w:rStyle w:val="af6"/>
                  <w:lang w:val="en-US"/>
                </w:rPr>
                <w:t>e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transfers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in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emergencies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implementation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support</w:t>
              </w:r>
              <w:r w:rsidRPr="00022551">
                <w:rPr>
                  <w:rStyle w:val="af6"/>
                  <w:lang w:val="en-US"/>
                </w:rPr>
                <w:t>-</w:t>
              </w:r>
              <w:r w:rsidRPr="00BA7B73">
                <w:rPr>
                  <w:rStyle w:val="af6"/>
                  <w:lang w:val="en-US"/>
                </w:rPr>
                <w:t>guideline</w:t>
              </w:r>
            </w:hyperlink>
          </w:p>
          <w:p w:rsidR="00866839" w:rsidRPr="00206206" w:rsidRDefault="00866839" w:rsidP="00866839">
            <w:pPr>
              <w:jc w:val="left"/>
              <w:rPr>
                <w:rFonts w:eastAsia="Times New Roman" w:cs="Arial"/>
              </w:rPr>
            </w:pPr>
            <w:r>
              <w:t>Контрольный</w:t>
            </w:r>
            <w:r w:rsidRPr="00206206">
              <w:t xml:space="preserve"> </w:t>
            </w:r>
            <w:r>
              <w:t>список</w:t>
            </w:r>
            <w:r w:rsidRPr="00206206">
              <w:t xml:space="preserve"> </w:t>
            </w:r>
            <w:r>
              <w:t>для</w:t>
            </w:r>
            <w:r w:rsidRPr="00206206">
              <w:t xml:space="preserve"> </w:t>
            </w:r>
            <w:r>
              <w:t>проверки</w:t>
            </w:r>
            <w:r w:rsidRPr="00206206">
              <w:t xml:space="preserve"> </w:t>
            </w:r>
            <w:r>
              <w:t>поставщика</w:t>
            </w:r>
            <w:r w:rsidRPr="00206206">
              <w:t xml:space="preserve"> </w:t>
            </w:r>
            <w:r>
              <w:t>финансовых</w:t>
            </w:r>
            <w:r w:rsidRPr="00206206">
              <w:t xml:space="preserve"> </w:t>
            </w:r>
            <w:r>
              <w:t>услуг</w:t>
            </w:r>
            <w:r w:rsidRPr="00206206">
              <w:t xml:space="preserve"> (</w:t>
            </w:r>
            <w:r>
              <w:t>ПФУ</w:t>
            </w:r>
            <w:r w:rsidRPr="00206206">
              <w:t xml:space="preserve">), </w:t>
            </w:r>
            <w:r>
              <w:t>приложение</w:t>
            </w:r>
            <w:r w:rsidRPr="00206206">
              <w:t xml:space="preserve"> </w:t>
            </w:r>
            <w:r>
              <w:t>С</w:t>
            </w:r>
            <w:r w:rsidR="00206206" w:rsidRPr="00206206">
              <w:t xml:space="preserve"> </w:t>
            </w:r>
            <w:r w:rsidR="00206206">
              <w:t xml:space="preserve">к </w:t>
            </w:r>
            <w:r w:rsidRPr="00206206">
              <w:t xml:space="preserve"> </w:t>
            </w:r>
            <w:r>
              <w:t>Дополнени</w:t>
            </w:r>
            <w:r w:rsidR="00206206">
              <w:t>ю</w:t>
            </w:r>
            <w:r w:rsidRPr="00206206">
              <w:t xml:space="preserve"> 3 «</w:t>
            </w:r>
            <w:r>
              <w:t>Стандартный</w:t>
            </w:r>
            <w:r w:rsidRPr="00206206">
              <w:t xml:space="preserve"> </w:t>
            </w:r>
            <w:r>
              <w:t>регламент</w:t>
            </w:r>
            <w:r w:rsidRPr="00206206">
              <w:t xml:space="preserve"> </w:t>
            </w:r>
            <w:r>
              <w:t>ПФУ</w:t>
            </w:r>
            <w:r w:rsidRPr="00206206">
              <w:t xml:space="preserve">» </w:t>
            </w:r>
            <w:r>
              <w:t>в</w:t>
            </w:r>
            <w:r w:rsidRPr="00206206">
              <w:t xml:space="preserve"> </w:t>
            </w:r>
            <w:r>
              <w:t>Оперативном</w:t>
            </w:r>
            <w:r w:rsidRPr="00206206">
              <w:t xml:space="preserve"> </w:t>
            </w:r>
            <w:r>
              <w:t>руководстве</w:t>
            </w:r>
            <w:r w:rsidRPr="00206206">
              <w:t xml:space="preserve"> </w:t>
            </w:r>
            <w:r>
              <w:t>и</w:t>
            </w:r>
            <w:r w:rsidRPr="00206206">
              <w:t xml:space="preserve"> </w:t>
            </w:r>
            <w:r>
              <w:t>наборе</w:t>
            </w:r>
            <w:r w:rsidRPr="00206206">
              <w:t xml:space="preserve"> </w:t>
            </w:r>
            <w:r>
              <w:t>инструментов</w:t>
            </w:r>
            <w:r w:rsidRPr="00206206">
              <w:t xml:space="preserve"> </w:t>
            </w:r>
            <w:r>
              <w:t>для</w:t>
            </w:r>
            <w:r w:rsidRPr="00206206">
              <w:t xml:space="preserve"> </w:t>
            </w:r>
            <w:r>
              <w:t>многоцелевых</w:t>
            </w:r>
            <w:r w:rsidRPr="00206206">
              <w:t xml:space="preserve"> </w:t>
            </w:r>
            <w:r>
              <w:t>денежных</w:t>
            </w:r>
            <w:r w:rsidRPr="00206206">
              <w:t xml:space="preserve"> </w:t>
            </w:r>
            <w:r>
              <w:t>субсидий</w:t>
            </w:r>
            <w:r w:rsidRPr="00206206">
              <w:t xml:space="preserve"> (</w:t>
            </w:r>
            <w:r>
              <w:t>УВКБООН</w:t>
            </w:r>
            <w:r w:rsidRPr="00206206">
              <w:t xml:space="preserve"> 2016) / </w:t>
            </w:r>
            <w:r w:rsidRPr="00BA7B73">
              <w:rPr>
                <w:lang w:val="en-US"/>
              </w:rPr>
              <w:t>Financial</w:t>
            </w:r>
            <w:r w:rsidRPr="00206206">
              <w:t xml:space="preserve"> </w:t>
            </w:r>
            <w:r w:rsidRPr="00BA7B73">
              <w:rPr>
                <w:lang w:val="en-US"/>
              </w:rPr>
              <w:t>Service</w:t>
            </w:r>
            <w:r w:rsidRPr="00206206">
              <w:t xml:space="preserve"> </w:t>
            </w:r>
            <w:r w:rsidRPr="00BA7B73">
              <w:rPr>
                <w:lang w:val="en-US"/>
              </w:rPr>
              <w:t>Provider</w:t>
            </w:r>
            <w:r w:rsidRPr="00206206">
              <w:t xml:space="preserve"> (</w:t>
            </w:r>
            <w:r w:rsidRPr="00BA7B73">
              <w:rPr>
                <w:lang w:val="en-US"/>
              </w:rPr>
              <w:t>FSP</w:t>
            </w:r>
            <w:r w:rsidRPr="00206206">
              <w:t xml:space="preserve">) </w:t>
            </w:r>
            <w:r w:rsidRPr="00BA7B73">
              <w:rPr>
                <w:lang w:val="en-US"/>
              </w:rPr>
              <w:t>Review</w:t>
            </w:r>
            <w:r w:rsidRPr="00206206">
              <w:t xml:space="preserve"> </w:t>
            </w:r>
            <w:r w:rsidRPr="00BA7B73">
              <w:rPr>
                <w:lang w:val="en-US"/>
              </w:rPr>
              <w:t>Checklist</w:t>
            </w:r>
            <w:r w:rsidRPr="00206206">
              <w:t xml:space="preserve">, </w:t>
            </w:r>
            <w:r w:rsidRPr="00BA7B73">
              <w:rPr>
                <w:lang w:val="en-US"/>
              </w:rPr>
              <w:t>Appendix</w:t>
            </w:r>
            <w:r w:rsidRPr="00206206">
              <w:t xml:space="preserve"> </w:t>
            </w:r>
            <w:r w:rsidRPr="00BA7B73">
              <w:rPr>
                <w:lang w:val="en-US"/>
              </w:rPr>
              <w:t>C</w:t>
            </w:r>
            <w:r w:rsidRPr="00206206">
              <w:t xml:space="preserve"> </w:t>
            </w:r>
            <w:r w:rsidRPr="00BA7B73">
              <w:rPr>
                <w:lang w:val="en-US"/>
              </w:rPr>
              <w:t>of</w:t>
            </w:r>
            <w:r w:rsidRPr="00206206">
              <w:t xml:space="preserve"> </w:t>
            </w:r>
            <w:r w:rsidRPr="00BA7B73">
              <w:rPr>
                <w:lang w:val="en-US"/>
              </w:rPr>
              <w:t>Annex</w:t>
            </w:r>
            <w:r w:rsidRPr="00206206">
              <w:t xml:space="preserve"> 3 ‘</w:t>
            </w:r>
            <w:r w:rsidRPr="00BA7B73">
              <w:rPr>
                <w:lang w:val="en-US"/>
              </w:rPr>
              <w:t>MPG</w:t>
            </w:r>
            <w:r w:rsidRPr="00206206">
              <w:t xml:space="preserve"> </w:t>
            </w:r>
            <w:r w:rsidRPr="00BA7B73">
              <w:rPr>
                <w:lang w:val="en-US"/>
              </w:rPr>
              <w:t>Standard</w:t>
            </w:r>
            <w:r w:rsidRPr="00206206">
              <w:t xml:space="preserve"> </w:t>
            </w:r>
            <w:r w:rsidRPr="00BA7B73">
              <w:rPr>
                <w:lang w:val="en-US"/>
              </w:rPr>
              <w:t>Operating</w:t>
            </w:r>
            <w:r w:rsidRPr="00206206">
              <w:t xml:space="preserve"> </w:t>
            </w:r>
            <w:r w:rsidRPr="00BA7B73">
              <w:rPr>
                <w:lang w:val="en-US"/>
              </w:rPr>
              <w:t>Procedures</w:t>
            </w:r>
            <w:r w:rsidRPr="00206206">
              <w:t xml:space="preserve">’ </w:t>
            </w:r>
            <w:r w:rsidRPr="00BA7B73">
              <w:rPr>
                <w:lang w:val="en-US"/>
              </w:rPr>
              <w:t>in</w:t>
            </w:r>
            <w:r w:rsidRPr="00206206">
              <w:t xml:space="preserve">   </w:t>
            </w:r>
            <w:r w:rsidRPr="00BA7B73">
              <w:rPr>
                <w:lang w:val="en-US"/>
              </w:rPr>
              <w:t>Operational</w:t>
            </w:r>
            <w:r w:rsidRPr="00206206">
              <w:t xml:space="preserve"> </w:t>
            </w:r>
            <w:r w:rsidRPr="00BA7B73">
              <w:rPr>
                <w:lang w:val="en-US"/>
              </w:rPr>
              <w:t>Guidance</w:t>
            </w:r>
            <w:r w:rsidRPr="00206206">
              <w:t xml:space="preserve"> </w:t>
            </w:r>
            <w:r w:rsidRPr="00BA7B73">
              <w:rPr>
                <w:lang w:val="en-US"/>
              </w:rPr>
              <w:t>and</w:t>
            </w:r>
            <w:r w:rsidRPr="00206206">
              <w:t xml:space="preserve"> </w:t>
            </w:r>
            <w:r w:rsidRPr="00BA7B73">
              <w:rPr>
                <w:lang w:val="en-US"/>
              </w:rPr>
              <w:t>Toolkit</w:t>
            </w:r>
            <w:r w:rsidRPr="00206206">
              <w:t xml:space="preserve"> </w:t>
            </w:r>
            <w:r w:rsidRPr="00BA7B73">
              <w:rPr>
                <w:lang w:val="en-US"/>
              </w:rPr>
              <w:t>for</w:t>
            </w:r>
            <w:r w:rsidRPr="00206206">
              <w:t xml:space="preserve"> </w:t>
            </w:r>
            <w:r w:rsidRPr="00BA7B73">
              <w:rPr>
                <w:lang w:val="en-US"/>
              </w:rPr>
              <w:t>Multipurpose</w:t>
            </w:r>
            <w:r w:rsidRPr="00206206">
              <w:t xml:space="preserve"> </w:t>
            </w:r>
            <w:r w:rsidRPr="00BA7B73">
              <w:rPr>
                <w:lang w:val="en-US"/>
              </w:rPr>
              <w:t>Cash</w:t>
            </w:r>
            <w:r w:rsidRPr="00206206">
              <w:t xml:space="preserve"> </w:t>
            </w:r>
            <w:r w:rsidRPr="00BA7B73">
              <w:rPr>
                <w:lang w:val="en-US"/>
              </w:rPr>
              <w:t>Grants</w:t>
            </w:r>
            <w:r w:rsidRPr="00206206">
              <w:t xml:space="preserve"> (</w:t>
            </w:r>
            <w:r w:rsidRPr="00BA7B73">
              <w:rPr>
                <w:lang w:val="en-US"/>
              </w:rPr>
              <w:t>UNHCR</w:t>
            </w:r>
            <w:r w:rsidRPr="00206206">
              <w:t xml:space="preserve"> 2016) </w:t>
            </w:r>
            <w:hyperlink r:id="rId9" w:history="1">
              <w:r w:rsidRPr="00BA7B73">
                <w:rPr>
                  <w:rStyle w:val="af6"/>
                  <w:lang w:val="en-US"/>
                </w:rPr>
                <w:t>http</w:t>
              </w:r>
              <w:r w:rsidRPr="00206206">
                <w:rPr>
                  <w:rStyle w:val="af6"/>
                </w:rPr>
                <w:t>://</w:t>
              </w:r>
              <w:r w:rsidRPr="00BA7B73">
                <w:rPr>
                  <w:rStyle w:val="af6"/>
                  <w:lang w:val="en-US"/>
                </w:rPr>
                <w:t>www</w:t>
              </w:r>
              <w:r w:rsidRPr="00206206">
                <w:rPr>
                  <w:rStyle w:val="af6"/>
                </w:rPr>
                <w:t>.</w:t>
              </w:r>
              <w:r w:rsidRPr="00BA7B73">
                <w:rPr>
                  <w:rStyle w:val="af6"/>
                  <w:lang w:val="en-US"/>
                </w:rPr>
                <w:t>cashlearning</w:t>
              </w:r>
              <w:r w:rsidRPr="00206206">
                <w:rPr>
                  <w:rStyle w:val="af6"/>
                </w:rPr>
                <w:t>.</w:t>
              </w:r>
              <w:r w:rsidRPr="00BA7B73">
                <w:rPr>
                  <w:rStyle w:val="af6"/>
                  <w:lang w:val="en-US"/>
                </w:rPr>
                <w:t>org</w:t>
              </w:r>
              <w:r w:rsidRPr="00206206">
                <w:rPr>
                  <w:rStyle w:val="af6"/>
                </w:rPr>
                <w:t>/</w:t>
              </w:r>
              <w:r w:rsidRPr="00BA7B73">
                <w:rPr>
                  <w:rStyle w:val="af6"/>
                  <w:lang w:val="en-US"/>
                </w:rPr>
                <w:t>downloads</w:t>
              </w:r>
              <w:r w:rsidRPr="00206206">
                <w:rPr>
                  <w:rStyle w:val="af6"/>
                </w:rPr>
                <w:t>/</w:t>
              </w:r>
              <w:r w:rsidRPr="00BA7B73">
                <w:rPr>
                  <w:rStyle w:val="af6"/>
                  <w:lang w:val="en-US"/>
                </w:rPr>
                <w:t>mpg</w:t>
              </w:r>
              <w:r w:rsidRPr="00206206">
                <w:rPr>
                  <w:rStyle w:val="af6"/>
                </w:rPr>
                <w:t>-</w:t>
              </w:r>
              <w:r w:rsidRPr="00BA7B73">
                <w:rPr>
                  <w:rStyle w:val="af6"/>
                  <w:lang w:val="en-US"/>
                </w:rPr>
                <w:t>toolkit</w:t>
              </w:r>
              <w:r w:rsidRPr="00206206">
                <w:rPr>
                  <w:rStyle w:val="af6"/>
                </w:rPr>
                <w:t>-</w:t>
              </w:r>
              <w:r w:rsidRPr="00BA7B73">
                <w:rPr>
                  <w:rStyle w:val="af6"/>
                  <w:lang w:val="en-US"/>
                </w:rPr>
                <w:t>pdfs</w:t>
              </w:r>
              <w:r w:rsidRPr="00206206">
                <w:rPr>
                  <w:rStyle w:val="af6"/>
                </w:rPr>
                <w:t>/</w:t>
              </w:r>
              <w:r w:rsidRPr="00BA7B73">
                <w:rPr>
                  <w:rStyle w:val="af6"/>
                  <w:lang w:val="en-US"/>
                </w:rPr>
                <w:t>mpg</w:t>
              </w:r>
              <w:r w:rsidRPr="00206206">
                <w:rPr>
                  <w:rStyle w:val="af6"/>
                </w:rPr>
                <w:t>-</w:t>
              </w:r>
              <w:r w:rsidRPr="00BA7B73">
                <w:rPr>
                  <w:rStyle w:val="af6"/>
                  <w:lang w:val="en-US"/>
                </w:rPr>
                <w:t>annex</w:t>
              </w:r>
              <w:r w:rsidRPr="00206206">
                <w:rPr>
                  <w:rStyle w:val="af6"/>
                </w:rPr>
                <w:t>3.</w:t>
              </w:r>
              <w:r w:rsidRPr="00BA7B73">
                <w:rPr>
                  <w:rStyle w:val="af6"/>
                  <w:lang w:val="en-US"/>
                </w:rPr>
                <w:t>pdf</w:t>
              </w:r>
            </w:hyperlink>
          </w:p>
          <w:p w:rsidR="007A4F7E" w:rsidRPr="00206206" w:rsidRDefault="007A4F7E" w:rsidP="007A4F7E">
            <w:pPr>
              <w:spacing w:after="0"/>
              <w:jc w:val="left"/>
              <w:rPr>
                <w:rFonts w:eastAsia="Times New Roman" w:cs="Arial"/>
              </w:rPr>
            </w:pPr>
            <w:r>
              <w:t>Качество</w:t>
            </w:r>
            <w:r w:rsidRPr="00206206">
              <w:t xml:space="preserve"> </w:t>
            </w:r>
            <w:r>
              <w:t>программ</w:t>
            </w:r>
            <w:r w:rsidR="00206206">
              <w:t xml:space="preserve"> многоцелевых пособий</w:t>
            </w:r>
            <w:r w:rsidRPr="00206206">
              <w:t xml:space="preserve">, </w:t>
            </w:r>
            <w:r>
              <w:t>в</w:t>
            </w:r>
            <w:r w:rsidRPr="00206206">
              <w:t xml:space="preserve"> </w:t>
            </w:r>
            <w:r>
              <w:t>Оперативном</w:t>
            </w:r>
            <w:r w:rsidRPr="00206206">
              <w:t xml:space="preserve"> </w:t>
            </w:r>
            <w:r>
              <w:t>руководстве</w:t>
            </w:r>
            <w:r w:rsidRPr="00206206">
              <w:t xml:space="preserve"> </w:t>
            </w:r>
            <w:r>
              <w:t>и</w:t>
            </w:r>
            <w:r w:rsidRPr="00206206">
              <w:t xml:space="preserve"> </w:t>
            </w:r>
            <w:r>
              <w:t>наборе</w:t>
            </w:r>
            <w:r w:rsidRPr="00206206">
              <w:t xml:space="preserve"> </w:t>
            </w:r>
            <w:r>
              <w:t>инструментов</w:t>
            </w:r>
            <w:r w:rsidRPr="00206206">
              <w:t xml:space="preserve"> </w:t>
            </w:r>
            <w:r>
              <w:t>для</w:t>
            </w:r>
            <w:r w:rsidRPr="00206206">
              <w:t xml:space="preserve"> </w:t>
            </w:r>
            <w:r>
              <w:t>многоцелевых</w:t>
            </w:r>
            <w:r w:rsidRPr="00206206">
              <w:t xml:space="preserve"> </w:t>
            </w:r>
            <w:r>
              <w:t>денежных</w:t>
            </w:r>
            <w:r w:rsidRPr="00206206">
              <w:t xml:space="preserve"> </w:t>
            </w:r>
            <w:r>
              <w:t>грантов</w:t>
            </w:r>
            <w:r w:rsidRPr="00206206">
              <w:t xml:space="preserve"> (</w:t>
            </w:r>
            <w:r>
              <w:t>УВКБООН</w:t>
            </w:r>
            <w:r w:rsidRPr="00206206">
              <w:t xml:space="preserve"> 2016) /  </w:t>
            </w:r>
            <w:r w:rsidRPr="00BA7B73">
              <w:rPr>
                <w:lang w:val="en-US"/>
              </w:rPr>
              <w:t>MPG</w:t>
            </w:r>
            <w:r w:rsidRPr="00206206">
              <w:t xml:space="preserve"> </w:t>
            </w:r>
            <w:r w:rsidRPr="00BA7B73">
              <w:rPr>
                <w:lang w:val="en-US"/>
              </w:rPr>
              <w:t>Programme</w:t>
            </w:r>
            <w:r w:rsidRPr="00206206">
              <w:t xml:space="preserve"> </w:t>
            </w:r>
            <w:r w:rsidRPr="00BA7B73">
              <w:rPr>
                <w:lang w:val="en-US"/>
              </w:rPr>
              <w:t>Quality</w:t>
            </w:r>
            <w:r w:rsidRPr="00206206">
              <w:t xml:space="preserve">, </w:t>
            </w:r>
            <w:r w:rsidRPr="00BA7B73">
              <w:rPr>
                <w:lang w:val="en-US"/>
              </w:rPr>
              <w:t>in</w:t>
            </w:r>
            <w:r w:rsidRPr="00206206">
              <w:t xml:space="preserve"> </w:t>
            </w:r>
            <w:r w:rsidRPr="00BA7B73">
              <w:rPr>
                <w:lang w:val="en-US"/>
              </w:rPr>
              <w:t>Operational</w:t>
            </w:r>
            <w:r w:rsidRPr="00206206">
              <w:t xml:space="preserve"> </w:t>
            </w:r>
            <w:r w:rsidRPr="00BA7B73">
              <w:rPr>
                <w:lang w:val="en-US"/>
              </w:rPr>
              <w:t>Guidance</w:t>
            </w:r>
            <w:r w:rsidRPr="00206206">
              <w:t xml:space="preserve"> </w:t>
            </w:r>
            <w:r w:rsidRPr="00BA7B73">
              <w:rPr>
                <w:lang w:val="en-US"/>
              </w:rPr>
              <w:t>and</w:t>
            </w:r>
            <w:r w:rsidRPr="00206206">
              <w:t xml:space="preserve"> </w:t>
            </w:r>
            <w:r w:rsidRPr="00BA7B73">
              <w:rPr>
                <w:lang w:val="en-US"/>
              </w:rPr>
              <w:t>Toolkit</w:t>
            </w:r>
            <w:r w:rsidRPr="00206206">
              <w:t xml:space="preserve"> </w:t>
            </w:r>
            <w:r w:rsidRPr="00BA7B73">
              <w:rPr>
                <w:lang w:val="en-US"/>
              </w:rPr>
              <w:t>for</w:t>
            </w:r>
            <w:r w:rsidRPr="00206206">
              <w:t xml:space="preserve"> </w:t>
            </w:r>
            <w:r w:rsidRPr="00BA7B73">
              <w:rPr>
                <w:lang w:val="en-US"/>
              </w:rPr>
              <w:t>Multipurpose</w:t>
            </w:r>
            <w:r w:rsidRPr="00206206">
              <w:t xml:space="preserve"> </w:t>
            </w:r>
            <w:r w:rsidRPr="00BA7B73">
              <w:rPr>
                <w:lang w:val="en-US"/>
              </w:rPr>
              <w:t>Cash</w:t>
            </w:r>
            <w:r w:rsidRPr="00206206">
              <w:t xml:space="preserve"> </w:t>
            </w:r>
            <w:r w:rsidRPr="00BA7B73">
              <w:rPr>
                <w:lang w:val="en-US"/>
              </w:rPr>
              <w:t>Grants</w:t>
            </w:r>
            <w:r w:rsidRPr="00206206">
              <w:t xml:space="preserve"> (</w:t>
            </w:r>
            <w:r w:rsidRPr="00BA7B73">
              <w:rPr>
                <w:lang w:val="en-US"/>
              </w:rPr>
              <w:t>UNHCR</w:t>
            </w:r>
            <w:r w:rsidRPr="00206206">
              <w:t xml:space="preserve"> 2016) </w:t>
            </w:r>
            <w:hyperlink r:id="rId10" w:history="1">
              <w:r w:rsidRPr="00BA7B73">
                <w:rPr>
                  <w:rStyle w:val="af6"/>
                  <w:lang w:val="en-US"/>
                </w:rPr>
                <w:t>http</w:t>
              </w:r>
              <w:r w:rsidRPr="00206206">
                <w:rPr>
                  <w:rStyle w:val="af6"/>
                </w:rPr>
                <w:t>://</w:t>
              </w:r>
              <w:r w:rsidRPr="00BA7B73">
                <w:rPr>
                  <w:rStyle w:val="af6"/>
                  <w:lang w:val="en-US"/>
                </w:rPr>
                <w:t>www</w:t>
              </w:r>
              <w:r w:rsidRPr="00206206">
                <w:rPr>
                  <w:rStyle w:val="af6"/>
                </w:rPr>
                <w:t>.</w:t>
              </w:r>
              <w:r w:rsidRPr="00BA7B73">
                <w:rPr>
                  <w:rStyle w:val="af6"/>
                  <w:lang w:val="en-US"/>
                </w:rPr>
                <w:t>cashlearning</w:t>
              </w:r>
              <w:r w:rsidRPr="00206206">
                <w:rPr>
                  <w:rStyle w:val="af6"/>
                </w:rPr>
                <w:t>.</w:t>
              </w:r>
              <w:r w:rsidRPr="00BA7B73">
                <w:rPr>
                  <w:rStyle w:val="af6"/>
                  <w:lang w:val="en-US"/>
                </w:rPr>
                <w:t>org</w:t>
              </w:r>
              <w:r w:rsidRPr="00206206">
                <w:rPr>
                  <w:rStyle w:val="af6"/>
                </w:rPr>
                <w:t>/</w:t>
              </w:r>
              <w:r w:rsidRPr="00BA7B73">
                <w:rPr>
                  <w:rStyle w:val="af6"/>
                  <w:lang w:val="en-US"/>
                </w:rPr>
                <w:t>downloads</w:t>
              </w:r>
              <w:r w:rsidRPr="00206206">
                <w:rPr>
                  <w:rStyle w:val="af6"/>
                </w:rPr>
                <w:t>/</w:t>
              </w:r>
              <w:r w:rsidRPr="00BA7B73">
                <w:rPr>
                  <w:rStyle w:val="af6"/>
                  <w:lang w:val="en-US"/>
                </w:rPr>
                <w:t>mpg</w:t>
              </w:r>
              <w:r w:rsidRPr="00206206">
                <w:rPr>
                  <w:rStyle w:val="af6"/>
                </w:rPr>
                <w:t>-</w:t>
              </w:r>
              <w:r w:rsidRPr="00BA7B73">
                <w:rPr>
                  <w:rStyle w:val="af6"/>
                  <w:lang w:val="en-US"/>
                </w:rPr>
                <w:t>toolkit</w:t>
              </w:r>
              <w:r w:rsidRPr="00206206">
                <w:rPr>
                  <w:rStyle w:val="af6"/>
                </w:rPr>
                <w:t>-</w:t>
              </w:r>
              <w:r w:rsidRPr="00BA7B73">
                <w:rPr>
                  <w:rStyle w:val="af6"/>
                  <w:lang w:val="en-US"/>
                </w:rPr>
                <w:t>pdfs</w:t>
              </w:r>
              <w:r w:rsidRPr="00206206">
                <w:rPr>
                  <w:rStyle w:val="af6"/>
                </w:rPr>
                <w:t>/</w:t>
              </w:r>
              <w:r w:rsidRPr="00BA7B73">
                <w:rPr>
                  <w:rStyle w:val="af6"/>
                  <w:lang w:val="en-US"/>
                </w:rPr>
                <w:t>mpg</w:t>
              </w:r>
              <w:r w:rsidRPr="00206206">
                <w:rPr>
                  <w:rStyle w:val="af6"/>
                </w:rPr>
                <w:t>-</w:t>
              </w:r>
              <w:r w:rsidRPr="00BA7B73">
                <w:rPr>
                  <w:rStyle w:val="af6"/>
                  <w:lang w:val="en-US"/>
                </w:rPr>
                <w:t>part</w:t>
              </w:r>
              <w:r w:rsidRPr="00206206">
                <w:rPr>
                  <w:rStyle w:val="af6"/>
                </w:rPr>
                <w:t>3-6.</w:t>
              </w:r>
              <w:r w:rsidRPr="00BA7B73">
                <w:rPr>
                  <w:rStyle w:val="af6"/>
                  <w:lang w:val="en-US"/>
                </w:rPr>
                <w:t>pdf</w:t>
              </w:r>
            </w:hyperlink>
          </w:p>
          <w:p w:rsidR="007A4F7E" w:rsidRPr="00206206" w:rsidRDefault="007A4F7E" w:rsidP="00866839">
            <w:pPr>
              <w:jc w:val="left"/>
            </w:pPr>
          </w:p>
        </w:tc>
      </w:tr>
    </w:tbl>
    <w:p w:rsidR="008D462A" w:rsidRPr="00206206" w:rsidRDefault="008D462A" w:rsidP="00E91756">
      <w:pPr>
        <w:widowControl w:val="0"/>
        <w:autoSpaceDE w:val="0"/>
        <w:autoSpaceDN w:val="0"/>
        <w:adjustRightInd w:val="0"/>
      </w:pPr>
    </w:p>
    <w:sectPr w:rsidR="008D462A" w:rsidRPr="00206206" w:rsidSect="003C4CD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EC" w:rsidRDefault="00F437EC" w:rsidP="00E736B3">
      <w:r>
        <w:separator/>
      </w:r>
    </w:p>
  </w:endnote>
  <w:endnote w:type="continuationSeparator" w:id="0">
    <w:p w:rsidR="00F437EC" w:rsidRDefault="00F437EC" w:rsidP="00E7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237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F65" w:rsidRDefault="003477E7">
        <w:pPr>
          <w:pStyle w:val="af3"/>
          <w:jc w:val="right"/>
        </w:pPr>
        <w:r>
          <w:fldChar w:fldCharType="begin"/>
        </w:r>
        <w:r w:rsidR="00F46F65">
          <w:instrText xml:space="preserve"> PAGE   \* MERGEFORMAT </w:instrText>
        </w:r>
        <w:r>
          <w:fldChar w:fldCharType="separate"/>
        </w:r>
        <w:r w:rsidR="000B6D90">
          <w:rPr>
            <w:noProof/>
          </w:rPr>
          <w:t>2</w:t>
        </w:r>
        <w:r>
          <w:fldChar w:fldCharType="end"/>
        </w:r>
      </w:p>
    </w:sdtContent>
  </w:sdt>
  <w:p w:rsidR="00ED5069" w:rsidRDefault="00ED506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69" w:rsidRPr="00B45C74" w:rsidRDefault="003477E7" w:rsidP="00FA7E3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D5069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B6D9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D5069" w:rsidRPr="003C4CDD" w:rsidRDefault="00ED5069" w:rsidP="00FA7E3C">
    <w:pPr>
      <w:pStyle w:val="af3"/>
    </w:pPr>
    <w:r>
      <w:rPr>
        <w:b/>
      </w:rPr>
      <w:t>Модуль 4.</w:t>
    </w:r>
    <w:r>
      <w:t xml:space="preserve">Этап 3. </w:t>
    </w:r>
    <w:fldSimple w:instr=" STYLEREF  H1 \t  \* MERGEFORMAT ">
      <w:r w:rsidR="000B6D90">
        <w:rPr>
          <w:noProof/>
        </w:rPr>
        <w:t>Дорожная карта для выбора поставщиков услуг и заключения договоров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EC" w:rsidRDefault="00F437EC" w:rsidP="00E736B3">
      <w:r>
        <w:separator/>
      </w:r>
    </w:p>
  </w:footnote>
  <w:footnote w:type="continuationSeparator" w:id="0">
    <w:p w:rsidR="00F437EC" w:rsidRDefault="00F437EC" w:rsidP="00E7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69" w:rsidRPr="00074036" w:rsidRDefault="00ED5069" w:rsidP="00FA7E3C">
    <w:pPr>
      <w:pStyle w:val="af1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BA7B73">
      <w:rPr>
        <w:rStyle w:val="Pantone485"/>
      </w:rPr>
      <w:t xml:space="preserve"> </w:t>
    </w:r>
    <w:r>
      <w:rPr>
        <w:rStyle w:val="af5"/>
        <w:bCs/>
        <w:szCs w:val="16"/>
      </w:rPr>
      <w:t>I</w:t>
    </w:r>
    <w:r w:rsidR="00BA7B73">
      <w:rPr>
        <w:rStyle w:val="af5"/>
        <w:bCs/>
        <w:szCs w:val="16"/>
      </w:rPr>
      <w:t xml:space="preserve"> </w:t>
    </w:r>
    <w:r w:rsidR="00022551">
      <w:rPr>
        <w:szCs w:val="16"/>
      </w:rPr>
      <w:t>Наличные денежные средства в условиях ЧС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69" w:rsidRDefault="00ED5069" w:rsidP="00FA7E3C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5069" w:rsidRDefault="00ED5069" w:rsidP="00FA7E3C">
    <w:pPr>
      <w:pStyle w:val="Header1"/>
    </w:pPr>
  </w:p>
  <w:p w:rsidR="00ED5069" w:rsidRDefault="00ED5069" w:rsidP="00FA7E3C">
    <w:pPr>
      <w:pStyle w:val="af1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5069" w:rsidRDefault="00ED5069" w:rsidP="00FA7E3C">
    <w:pPr>
      <w:pStyle w:val="af1"/>
      <w:spacing w:line="240" w:lineRule="auto"/>
      <w:rPr>
        <w:b/>
        <w:color w:val="DC281E"/>
        <w:sz w:val="24"/>
        <w:szCs w:val="24"/>
      </w:rPr>
    </w:pPr>
  </w:p>
  <w:p w:rsidR="00ED5069" w:rsidRDefault="00ED5069" w:rsidP="00FA7E3C">
    <w:pPr>
      <w:pStyle w:val="af1"/>
      <w:spacing w:line="240" w:lineRule="auto"/>
      <w:rPr>
        <w:b/>
        <w:color w:val="DC281E"/>
        <w:sz w:val="24"/>
        <w:szCs w:val="24"/>
      </w:rPr>
    </w:pPr>
  </w:p>
  <w:p w:rsidR="00ED5069" w:rsidRPr="00022551" w:rsidRDefault="00022551" w:rsidP="00FA7E3C">
    <w:pPr>
      <w:pStyle w:val="Header1"/>
      <w:rPr>
        <w:rFonts w:ascii="Arial Bold" w:hAnsi="Arial Bold"/>
        <w:color w:val="DC281E"/>
      </w:rPr>
    </w:pPr>
    <w:r>
      <w:rPr>
        <w:rFonts w:ascii="Arial Bold" w:hAnsi="Arial Bold"/>
        <w:color w:val="DC281E"/>
      </w:rPr>
      <w:t>Н</w:t>
    </w:r>
    <w:r w:rsidRPr="00022551">
      <w:rPr>
        <w:rFonts w:ascii="Arial Bold" w:hAnsi="Arial Bold"/>
        <w:color w:val="DC281E"/>
      </w:rPr>
      <w:t>аличные денежные средства в условиях ЧС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D67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9701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23FA"/>
    <w:multiLevelType w:val="hybridMultilevel"/>
    <w:tmpl w:val="DC9020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AF7"/>
    <w:multiLevelType w:val="hybridMultilevel"/>
    <w:tmpl w:val="EC505B1E"/>
    <w:lvl w:ilvl="0" w:tplc="037CE5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64C"/>
    <w:multiLevelType w:val="multilevel"/>
    <w:tmpl w:val="4444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415EF"/>
    <w:multiLevelType w:val="hybridMultilevel"/>
    <w:tmpl w:val="5834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D2E"/>
    <w:multiLevelType w:val="hybridMultilevel"/>
    <w:tmpl w:val="AE1AA994"/>
    <w:lvl w:ilvl="0" w:tplc="3000D490">
      <w:start w:val="1"/>
      <w:numFmt w:val="bullet"/>
      <w:lvlText w:val=""/>
      <w:lvlJc w:val="left"/>
      <w:pPr>
        <w:ind w:left="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4727F58"/>
    <w:multiLevelType w:val="hybridMultilevel"/>
    <w:tmpl w:val="6DD0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2769E"/>
    <w:multiLevelType w:val="hybridMultilevel"/>
    <w:tmpl w:val="E018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51DC"/>
    <w:multiLevelType w:val="hybridMultilevel"/>
    <w:tmpl w:val="4FD4CEC4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72A73"/>
    <w:multiLevelType w:val="hybridMultilevel"/>
    <w:tmpl w:val="CBC0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0C8C"/>
    <w:multiLevelType w:val="hybridMultilevel"/>
    <w:tmpl w:val="2CC4C442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29"/>
    <w:rsid w:val="00022551"/>
    <w:rsid w:val="00047291"/>
    <w:rsid w:val="0005703E"/>
    <w:rsid w:val="00067468"/>
    <w:rsid w:val="000927CA"/>
    <w:rsid w:val="000B6D90"/>
    <w:rsid w:val="000B7A12"/>
    <w:rsid w:val="000D6424"/>
    <w:rsid w:val="000E431F"/>
    <w:rsid w:val="000F5637"/>
    <w:rsid w:val="00182FF0"/>
    <w:rsid w:val="0019682C"/>
    <w:rsid w:val="001A2F29"/>
    <w:rsid w:val="001D1471"/>
    <w:rsid w:val="001D3CF0"/>
    <w:rsid w:val="001F4CA6"/>
    <w:rsid w:val="00200A3B"/>
    <w:rsid w:val="0020565B"/>
    <w:rsid w:val="00206206"/>
    <w:rsid w:val="00247216"/>
    <w:rsid w:val="00247891"/>
    <w:rsid w:val="00252927"/>
    <w:rsid w:val="00264CC3"/>
    <w:rsid w:val="00266665"/>
    <w:rsid w:val="00267627"/>
    <w:rsid w:val="00267637"/>
    <w:rsid w:val="0027379F"/>
    <w:rsid w:val="002A55CE"/>
    <w:rsid w:val="002B6A50"/>
    <w:rsid w:val="002B6A85"/>
    <w:rsid w:val="002C3ADE"/>
    <w:rsid w:val="002C4707"/>
    <w:rsid w:val="002C6154"/>
    <w:rsid w:val="002E49E4"/>
    <w:rsid w:val="00301D23"/>
    <w:rsid w:val="00311C8C"/>
    <w:rsid w:val="003477E7"/>
    <w:rsid w:val="00373AEC"/>
    <w:rsid w:val="00376F2F"/>
    <w:rsid w:val="003B228D"/>
    <w:rsid w:val="003C4CDD"/>
    <w:rsid w:val="004C0721"/>
    <w:rsid w:val="004C53A2"/>
    <w:rsid w:val="004F27F5"/>
    <w:rsid w:val="005528EF"/>
    <w:rsid w:val="00573541"/>
    <w:rsid w:val="005B7E60"/>
    <w:rsid w:val="005D2668"/>
    <w:rsid w:val="005E0834"/>
    <w:rsid w:val="005F50AA"/>
    <w:rsid w:val="00640EEC"/>
    <w:rsid w:val="006617D9"/>
    <w:rsid w:val="00743E2D"/>
    <w:rsid w:val="007A4F7E"/>
    <w:rsid w:val="008003CB"/>
    <w:rsid w:val="00805877"/>
    <w:rsid w:val="008140C6"/>
    <w:rsid w:val="00822DE4"/>
    <w:rsid w:val="0084006B"/>
    <w:rsid w:val="00866839"/>
    <w:rsid w:val="00870994"/>
    <w:rsid w:val="008849CD"/>
    <w:rsid w:val="008D462A"/>
    <w:rsid w:val="008E0EE5"/>
    <w:rsid w:val="00923818"/>
    <w:rsid w:val="00930E59"/>
    <w:rsid w:val="00951D5B"/>
    <w:rsid w:val="009746C2"/>
    <w:rsid w:val="009B3267"/>
    <w:rsid w:val="009E3833"/>
    <w:rsid w:val="009F5A88"/>
    <w:rsid w:val="00A109F2"/>
    <w:rsid w:val="00A22BB2"/>
    <w:rsid w:val="00A3228D"/>
    <w:rsid w:val="00A56237"/>
    <w:rsid w:val="00A6081D"/>
    <w:rsid w:val="00AA0EE5"/>
    <w:rsid w:val="00AA1585"/>
    <w:rsid w:val="00AB3215"/>
    <w:rsid w:val="00AC13A8"/>
    <w:rsid w:val="00B35D2F"/>
    <w:rsid w:val="00B905BE"/>
    <w:rsid w:val="00BA7B73"/>
    <w:rsid w:val="00BD2BAA"/>
    <w:rsid w:val="00BE35A3"/>
    <w:rsid w:val="00BF3043"/>
    <w:rsid w:val="00C63A53"/>
    <w:rsid w:val="00C65B90"/>
    <w:rsid w:val="00CA1D4C"/>
    <w:rsid w:val="00CB2B5D"/>
    <w:rsid w:val="00CD4964"/>
    <w:rsid w:val="00CF1A44"/>
    <w:rsid w:val="00D3467E"/>
    <w:rsid w:val="00D347D3"/>
    <w:rsid w:val="00D51C35"/>
    <w:rsid w:val="00D548E9"/>
    <w:rsid w:val="00E13538"/>
    <w:rsid w:val="00E163B7"/>
    <w:rsid w:val="00E36ECF"/>
    <w:rsid w:val="00E60A46"/>
    <w:rsid w:val="00E66610"/>
    <w:rsid w:val="00E736B3"/>
    <w:rsid w:val="00E91756"/>
    <w:rsid w:val="00EB6B84"/>
    <w:rsid w:val="00ED5069"/>
    <w:rsid w:val="00F046BE"/>
    <w:rsid w:val="00F101F3"/>
    <w:rsid w:val="00F12BA9"/>
    <w:rsid w:val="00F31177"/>
    <w:rsid w:val="00F42B0F"/>
    <w:rsid w:val="00F437EC"/>
    <w:rsid w:val="00F46F65"/>
    <w:rsid w:val="00F568EA"/>
    <w:rsid w:val="00F60091"/>
    <w:rsid w:val="00F739FC"/>
    <w:rsid w:val="00FA7E3C"/>
    <w:rsid w:val="00FD5A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91C86"/>
  <w15:docId w15:val="{B8714CD6-1DEC-423F-9665-0C9CDC0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9" w:unhideWhenUsed="1"/>
    <w:lsdException w:name="index 1" w:semiHidden="1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A55CE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2A55CE"/>
  </w:style>
  <w:style w:type="paragraph" w:styleId="2">
    <w:name w:val="heading 2"/>
    <w:basedOn w:val="a"/>
    <w:next w:val="a"/>
    <w:link w:val="20"/>
    <w:uiPriority w:val="9"/>
    <w:unhideWhenUsed/>
    <w:qFormat/>
    <w:rsid w:val="002A55C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55C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55C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2A55CE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A2619"/>
  </w:style>
  <w:style w:type="paragraph" w:styleId="a6">
    <w:name w:val="footnote text"/>
    <w:basedOn w:val="a"/>
    <w:link w:val="a7"/>
    <w:uiPriority w:val="99"/>
    <w:unhideWhenUsed/>
    <w:rsid w:val="002A55CE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2A55CE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2A55C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55C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E3833"/>
  </w:style>
  <w:style w:type="character" w:customStyle="1" w:styleId="ab">
    <w:name w:val="Текст примечания Знак"/>
    <w:basedOn w:val="a0"/>
    <w:link w:val="aa"/>
    <w:semiHidden/>
    <w:rsid w:val="009E3833"/>
    <w:rPr>
      <w:rFonts w:asciiTheme="majorHAnsi" w:eastAsiaTheme="minorEastAsia" w:hAnsiTheme="majorHAnsi" w:cs="ArialMT"/>
      <w:sz w:val="20"/>
      <w:szCs w:val="20"/>
      <w:lang w:val="ru-RU"/>
    </w:rPr>
  </w:style>
  <w:style w:type="paragraph" w:styleId="ac">
    <w:name w:val="annotation subject"/>
    <w:basedOn w:val="a"/>
    <w:link w:val="ad"/>
    <w:uiPriority w:val="99"/>
    <w:semiHidden/>
    <w:unhideWhenUsed/>
    <w:rsid w:val="002A55CE"/>
    <w:rPr>
      <w:b/>
      <w:bCs/>
    </w:rPr>
  </w:style>
  <w:style w:type="character" w:customStyle="1" w:styleId="ad">
    <w:name w:val="Тема примечания Знак"/>
    <w:basedOn w:val="a0"/>
    <w:link w:val="ac"/>
    <w:uiPriority w:val="99"/>
    <w:semiHidden/>
    <w:rsid w:val="002A55CE"/>
    <w:rPr>
      <w:rFonts w:ascii="Arial" w:eastAsiaTheme="minorEastAsia" w:hAnsi="Arial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A55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55CE"/>
    <w:rPr>
      <w:rFonts w:ascii="Lucida Grande" w:eastAsiaTheme="minorEastAsia" w:hAnsi="Lucida Grande" w:cs="Lucida Grande"/>
      <w:sz w:val="18"/>
      <w:szCs w:val="18"/>
    </w:rPr>
  </w:style>
  <w:style w:type="paragraph" w:styleId="af0">
    <w:name w:val="Revision"/>
    <w:hidden/>
    <w:uiPriority w:val="99"/>
    <w:semiHidden/>
    <w:rsid w:val="002A55CE"/>
    <w:rPr>
      <w:rFonts w:ascii="Arial" w:eastAsiaTheme="minorEastAsia" w:hAnsi="Arial" w:cs="Arial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2A55CE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0"/>
    <w:link w:val="af1"/>
    <w:uiPriority w:val="99"/>
    <w:rsid w:val="002A55CE"/>
    <w:rPr>
      <w:rFonts w:ascii="Arial" w:eastAsiaTheme="minorEastAsia" w:hAnsi="Arial" w:cs="Times New Roman"/>
      <w:sz w:val="16"/>
      <w:szCs w:val="20"/>
    </w:rPr>
  </w:style>
  <w:style w:type="paragraph" w:styleId="af3">
    <w:name w:val="footer"/>
    <w:basedOn w:val="a"/>
    <w:link w:val="af4"/>
    <w:uiPriority w:val="99"/>
    <w:unhideWhenUsed/>
    <w:rsid w:val="002A55CE"/>
    <w:pPr>
      <w:spacing w:after="0"/>
      <w:jc w:val="left"/>
    </w:pPr>
    <w:rPr>
      <w:sz w:val="16"/>
      <w:szCs w:val="18"/>
    </w:rPr>
  </w:style>
  <w:style w:type="character" w:customStyle="1" w:styleId="af4">
    <w:name w:val="Нижний колонтитул Знак"/>
    <w:basedOn w:val="a0"/>
    <w:link w:val="af3"/>
    <w:uiPriority w:val="99"/>
    <w:rsid w:val="002A55CE"/>
    <w:rPr>
      <w:rFonts w:ascii="Arial" w:eastAsiaTheme="minorEastAsia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2A55CE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2A55CE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2A55CE"/>
    <w:rPr>
      <w:rFonts w:ascii="Arial" w:eastAsiaTheme="minorEastAsia" w:hAnsi="Arial" w:cs="Times New Roman"/>
      <w:b/>
      <w:sz w:val="22"/>
    </w:rPr>
  </w:style>
  <w:style w:type="character" w:customStyle="1" w:styleId="a4">
    <w:name w:val="Абзац списка Знак"/>
    <w:basedOn w:val="a0"/>
    <w:link w:val="a3"/>
    <w:uiPriority w:val="34"/>
    <w:rsid w:val="002A55CE"/>
    <w:rPr>
      <w:rFonts w:ascii="Arial" w:hAnsi="Arial"/>
      <w:sz w:val="20"/>
      <w:szCs w:val="22"/>
    </w:rPr>
  </w:style>
  <w:style w:type="paragraph" w:customStyle="1" w:styleId="Default">
    <w:name w:val="Default"/>
    <w:rsid w:val="002A55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5">
    <w:name w:val="page number"/>
    <w:basedOn w:val="a0"/>
    <w:uiPriority w:val="99"/>
    <w:unhideWhenUsed/>
    <w:rsid w:val="002A55CE"/>
    <w:rPr>
      <w:b/>
    </w:rPr>
  </w:style>
  <w:style w:type="character" w:styleId="af6">
    <w:name w:val="Hyperlink"/>
    <w:basedOn w:val="a0"/>
    <w:uiPriority w:val="99"/>
    <w:unhideWhenUsed/>
    <w:rsid w:val="002A55CE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unhideWhenUsed/>
    <w:rsid w:val="002A55CE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2A55C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2A55C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2A55CE"/>
    <w:pPr>
      <w:numPr>
        <w:numId w:val="1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2A55C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2A55C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2A55CE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2A55CE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2A55C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2A55CE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2A55CE"/>
    <w:pPr>
      <w:numPr>
        <w:numId w:val="1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2A55CE"/>
    <w:pPr>
      <w:numPr>
        <w:ilvl w:val="1"/>
        <w:numId w:val="1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2A55CE"/>
    <w:pPr>
      <w:numPr>
        <w:numId w:val="1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2A55CE"/>
    <w:pPr>
      <w:numPr>
        <w:numId w:val="1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2A55CE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2A55CE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2A55CE"/>
    <w:pPr>
      <w:keepNext/>
      <w:keepLines/>
      <w:framePr w:hSpace="141" w:wrap="around" w:vAnchor="text" w:hAnchor="margin" w:y="402"/>
      <w:numPr>
        <w:numId w:val="18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hlearning.org/resources/library/390-e-transfers-in-emergencies-implementation-support-guidelin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ashlearning.org/resources/library/34-working-with-banks-a-field-guide-to-negotiating-with-banks-in-cash-transfer-programming-screen-vers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shlearning.org/downloads/mpg-toolkit-pdfs/mpg-part3-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hlearning.org/downloads/mpg-toolkit-pdfs/mpg-annex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100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Independent Consultant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dc:description/>
  <cp:lastModifiedBy>Mareta GAZIKOVA</cp:lastModifiedBy>
  <cp:revision>9</cp:revision>
  <cp:lastPrinted>2015-09-30T19:39:00Z</cp:lastPrinted>
  <dcterms:created xsi:type="dcterms:W3CDTF">2015-10-09T16:06:00Z</dcterms:created>
  <dcterms:modified xsi:type="dcterms:W3CDTF">2017-04-20T12:14:00Z</dcterms:modified>
</cp:coreProperties>
</file>