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47" w:rsidRPr="00A868FB" w:rsidRDefault="004F4028" w:rsidP="00770A3F">
      <w:pPr>
        <w:pStyle w:val="H1"/>
        <w:tabs>
          <w:tab w:val="right" w:pos="9632"/>
        </w:tabs>
      </w:pPr>
      <w:r>
        <w:t>Мобильные деньги.  Контрольный список требований.</w:t>
      </w:r>
      <w:r>
        <w:tab/>
      </w:r>
    </w:p>
    <w:tbl>
      <w:tblPr>
        <w:tblW w:w="102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6390"/>
        <w:gridCol w:w="1420"/>
      </w:tblGrid>
      <w:tr w:rsidR="00770A3F" w:rsidRPr="00F56789" w:rsidTr="006A02A5">
        <w:trPr>
          <w:trHeight w:val="494"/>
        </w:trPr>
        <w:tc>
          <w:tcPr>
            <w:tcW w:w="2414" w:type="dxa"/>
            <w:shd w:val="clear" w:color="BFBFBF" w:themeColor="background1" w:themeShade="BF" w:fill="DC281E"/>
            <w:vAlign w:val="center"/>
          </w:tcPr>
          <w:p w:rsidR="00770A3F" w:rsidRPr="00F56789" w:rsidRDefault="00770A3F" w:rsidP="003E2145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Услуга</w:t>
            </w:r>
          </w:p>
        </w:tc>
        <w:tc>
          <w:tcPr>
            <w:tcW w:w="6390" w:type="dxa"/>
            <w:shd w:val="clear" w:color="BFBFBF" w:themeColor="background1" w:themeShade="BF" w:fill="DC281E"/>
            <w:vAlign w:val="center"/>
          </w:tcPr>
          <w:p w:rsidR="00770A3F" w:rsidRPr="00F56789" w:rsidRDefault="00770A3F" w:rsidP="003E2145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Минимальные требования</w:t>
            </w:r>
          </w:p>
        </w:tc>
        <w:tc>
          <w:tcPr>
            <w:tcW w:w="1420" w:type="dxa"/>
            <w:shd w:val="clear" w:color="BFBFBF" w:themeColor="background1" w:themeShade="BF" w:fill="DC281E"/>
          </w:tcPr>
          <w:p w:rsidR="00770A3F" w:rsidRPr="00F56789" w:rsidRDefault="006A02A5" w:rsidP="003E2145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Задание выполнено?</w:t>
            </w: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spacing w:before="120"/>
              <w:rPr>
                <w:rFonts w:cs="Arial"/>
              </w:rPr>
            </w:pPr>
            <w:r>
              <w:rPr>
                <w:b/>
              </w:rPr>
              <w:t>Подробная информация о платёжном продукте: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Корпоративный (плательщик)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Возможности отслеживания транзакций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 том, как транзакции проверяются перед платежом, и как информация предоставляется плательщику [организации] после совершения платежей</w:t>
            </w:r>
            <w:r>
              <w:br/>
              <w:t>Простой отчёт о транзакции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Регистрация и требования к осведомлённости о клиенте (корпоративный счёт)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>Список требований к [организаци</w:t>
            </w:r>
            <w:r w:rsidR="00104ED3">
              <w:t>и</w:t>
            </w:r>
            <w:r>
              <w:t>] для активации счёта с услугой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Полное описание платёжной операции (процесс оплаты)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Диаграмма процесса платёжной операции, включая снимки экрана.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Ограничения на баланс счёта и объём транзакции (корпоративный счёт)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 xml:space="preserve">Детали ограничений по транзакциям, включая лимиты </w:t>
            </w:r>
            <w:r>
              <w:rPr>
                <w:b/>
                <w:i/>
              </w:rPr>
              <w:t>суммы</w:t>
            </w:r>
            <w:r>
              <w:t xml:space="preserve"> платежей, которые [организация] может отправить одному получателю в течение одного дня, и лимиты на </w:t>
            </w:r>
            <w:r>
              <w:rPr>
                <w:b/>
                <w:i/>
              </w:rPr>
              <w:t>объём</w:t>
            </w:r>
            <w:r>
              <w:t xml:space="preserve"> транзакций, которые [организация] может отправить за один день.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Авторизация пользователей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Возможность назначать разные полномочия пользователям в рамках системы (т.е. создатель, проверяющий, обработчик)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rPr>
          <w:trHeight w:val="718"/>
        </w:trPr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Брошюра, каталог и буклет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Приложенные брошюры, каталоги и буклеты, иллюстрирующие функции услуги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Совместимость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Совместимость платформы с другими платёжными платформами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Ценообразование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ценовая матрица для транзакций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rPr>
                <w:b/>
              </w:rPr>
              <w:t>Хранение данных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Возможность хранить данные получателей в платёжной платформе, чтобы избежать необходимости загружать имена при каждом совершении платежа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  <w:r>
              <w:rPr>
                <w:b/>
              </w:rPr>
              <w:t>Подробная информация о платёжном продукте: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Конечный пользователь (получатель платежа)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Получение средств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>Уведомление получателя о транзакции (например, sms-сообщени</w:t>
            </w:r>
            <w:r w:rsidR="00104ED3">
              <w:t>е</w:t>
            </w:r>
            <w:r>
              <w:t>)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 xml:space="preserve">Регистрация и требования к осведомлённости о клиенте (счёт конечного </w:t>
            </w:r>
            <w:r>
              <w:rPr>
                <w:b/>
              </w:rPr>
              <w:lastRenderedPageBreak/>
              <w:t>пользователя)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lastRenderedPageBreak/>
              <w:t>Список требований к получателям для активации счёта у поставщика услуг; описание возможности обрабатывать платежи или отменять регистрацию не-владельцев счетов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Ограничения на баланс счёта и объём транзакции (счёт конечного пользователя)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Детальная информация о минимальной/максимальной сумме денег, которую конечный пользователь может иметь на счете, а также число транзакций, которые можно получить в течение одного дня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spacing w:before="120"/>
              <w:rPr>
                <w:rFonts w:cs="Arial"/>
              </w:rPr>
            </w:pPr>
            <w:r>
              <w:rPr>
                <w:b/>
              </w:rPr>
              <w:t>Раздача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Зона покрытия и сеть для осуществления раздачи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>Карта географических областей, где предоставляется услуга в [стран</w:t>
            </w:r>
            <w:r w:rsidR="00104ED3">
              <w:t>е</w:t>
            </w:r>
            <w:r>
              <w:t>].</w:t>
            </w:r>
            <w:r w:rsidR="00104ED3">
              <w:t xml:space="preserve"> </w:t>
            </w:r>
            <w:r>
              <w:t>Список всех пунктов снятия и внесения наличных (агенты)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Контроль уровня наличных в пунктах снятия и внесения наличных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70A3F" w:rsidRPr="00F56789" w:rsidRDefault="00104ED3" w:rsidP="00104ED3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 работе с</w:t>
            </w:r>
            <w:r w:rsidR="00770A3F">
              <w:t xml:space="preserve"> наличными средствами в пунктах снятия и внесения наличных (агенты)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keepNext/>
              <w:spacing w:before="120"/>
              <w:rPr>
                <w:rFonts w:cs="Arial"/>
              </w:rPr>
            </w:pPr>
            <w:r>
              <w:rPr>
                <w:b/>
              </w:rPr>
              <w:t>Обслуживание клиентов/обучение: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Корпоративный (плательщик)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keepNext/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Обучение сотрудников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об обучении работе с системой, проведённого для сотрудников [организаци</w:t>
            </w:r>
            <w:r w:rsidR="00104ED3">
              <w:t>и</w:t>
            </w:r>
            <w:r>
              <w:t>]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Договоры оказания технической поддержки/услуг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 xml:space="preserve">Подробная информация о наличии у поставщика услуг службы поддержки, </w:t>
            </w:r>
            <w:r w:rsidR="00104ED3">
              <w:t>системах мониторинга</w:t>
            </w:r>
            <w:r>
              <w:t>, измерени</w:t>
            </w:r>
            <w:r w:rsidR="00104ED3">
              <w:t>я и отчётов</w:t>
            </w:r>
            <w:r>
              <w:t xml:space="preserve"> служб технической поддержки.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Решение проблем, возникающих при совершении операций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 процессе разрешения споров и процессе возврата неполученных или полученных получателем средств, а также другие сценарии решения проблем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spacing w:before="120"/>
              <w:rPr>
                <w:rFonts w:cs="Arial"/>
              </w:rPr>
            </w:pPr>
            <w:r>
              <w:rPr>
                <w:b/>
              </w:rPr>
              <w:t>Обслуживание клиентов/обучение: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Конечный пользователь (получатель платежа)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4D5767">
            <w:pPr>
              <w:keepNext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Обучение конечных пользователей (получателей)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об обучении, проведённом (если оно было проведено) для конечных пользователей (получателей платежа).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4D5767">
            <w:pPr>
              <w:keepNext/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Техническая поддержка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 системах обслуживания клиентов и поддержки, их наличии и стандартах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70A3F" w:rsidRPr="00F56789" w:rsidRDefault="00770A3F" w:rsidP="004D5767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Решение проблем получателей платежей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Подробная информация о том, кто отвечает за решение проблем с транзакциями, с которыми сталкиваются получатели платежей.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8804" w:type="dxa"/>
            <w:gridSpan w:val="2"/>
            <w:shd w:val="clear" w:color="auto" w:fill="A6A6A6"/>
            <w:vAlign w:val="center"/>
          </w:tcPr>
          <w:p w:rsidR="00770A3F" w:rsidRPr="00F56789" w:rsidRDefault="00770A3F" w:rsidP="00F56789">
            <w:pPr>
              <w:spacing w:before="120"/>
              <w:rPr>
                <w:rFonts w:cs="Arial"/>
              </w:rPr>
            </w:pPr>
            <w:r>
              <w:rPr>
                <w:b/>
              </w:rPr>
              <w:t>Конфиденциальность данных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Безопасность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04ED3">
              <w:rPr>
                <w:b/>
              </w:rPr>
              <w:t xml:space="preserve"> </w:t>
            </w:r>
            <w:r>
              <w:rPr>
                <w:b/>
              </w:rPr>
              <w:t>Внутренние механизмы контроля поставщика услуг</w:t>
            </w:r>
          </w:p>
        </w:tc>
        <w:tc>
          <w:tcPr>
            <w:tcW w:w="1420" w:type="dxa"/>
            <w:shd w:val="clear" w:color="auto" w:fill="A6A6A6"/>
          </w:tcPr>
          <w:p w:rsidR="00770A3F" w:rsidRPr="00F56789" w:rsidRDefault="00770A3F" w:rsidP="00F56789">
            <w:pPr>
              <w:spacing w:before="120"/>
              <w:rPr>
                <w:rFonts w:cs="Arial"/>
                <w:b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4D5767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Сохранность денежных средств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Процедуры и правила обеспечения сохранности денежных средств после того, как они зачислены на счёт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4D5767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Защита данных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104ED3">
            <w:pPr>
              <w:spacing w:before="120"/>
              <w:jc w:val="left"/>
              <w:rPr>
                <w:rFonts w:cs="Arial"/>
              </w:rPr>
            </w:pPr>
            <w:r>
              <w:t>Процедуры и правила обеспечения конфиденциальности и сохранности данных, содержащих историю транзакций [организаци</w:t>
            </w:r>
            <w:r w:rsidR="00104ED3">
              <w:t>и</w:t>
            </w:r>
            <w:r>
              <w:t>]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  <w:tr w:rsidR="00770A3F" w:rsidRPr="00F56789" w:rsidTr="006A02A5">
        <w:tc>
          <w:tcPr>
            <w:tcW w:w="2414" w:type="dxa"/>
            <w:shd w:val="clear" w:color="auto" w:fill="E6E6E6"/>
            <w:vAlign w:val="center"/>
          </w:tcPr>
          <w:p w:rsidR="00770A3F" w:rsidRPr="00F56789" w:rsidRDefault="00770A3F" w:rsidP="004D5767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Конфиденциальность данных</w:t>
            </w:r>
          </w:p>
        </w:tc>
        <w:tc>
          <w:tcPr>
            <w:tcW w:w="6390" w:type="dxa"/>
            <w:shd w:val="clear" w:color="auto" w:fill="F3F3F3"/>
            <w:vAlign w:val="center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  <w:r>
              <w:t>Процедуры и правила обеспечения сохранности и конфиденциальности данных получателей платежей</w:t>
            </w:r>
          </w:p>
        </w:tc>
        <w:tc>
          <w:tcPr>
            <w:tcW w:w="1420" w:type="dxa"/>
            <w:shd w:val="clear" w:color="auto" w:fill="F3F3F3"/>
          </w:tcPr>
          <w:p w:rsidR="00770A3F" w:rsidRPr="00F56789" w:rsidRDefault="00770A3F" w:rsidP="00F56789">
            <w:pPr>
              <w:spacing w:before="120"/>
              <w:jc w:val="left"/>
              <w:rPr>
                <w:rFonts w:cs="Arial"/>
              </w:rPr>
            </w:pPr>
          </w:p>
        </w:tc>
      </w:tr>
    </w:tbl>
    <w:p w:rsidR="00104ED3" w:rsidRDefault="00104ED3" w:rsidP="00104ED3">
      <w:pPr>
        <w:spacing w:after="0"/>
        <w:jc w:val="right"/>
        <w:rPr>
          <w:sz w:val="18"/>
        </w:rPr>
      </w:pPr>
    </w:p>
    <w:p w:rsidR="00104ED3" w:rsidRDefault="0090017E" w:rsidP="00104ED3">
      <w:pPr>
        <w:spacing w:after="0"/>
        <w:jc w:val="right"/>
        <w:rPr>
          <w:sz w:val="18"/>
        </w:rPr>
      </w:pPr>
      <w:r>
        <w:rPr>
          <w:sz w:val="18"/>
        </w:rPr>
        <w:t>Выдержка из основного инструмента</w:t>
      </w:r>
      <w:r w:rsidR="00104ED3">
        <w:rPr>
          <w:sz w:val="18"/>
        </w:rPr>
        <w:t xml:space="preserve"> «</w:t>
      </w:r>
      <w:r>
        <w:rPr>
          <w:sz w:val="18"/>
        </w:rPr>
        <w:t>Оценка потенциала поставщика услуг</w:t>
      </w:r>
      <w:r w:rsidR="00104ED3">
        <w:rPr>
          <w:sz w:val="18"/>
        </w:rPr>
        <w:t>» АМР</w:t>
      </w:r>
      <w:r w:rsidR="00104ED3" w:rsidRPr="00104ED3">
        <w:rPr>
          <w:sz w:val="18"/>
        </w:rPr>
        <w:t xml:space="preserve"> </w:t>
      </w:r>
      <w:r w:rsidR="00104ED3">
        <w:rPr>
          <w:sz w:val="18"/>
        </w:rPr>
        <w:t>США</w:t>
      </w:r>
      <w:r w:rsidR="00104ED3" w:rsidRPr="00104ED3">
        <w:rPr>
          <w:sz w:val="18"/>
        </w:rPr>
        <w:t xml:space="preserve"> </w:t>
      </w:r>
      <w:r w:rsidR="00104ED3">
        <w:rPr>
          <w:sz w:val="18"/>
        </w:rPr>
        <w:t>и</w:t>
      </w:r>
      <w:r w:rsidR="00104ED3" w:rsidRPr="00104ED3">
        <w:rPr>
          <w:sz w:val="18"/>
        </w:rPr>
        <w:t xml:space="preserve"> </w:t>
      </w:r>
      <w:r w:rsidR="00104ED3" w:rsidRPr="00104ED3">
        <w:rPr>
          <w:sz w:val="18"/>
          <w:lang w:val="en-US"/>
        </w:rPr>
        <w:t>NetHope</w:t>
      </w:r>
      <w:r w:rsidR="00104ED3" w:rsidRPr="00104ED3">
        <w:rPr>
          <w:sz w:val="18"/>
        </w:rPr>
        <w:t>.</w:t>
      </w:r>
      <w:r w:rsidR="00104ED3">
        <w:rPr>
          <w:sz w:val="18"/>
        </w:rPr>
        <w:t xml:space="preserve"> / </w:t>
      </w:r>
    </w:p>
    <w:p w:rsidR="00104ED3" w:rsidRPr="00104ED3" w:rsidRDefault="00104ED3" w:rsidP="00104ED3">
      <w:pPr>
        <w:spacing w:after="0"/>
        <w:jc w:val="right"/>
        <w:rPr>
          <w:rFonts w:cs="Arial"/>
          <w:sz w:val="18"/>
          <w:lang w:val="en-US"/>
        </w:rPr>
      </w:pPr>
      <w:r w:rsidRPr="00104ED3">
        <w:rPr>
          <w:sz w:val="18"/>
        </w:rPr>
        <w:t xml:space="preserve"> </w:t>
      </w:r>
      <w:r w:rsidR="0090017E" w:rsidRPr="00104ED3">
        <w:rPr>
          <w:sz w:val="18"/>
          <w:lang w:val="en-US"/>
        </w:rPr>
        <w:t>Servic</w:t>
      </w:r>
      <w:r>
        <w:rPr>
          <w:sz w:val="18"/>
          <w:lang w:val="en-US"/>
        </w:rPr>
        <w:t>e Provider Capacity Assessment</w:t>
      </w:r>
      <w:r w:rsidRPr="00104ED3">
        <w:rPr>
          <w:rFonts w:cs="Arial"/>
          <w:sz w:val="18"/>
          <w:lang w:val="en-US"/>
        </w:rPr>
        <w:t>, USAID and</w:t>
      </w:r>
      <w:r w:rsidRPr="00F41574">
        <w:rPr>
          <w:rFonts w:cs="Arial"/>
          <w:sz w:val="18"/>
          <w:lang w:val="en-US"/>
        </w:rPr>
        <w:t xml:space="preserve"> </w:t>
      </w:r>
      <w:r w:rsidRPr="00104ED3">
        <w:rPr>
          <w:rFonts w:cs="Arial"/>
          <w:sz w:val="18"/>
          <w:lang w:val="en-US"/>
        </w:rPr>
        <w:t>NetHope.</w:t>
      </w:r>
    </w:p>
    <w:sectPr w:rsidR="00104ED3" w:rsidRPr="00104ED3" w:rsidSect="00770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DB" w:rsidRDefault="00E833DB" w:rsidP="00A403E1">
      <w:pPr>
        <w:spacing w:after="0"/>
      </w:pPr>
      <w:r>
        <w:separator/>
      </w:r>
    </w:p>
  </w:endnote>
  <w:endnote w:type="continuationSeparator" w:id="0">
    <w:p w:rsidR="00E833DB" w:rsidRDefault="00E833DB" w:rsidP="00A40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E1" w:rsidRDefault="00644141" w:rsidP="00541F05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403E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4ED3">
      <w:rPr>
        <w:rStyle w:val="ac"/>
        <w:noProof/>
      </w:rPr>
      <w:t>0</w:t>
    </w:r>
    <w:r>
      <w:rPr>
        <w:rStyle w:val="ac"/>
      </w:rPr>
      <w:fldChar w:fldCharType="end"/>
    </w:r>
  </w:p>
  <w:p w:rsidR="00A403E1" w:rsidRDefault="00A403E1" w:rsidP="00A403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FB" w:rsidRPr="00B45C74" w:rsidRDefault="00644141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A868FB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C28E0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A868FB" w:rsidRPr="003A3500" w:rsidRDefault="00A868FB" w:rsidP="00ED1B2B">
    <w:pPr>
      <w:pStyle w:val="a7"/>
    </w:pPr>
    <w:r>
      <w:rPr>
        <w:b/>
      </w:rPr>
      <w:t>Модуль 4.</w:t>
    </w:r>
    <w:r w:rsidR="002C28E0">
      <w:t>Раздел 3.Подраздел</w:t>
    </w:r>
    <w:r>
      <w:t xml:space="preserve"> 1. </w:t>
    </w:r>
    <w:r w:rsidR="00E833DB">
      <w:fldChar w:fldCharType="begin"/>
    </w:r>
    <w:r w:rsidR="00E833DB">
      <w:instrText xml:space="preserve"> STYLEREF  H1 \t  \* MERGEFORMAT </w:instrText>
    </w:r>
    <w:r w:rsidR="00E833DB">
      <w:fldChar w:fldCharType="separate"/>
    </w:r>
    <w:r w:rsidR="002C28E0" w:rsidRPr="002C28E0">
      <w:rPr>
        <w:bCs/>
        <w:noProof/>
      </w:rPr>
      <w:t xml:space="preserve">Мобильные деньги.  Контрольный </w:t>
    </w:r>
    <w:r w:rsidR="002C28E0" w:rsidRPr="002C28E0">
      <w:rPr>
        <w:i/>
        <w:noProof/>
      </w:rPr>
      <w:t>список требований.</w:t>
    </w:r>
    <w:r w:rsidR="00E833DB">
      <w:rPr>
        <w:i/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E0" w:rsidRDefault="002C28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DB" w:rsidRDefault="00E833DB" w:rsidP="00A403E1">
      <w:pPr>
        <w:spacing w:after="0"/>
      </w:pPr>
      <w:r>
        <w:separator/>
      </w:r>
    </w:p>
  </w:footnote>
  <w:footnote w:type="continuationSeparator" w:id="0">
    <w:p w:rsidR="00E833DB" w:rsidRDefault="00E833DB" w:rsidP="00A40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E0" w:rsidRDefault="002C28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FB" w:rsidRPr="002C28E0" w:rsidRDefault="00A868FB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104ED3">
      <w:rPr>
        <w:rStyle w:val="Pantone485"/>
      </w:rPr>
      <w:t xml:space="preserve"> </w:t>
    </w:r>
    <w:r>
      <w:rPr>
        <w:rStyle w:val="ac"/>
        <w:bCs/>
        <w:szCs w:val="16"/>
      </w:rPr>
      <w:t>I</w:t>
    </w:r>
    <w:r w:rsidR="00104ED3">
      <w:rPr>
        <w:rStyle w:val="ac"/>
        <w:bCs/>
        <w:szCs w:val="16"/>
      </w:rPr>
      <w:t xml:space="preserve"> </w:t>
    </w:r>
    <w:r w:rsidR="002C28E0">
      <w:rPr>
        <w:szCs w:val="16"/>
      </w:rPr>
      <w:t>Наличные денежные средства в условиях ЧС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E0" w:rsidRDefault="002C28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86D"/>
    <w:multiLevelType w:val="hybridMultilevel"/>
    <w:tmpl w:val="F728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A60"/>
    <w:multiLevelType w:val="hybridMultilevel"/>
    <w:tmpl w:val="FFD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198E"/>
    <w:multiLevelType w:val="hybridMultilevel"/>
    <w:tmpl w:val="3E4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09A"/>
    <w:multiLevelType w:val="hybridMultilevel"/>
    <w:tmpl w:val="26F8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0470"/>
    <w:multiLevelType w:val="hybridMultilevel"/>
    <w:tmpl w:val="249CE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3D80"/>
    <w:multiLevelType w:val="hybridMultilevel"/>
    <w:tmpl w:val="4280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08"/>
  <w:hyphenationZone w:val="283"/>
  <w:drawingGridHorizontalSpacing w:val="100"/>
  <w:drawingGridVerticalSpacing w:val="29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547"/>
    <w:rsid w:val="00011672"/>
    <w:rsid w:val="00030DB9"/>
    <w:rsid w:val="0007350C"/>
    <w:rsid w:val="000D5B62"/>
    <w:rsid w:val="00104ED3"/>
    <w:rsid w:val="001435B6"/>
    <w:rsid w:val="001F6E69"/>
    <w:rsid w:val="002B32DD"/>
    <w:rsid w:val="002C28E0"/>
    <w:rsid w:val="002F03A0"/>
    <w:rsid w:val="0033737A"/>
    <w:rsid w:val="003955F9"/>
    <w:rsid w:val="003E2145"/>
    <w:rsid w:val="00432547"/>
    <w:rsid w:val="004377B5"/>
    <w:rsid w:val="00490455"/>
    <w:rsid w:val="004D5767"/>
    <w:rsid w:val="004F4028"/>
    <w:rsid w:val="00562E97"/>
    <w:rsid w:val="005A7597"/>
    <w:rsid w:val="005B2877"/>
    <w:rsid w:val="005D7FE6"/>
    <w:rsid w:val="00644141"/>
    <w:rsid w:val="006A02A5"/>
    <w:rsid w:val="00770A3F"/>
    <w:rsid w:val="008C2471"/>
    <w:rsid w:val="0090017E"/>
    <w:rsid w:val="00A403E1"/>
    <w:rsid w:val="00A45574"/>
    <w:rsid w:val="00A730C9"/>
    <w:rsid w:val="00A868FB"/>
    <w:rsid w:val="00B20425"/>
    <w:rsid w:val="00B75A6E"/>
    <w:rsid w:val="00CA0430"/>
    <w:rsid w:val="00CB6EA9"/>
    <w:rsid w:val="00DE08A3"/>
    <w:rsid w:val="00E25072"/>
    <w:rsid w:val="00E833DB"/>
    <w:rsid w:val="00F56789"/>
    <w:rsid w:val="00F736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342DE"/>
  <w15:docId w15:val="{4649B787-FA56-494A-BCAD-C9E5EDE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08A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E08A3"/>
  </w:style>
  <w:style w:type="paragraph" w:styleId="2">
    <w:name w:val="heading 2"/>
    <w:basedOn w:val="a"/>
    <w:next w:val="a"/>
    <w:link w:val="20"/>
    <w:uiPriority w:val="9"/>
    <w:unhideWhenUsed/>
    <w:qFormat/>
    <w:rsid w:val="00DE08A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E08A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8A3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E08A3"/>
    <w:rPr>
      <w:rFonts w:ascii="Arial" w:eastAsiaTheme="minorEastAsia" w:hAnsi="Arial" w:cs="Times New Roman"/>
      <w:b/>
      <w:caps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08A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8A3"/>
    <w:rPr>
      <w:rFonts w:ascii="Lucida Grande" w:eastAsiaTheme="minorEastAsia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8A3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DE08A3"/>
    <w:rPr>
      <w:rFonts w:ascii="Arial" w:eastAsiaTheme="minorEastAsia" w:hAnsi="Arial" w:cs="Times New Roman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DE08A3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DE08A3"/>
    <w:rPr>
      <w:rFonts w:ascii="Arial" w:eastAsiaTheme="minorEastAsia" w:hAnsi="Arial" w:cs="Times New Roman"/>
      <w:sz w:val="16"/>
      <w:szCs w:val="18"/>
    </w:rPr>
  </w:style>
  <w:style w:type="paragraph" w:styleId="a9">
    <w:name w:val="List Paragraph"/>
    <w:basedOn w:val="a"/>
    <w:link w:val="aa"/>
    <w:uiPriority w:val="34"/>
    <w:qFormat/>
    <w:rsid w:val="00DE08A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b">
    <w:name w:val="Table Grid"/>
    <w:basedOn w:val="a1"/>
    <w:uiPriority w:val="59"/>
    <w:rsid w:val="00DE08A3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unhideWhenUsed/>
    <w:rsid w:val="00DE08A3"/>
    <w:rPr>
      <w:b/>
    </w:rPr>
  </w:style>
  <w:style w:type="character" w:customStyle="1" w:styleId="30">
    <w:name w:val="Заголовок 3 Знак"/>
    <w:basedOn w:val="a0"/>
    <w:link w:val="3"/>
    <w:uiPriority w:val="9"/>
    <w:rsid w:val="00DE08A3"/>
    <w:rPr>
      <w:rFonts w:ascii="Arial" w:eastAsiaTheme="minorEastAsia" w:hAnsi="Arial" w:cs="Times New Roman"/>
      <w:b/>
      <w:sz w:val="22"/>
    </w:rPr>
  </w:style>
  <w:style w:type="character" w:customStyle="1" w:styleId="aa">
    <w:name w:val="Абзац списка Знак"/>
    <w:basedOn w:val="a0"/>
    <w:link w:val="a9"/>
    <w:uiPriority w:val="34"/>
    <w:rsid w:val="00DE08A3"/>
    <w:rPr>
      <w:rFonts w:ascii="Arial" w:hAnsi="Arial"/>
      <w:sz w:val="20"/>
      <w:szCs w:val="22"/>
    </w:rPr>
  </w:style>
  <w:style w:type="paragraph" w:customStyle="1" w:styleId="Default">
    <w:name w:val="Default"/>
    <w:rsid w:val="00DE08A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d">
    <w:name w:val="annotation reference"/>
    <w:basedOn w:val="a0"/>
    <w:uiPriority w:val="99"/>
    <w:semiHidden/>
    <w:unhideWhenUsed/>
    <w:rsid w:val="00DE08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68FB"/>
  </w:style>
  <w:style w:type="character" w:customStyle="1" w:styleId="af">
    <w:name w:val="Текст примечания Знак"/>
    <w:basedOn w:val="a0"/>
    <w:link w:val="ae"/>
    <w:uiPriority w:val="99"/>
    <w:semiHidden/>
    <w:rsid w:val="00A868FB"/>
    <w:rPr>
      <w:rFonts w:ascii="Arial" w:eastAsiaTheme="minorEastAsia" w:hAnsi="Arial" w:cs="Times New Roman"/>
      <w:sz w:val="20"/>
      <w:szCs w:val="20"/>
    </w:rPr>
  </w:style>
  <w:style w:type="paragraph" w:styleId="af0">
    <w:name w:val="annotation subject"/>
    <w:basedOn w:val="a"/>
    <w:link w:val="af1"/>
    <w:uiPriority w:val="99"/>
    <w:semiHidden/>
    <w:unhideWhenUsed/>
    <w:rsid w:val="00DE08A3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DE08A3"/>
    <w:rPr>
      <w:rFonts w:ascii="Arial" w:eastAsiaTheme="minorEastAsia" w:hAnsi="Arial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E08A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E08A3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E08A3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E08A3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E08A3"/>
    <w:rPr>
      <w:vertAlign w:val="superscript"/>
    </w:rPr>
  </w:style>
  <w:style w:type="paragraph" w:styleId="af7">
    <w:name w:val="Revision"/>
    <w:hidden/>
    <w:uiPriority w:val="99"/>
    <w:semiHidden/>
    <w:rsid w:val="00DE08A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E08A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E08A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E08A3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E08A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E08A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DE08A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E08A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E08A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E08A3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DE08A3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DE08A3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E08A3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DE08A3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E08A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E08A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DE08A3"/>
    <w:pPr>
      <w:keepNext/>
      <w:keepLines/>
      <w:framePr w:hSpace="141" w:wrap="around" w:vAnchor="text" w:hAnchor="margin" w:y="402"/>
      <w:numPr>
        <w:numId w:val="12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Mareta GAZIKOVA</cp:lastModifiedBy>
  <cp:revision>5</cp:revision>
  <cp:lastPrinted>2015-09-30T20:00:00Z</cp:lastPrinted>
  <dcterms:created xsi:type="dcterms:W3CDTF">2016-06-22T18:00:00Z</dcterms:created>
  <dcterms:modified xsi:type="dcterms:W3CDTF">2017-04-21T12:06:00Z</dcterms:modified>
</cp:coreProperties>
</file>