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2A" w:rsidRDefault="00B50F41" w:rsidP="008C6472">
      <w:pPr>
        <w:pStyle w:val="H1"/>
        <w:rPr>
          <w:sz w:val="24"/>
          <w:szCs w:val="24"/>
        </w:rPr>
      </w:pPr>
      <w:r>
        <w:t>Контрольный список для дебетовых карточек</w:t>
      </w:r>
    </w:p>
    <w:tbl>
      <w:tblPr>
        <w:tblW w:w="5000" w:type="pct"/>
        <w:tblLook w:val="04A0"/>
      </w:tblPr>
      <w:tblGrid>
        <w:gridCol w:w="11313"/>
        <w:gridCol w:w="1471"/>
        <w:gridCol w:w="2003"/>
      </w:tblGrid>
      <w:tr w:rsidR="00D722EB" w:rsidRPr="00AD457A" w:rsidTr="00BD6CCA">
        <w:trPr>
          <w:trHeight w:val="36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vAlign w:val="bottom"/>
            <w:hideMark/>
          </w:tcPr>
          <w:p w:rsidR="001A6203" w:rsidRPr="00AD457A" w:rsidRDefault="001A6203" w:rsidP="00974BE1">
            <w:pPr>
              <w:spacing w:before="120"/>
              <w:jc w:val="left"/>
              <w:rPr>
                <w:rFonts w:eastAsia="Times New Roman" w:cs="Arial"/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Инструкции:</w:t>
            </w:r>
            <w:r w:rsidR="002D2847">
              <w:rPr>
                <w:bCs/>
                <w:color w:val="FFFFFF" w:themeColor="background1"/>
              </w:rPr>
              <w:t xml:space="preserve">  </w:t>
            </w:r>
            <w:r>
              <w:rPr>
                <w:bCs/>
                <w:color w:val="FFFFFF" w:themeColor="background1"/>
              </w:rPr>
              <w:t>Пересмотрите требования карточной программы и определите уровень услуг, который является необходимым или предпочтительны</w:t>
            </w:r>
            <w:r w:rsidR="00974BE1">
              <w:rPr>
                <w:bCs/>
                <w:color w:val="FFFFFF" w:themeColor="background1"/>
              </w:rPr>
              <w:t>м</w:t>
            </w:r>
            <w:r>
              <w:rPr>
                <w:bCs/>
                <w:color w:val="FFFFFF" w:themeColor="background1"/>
              </w:rPr>
              <w:t xml:space="preserve"> для Красного Креста и Красного Полумесяца.</w:t>
            </w:r>
            <w:r w:rsidR="002D2847">
              <w:rPr>
                <w:bCs/>
                <w:color w:val="FFFFFF" w:themeColor="background1"/>
              </w:rPr>
              <w:t xml:space="preserve">  </w:t>
            </w:r>
            <w:r>
              <w:rPr>
                <w:bCs/>
                <w:color w:val="FFFFFF" w:themeColor="background1"/>
              </w:rPr>
              <w:t>Положения, помеченные «необходимо», должны быть включены в Объем работ, переданный поставщику финансовых услуг</w:t>
            </w:r>
            <w:r w:rsidR="0094536A">
              <w:rPr>
                <w:bCs/>
                <w:color w:val="FFFFFF" w:themeColor="background1"/>
              </w:rPr>
              <w:t xml:space="preserve">.  </w:t>
            </w:r>
            <w:r>
              <w:rPr>
                <w:bCs/>
                <w:color w:val="FFFFFF" w:themeColor="background1"/>
              </w:rPr>
              <w:t>Положения, помеченные «предпочтительно», можно обсудить с поставщиком финансовых услуг позже и включить в переговоры.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  <w:hideMark/>
          </w:tcPr>
          <w:p w:rsidR="001A6203" w:rsidRPr="00AD457A" w:rsidRDefault="001A6203" w:rsidP="0014212C">
            <w:pPr>
              <w:spacing w:before="120"/>
              <w:jc w:val="center"/>
              <w:rPr>
                <w:rFonts w:eastAsia="Times New Roman"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Необходимо (X)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  <w:hideMark/>
          </w:tcPr>
          <w:p w:rsidR="001A6203" w:rsidRPr="00AD457A" w:rsidRDefault="001A6203" w:rsidP="0014212C">
            <w:pPr>
              <w:spacing w:before="120"/>
              <w:jc w:val="center"/>
              <w:rPr>
                <w:rFonts w:eastAsia="Times New Roman"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Предпочтительно (X)</w:t>
            </w:r>
          </w:p>
        </w:tc>
      </w:tr>
      <w:tr w:rsidR="001A6203" w:rsidRPr="00AD457A" w:rsidTr="00BD6CCA">
        <w:trPr>
          <w:trHeight w:val="36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1A6203" w:rsidRPr="00AD457A" w:rsidRDefault="001A6203" w:rsidP="003178BA">
            <w:pPr>
              <w:spacing w:before="120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Общая информация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1A6203" w:rsidRPr="00AD457A" w:rsidRDefault="001A6203" w:rsidP="0014212C">
            <w:pPr>
              <w:spacing w:before="12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1A6203" w:rsidRPr="00AD457A" w:rsidRDefault="001A6203" w:rsidP="0014212C">
            <w:pPr>
              <w:spacing w:before="12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Неиспользованные средства возвращаются Красному Кресту и Красному Полумесяцу.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Платёжный механизм можно активировать по желанию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BD6CCA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Платёжный механизм допускает переменные нагрузки.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BD6CCA">
        <w:trPr>
          <w:trHeight w:val="36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24178E" w:rsidRPr="00AD457A" w:rsidRDefault="0024178E" w:rsidP="003178BA">
            <w:pPr>
              <w:spacing w:before="120"/>
              <w:rPr>
                <w:rFonts w:eastAsia="Times New Roman" w:cs="Arial"/>
                <w:b/>
                <w:bCs/>
              </w:rPr>
            </w:pPr>
            <w:r>
              <w:rPr>
                <w:b/>
                <w:bCs/>
              </w:rPr>
              <w:t>Инструмент платежа с использованием карточки (банкоматы и кассовые терминалы)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24178E" w:rsidRPr="00AD457A" w:rsidRDefault="0024178E" w:rsidP="0014212C">
            <w:pPr>
              <w:spacing w:before="120"/>
              <w:jc w:val="center"/>
              <w:rPr>
                <w:rFonts w:eastAsia="Times New Roman" w:cs="Arial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24178E" w:rsidRPr="00AD457A" w:rsidRDefault="0024178E" w:rsidP="0014212C">
            <w:pPr>
              <w:spacing w:before="120"/>
              <w:jc w:val="center"/>
              <w:rPr>
                <w:rFonts w:eastAsia="Times New Roman" w:cs="Arial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Карточку можно активировать по желанию.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Сама карточка имеет нулевую ценность, на неё можно зачислить денежные средства в любом объёме (переменная сумма пополнения)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Карточка пополняемая, причём установлена конкретная максимальная сумма пополнения и максимальная сумма пополнения за период действия карточки.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Каждую карточку можно пополнить ограниченное число раз.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Карточка должна являться картой предоплаты, средства предоставляются Красным Крестом и Красным Полумесяцем.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Карточку можно использовать/активировать в течение 24 часов с момента уведомления.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Карточка пред</w:t>
            </w:r>
            <w:r w:rsidR="00974BE1">
              <w:rPr>
                <w:color w:val="000000"/>
              </w:rPr>
              <w:t>о</w:t>
            </w:r>
            <w:r>
              <w:rPr>
                <w:color w:val="000000"/>
              </w:rPr>
              <w:t>ставляется Красному Кресту и Красному Полумесяцу в течение 72 часов после получения запроса.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На карт</w:t>
            </w:r>
            <w:r w:rsidR="00974BE1">
              <w:rPr>
                <w:color w:val="000000"/>
              </w:rPr>
              <w:t>очк</w:t>
            </w:r>
            <w:r>
              <w:rPr>
                <w:color w:val="000000"/>
              </w:rPr>
              <w:t>у для узнаваемости нанесён логотип Красного Креста и Красного Полумесяца.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Транзакции по карт</w:t>
            </w:r>
            <w:r w:rsidR="00974BE1">
              <w:rPr>
                <w:color w:val="000000"/>
              </w:rPr>
              <w:t>очк</w:t>
            </w:r>
            <w:r>
              <w:rPr>
                <w:color w:val="000000"/>
              </w:rPr>
              <w:t>е основаны на подписи (кредитная карта).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Карточка позволяет снимать наличные при покупке на кассовом терминале.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Карточку можно использовать в банкомате для снятия наличных.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lastRenderedPageBreak/>
              <w:t>Карточка может иметь ограничения по сумме наличных, которые можно снять, и по количеству снятий.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Для карточки можно ввести ограничение - активировать в течение ХХ дней.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974BE1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</w:t>
            </w:r>
            <w:r w:rsidR="0024178E">
              <w:rPr>
                <w:color w:val="000000"/>
              </w:rPr>
              <w:t xml:space="preserve">роводить зачисления на карточку, списания с карточки, а также деактивировать карточку </w:t>
            </w:r>
            <w:r>
              <w:rPr>
                <w:color w:val="000000"/>
              </w:rPr>
              <w:t xml:space="preserve">можно </w:t>
            </w:r>
            <w:r w:rsidR="0024178E">
              <w:rPr>
                <w:color w:val="000000"/>
              </w:rPr>
              <w:t>удалённо.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Выполнить зачисление, списание или деактивировать карточку по поручению Красного Креста и Красного Полумесяца может подрядная организация.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Карточка может быть приостановлена/возобновлена или деактивирована Красным Крестом и Красным Полумесяцем.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Карточку с истёкшим сроком действия можно деактивировать.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Карточка не принимается банкоматом, если на неё не зачислено достаточно средств.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При совершении покупки, если сумма покупки превышает доступный баланс на карточке, карточка отклоняется и покупка не совершается; для карточки не разрешается отрицательный баланс.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Для всех транзакций по карточке во время совершения покупки требуется электронное одобрение с порогом в $0.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Установлен срок, в течение которого торговцы могут заявить/зафискировать покупку и/или можно использовать карточку для снятия наличных в банкомате - не более 60 дней; все транзакции после истечения этого срока будут отклонены.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На карточку можно наложить ограничения согласно кодам транзакций различных отраслей и категорий.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Когда поставщик финансовых услуг поддерживает определенное количество карт в запасе и посылает их Красному Кресту и Красному Полумесяцу, предоставляется стоимость работы системы.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Когда поставщик финансовых услуг поддерживает определенное количество карт в запасе, предоставляется стоимость работы системы.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BD6CCA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974BE1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 xml:space="preserve">Карточка подключена к повсеместно принимаемой/глобальной </w:t>
            </w:r>
            <w:r w:rsidR="00974BE1">
              <w:rPr>
                <w:color w:val="000000"/>
              </w:rPr>
              <w:t>системе</w:t>
            </w:r>
            <w:r>
              <w:rPr>
                <w:color w:val="000000"/>
              </w:rPr>
              <w:t xml:space="preserve"> электронных платежей (т.е. MasterCard, VISA).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BD6CCA">
        <w:trPr>
          <w:trHeight w:val="36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24178E" w:rsidRPr="00AD457A" w:rsidRDefault="0024178E" w:rsidP="003178BA">
            <w:pPr>
              <w:spacing w:before="120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Требования к поставщикам финансовых услуг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24178E" w:rsidRPr="00AD457A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24178E" w:rsidRPr="00AD457A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Поставщик финансовых услуг предлагает ряд вариантов механизмов оплаты в конкретной стране.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Поставщик финансовых услуг должен иметь функционирующий продукт в странах, имеющих приоритетное значение.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Поставщик финансовых услуг имеет возможность и желание расширить свою деятельность и выйти на новые рынки (рынок=страна).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Поставщик финансовых услуг соответствует нормативным стандартам отрасли, стандартам соответствия</w:t>
            </w:r>
            <w:r w:rsidR="002211F8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а также </w:t>
            </w:r>
            <w:r>
              <w:rPr>
                <w:color w:val="000000"/>
              </w:rPr>
              <w:lastRenderedPageBreak/>
              <w:t>управления рисками (включая партнёрские организации).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lastRenderedPageBreak/>
              <w:t>Поставщик финансовых услуг соответствует стандартам отрасли в отношении целостности и безопасности данных (включая партнёрские организации).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Поставщик финансовых услуг несёт полную ответственность за соответствие стандартам Управления по контролю за иностранными активами Казначейства США.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Поставщик финансовых услуг несёт полную ответственность за соблюдение внутристрановых юридических, нормативных и валютных требований.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Поставщик финансовых услуг предлагает Красному Кресту и Красному Полумесяцу конкурентоспособные тарифы.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91158A">
            <w:pPr>
              <w:keepNext/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Поставщик финансовых услуг продемонстрировал приве</w:t>
            </w:r>
            <w:r w:rsidR="00974BE1">
              <w:rPr>
                <w:color w:val="000000"/>
              </w:rPr>
              <w:t>р</w:t>
            </w:r>
            <w:r>
              <w:rPr>
                <w:color w:val="000000"/>
              </w:rPr>
              <w:t>женность инновациям и расширению доступа к финансовым услугам и способствует повышению уровня операционной совместимости поставщиков услуг.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keepNext/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keepNext/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BD6CCA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2211F8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Поставщик финансовых услуг имеет мандат корпоративной социальной ответственности (КСО) (т.е. готов снизить тарифы в случае гуманитарного кризиса, поддерживает исследования в вопросе ПД</w:t>
            </w:r>
            <w:r w:rsidR="002211F8"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 при ЧС и т.д.; это скорее партнерское соглашение, чем договор).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BD6CCA">
        <w:trPr>
          <w:trHeight w:val="36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24178E" w:rsidRPr="00AD457A" w:rsidRDefault="0024178E" w:rsidP="003178BA">
            <w:pPr>
              <w:spacing w:before="120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Услуги и тарифы поставщика финансовых услуг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24178E" w:rsidRPr="00AD457A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24178E" w:rsidRPr="00AD457A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Поставщик финансовых услуг имеет возможность использовать электронные денежные переводы с финансирующих счетов и на них для пополнения карточек, взимания тарифов и для непотраченных карточек.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Поставщик финансовых услуг имеет возможность получать электронные отчёты о состоянии счетов и проводить сверку счетов с Красным Крестом и Красным Полумесяцем.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91158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Существует возможность ежемесячного выставления счетов за обслуживание и другие услуги.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Поставщик финансовых услуг предоставляет персоналу Красного Креста и Красного полумесяца техническую поддержку в работе с платёжным инструментом.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Поставщик финансовых услуг имеет дублирующие механизмы обработки запросов, чтобы в случае ЧС иметь соответствующий резерв и обеспечить непрерывность работы.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91158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Поставщик финансовых услуг может предоставить чёткую структуру тарифов для каждого уровня:  клиент (Красный Крест и Красный Полумесяц), бе</w:t>
            </w:r>
            <w:r w:rsidR="0091158A">
              <w:rPr>
                <w:color w:val="000000"/>
              </w:rPr>
              <w:t>н</w:t>
            </w:r>
            <w:r>
              <w:rPr>
                <w:color w:val="000000"/>
              </w:rPr>
              <w:t>ефициар/конечный пользователь.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Имеется полная стоимость осуществления программы, включая все известные затраты, связанные с платёжным инструментом.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BD6CCA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91158A" w:rsidP="0091158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Расходы на</w:t>
            </w:r>
            <w:r w:rsidR="0024178E">
              <w:rPr>
                <w:color w:val="000000"/>
              </w:rPr>
              <w:t xml:space="preserve"> обслуживание ложатся на Красный Крест и Красный Полумесяц, а </w:t>
            </w:r>
            <w:r>
              <w:rPr>
                <w:color w:val="000000"/>
              </w:rPr>
              <w:t>не на конечного пользователя/бен</w:t>
            </w:r>
            <w:r w:rsidR="0024178E">
              <w:rPr>
                <w:color w:val="000000"/>
              </w:rPr>
              <w:t>ефициара.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BD6CCA">
        <w:trPr>
          <w:trHeight w:val="36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24178E" w:rsidRPr="00AD457A" w:rsidRDefault="0024178E" w:rsidP="003178BA">
            <w:pPr>
              <w:spacing w:before="120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Требования к платёжной платформе поставщика финансовых услуг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24178E" w:rsidRPr="00AD457A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24178E" w:rsidRPr="00AD457A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Платформа поставщика финансовых услуг даёт высокий уровень доступа - в городской и в сельской местности (с подробной информацией на страновом уровне:  координаты банкоматов для GPS, пункты обслуживания клиентов, отделения и т.д.)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Поставщик финансовых услуг имеет возможность и желание при необходимости расширить инфраструктуру.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Поставщик финансовых услуг в настоящее время имеет потенциал/возможности для расширения в стране (т.е. количество функционирующих точек, в которых возможно обслуживание клиента в стране).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Поставщик финансовых услуг имеет возможность и желание при необходимости расширить потенциал/возможности для расширения (т.е. количество пунктов оказания услуг).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Поставщик финансовых услуг может для обеспечения высокой скорости реагирования по запросу мобилизовать ресурсы и изменить приоритетность их использования.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Платёжный инструмент, предлагаемый поставщиком финансовых услуг, предполагает вариант использования физических наличных денег.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BD6CCA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Поставщик финансовых услуг поддерживает расширение доступа к финансовым услугам (т.е. двусторонние транзакции).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BD6CCA">
        <w:trPr>
          <w:trHeight w:val="315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24178E" w:rsidRPr="00AD457A" w:rsidRDefault="0024178E" w:rsidP="003178BA">
            <w:pPr>
              <w:spacing w:before="120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Пользовательский интерфейс поставщика финансовых услуг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24178E" w:rsidRPr="00AD457A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24178E" w:rsidRPr="00AD457A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Поставщик финансовых услуг предлагает компьютерную онлайн-систему работы со счетами.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Поставщик финансовых услуг предлагает компьютерную онлайн-систему работы со счетами бенефициаров с возможностью группового пополнения.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Поставщик финансовых услуг непрерывно ведёт процесс добавления/поддержания идентификаторов пользователей и паролей для географически разбросанной группы пользователей, причём доступ к системе ограничен определённой информацией в зависимости от уровня безопасности.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Пользовательский интерфейс интуитивный и удобный в использовании.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Пользовательский интерфейс позволяет добавлять/адаптировать информацию (опциональные поля для данных Красного Креста и Красного Полумесяца).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Пользовательский интерфейс доступен на языках ООН.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BD6CCA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 xml:space="preserve">Пользовательский интерфейс позволяет получить отчёт по идентификатору </w:t>
            </w:r>
            <w:r w:rsidR="0091158A">
              <w:rPr>
                <w:color w:val="000000"/>
              </w:rPr>
              <w:t>пользователя</w:t>
            </w:r>
            <w:r>
              <w:rPr>
                <w:color w:val="000000"/>
              </w:rPr>
              <w:t xml:space="preserve"> (т.е., кто вошёл в систему, пополненные карточки, действия, совершённые пользователем с этим идентификатором).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BD6CCA">
        <w:trPr>
          <w:trHeight w:val="315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24178E" w:rsidRPr="00AD457A" w:rsidRDefault="0024178E" w:rsidP="003178BA">
            <w:pPr>
              <w:spacing w:before="120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Возможности поставщика финансовых услуг в области обучения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24178E" w:rsidRPr="00AD457A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24178E" w:rsidRPr="00AD457A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Поставщик финансовых услуг предоставляет обучение по интернет-интерфейсу, а также по любому интерфейсу платёжного механизма.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BD6CCA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Поставщик финансовых услуг проводит подготовку инструкторов в стране.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BD6CCA">
        <w:trPr>
          <w:trHeight w:val="315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24178E" w:rsidRPr="00AD457A" w:rsidRDefault="0024178E" w:rsidP="003178BA">
            <w:pPr>
              <w:spacing w:before="120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Возможности поставщика финансовых услуг в отношении отчётности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24178E" w:rsidRPr="00AD457A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24178E" w:rsidRPr="00AD457A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Поставщик финансовых услуг предоставляет интерфейс для отчётов, работающий между ним и Красным Крестом и Красным Полумесяцем.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Поставщик финансовых услуг предлагает систему отчётности с возможностью добавлять специфичные для Красного Креста и Красного полумесяца поля для информации для стандартных отчётов и интерфейсов.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Для проведения анализа и компиляции отчёты можно скачать в формате Excel или Access.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Поставщик финансовых услуг предоставляет возможность отчёта ad-hoc, так что можно вести поиск по всем полям в любом порядке.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Поставщик финансовых услуг имеет возможность получать сводные данные по счетам.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Поставщик финансовых услуг имеет возможность выбора валюты для пополнения/ведения бух.учёта/отчётности.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BD6CCA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Поставщик финансовых услуг может предоставить отчёт по кодам торговых точек.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BD6CCA">
        <w:trPr>
          <w:trHeight w:val="315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24178E" w:rsidRPr="00AD457A" w:rsidRDefault="0024178E" w:rsidP="0014212C">
            <w:pPr>
              <w:keepNext/>
              <w:spacing w:before="120"/>
              <w:rPr>
                <w:rFonts w:eastAsia="Times New Roman" w:cs="Arial"/>
                <w:b/>
                <w:color w:val="000000"/>
              </w:rPr>
            </w:pPr>
            <w:r>
              <w:rPr>
                <w:b/>
                <w:color w:val="000000"/>
              </w:rPr>
              <w:t>Служба поддержки клиентов поставщика финансовых услуг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24178E" w:rsidRPr="00AD457A" w:rsidRDefault="0024178E" w:rsidP="0014212C">
            <w:pPr>
              <w:keepNext/>
              <w:spacing w:before="12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24178E" w:rsidRPr="00AD457A" w:rsidRDefault="0024178E" w:rsidP="0014212C">
            <w:pPr>
              <w:keepNext/>
              <w:spacing w:before="12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14212C">
            <w:pPr>
              <w:keepNext/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Вопросы, отно</w:t>
            </w:r>
            <w:r w:rsidR="0091158A">
              <w:rPr>
                <w:color w:val="000000"/>
              </w:rPr>
              <w:t>сящиеся непосредственно к работе</w:t>
            </w:r>
            <w:r>
              <w:rPr>
                <w:color w:val="000000"/>
              </w:rPr>
              <w:t xml:space="preserve"> программы (т.е. сумма на карточке/мошенничество/вымогательство), поставщик финансовых услуг направляет Красному Кресту и Красному Полумесяцу.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keepNext/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keepNext/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Для поддержки клиентов привлекаются (не из Красного Креста и Красного Полумесяца) специалисты, работающие на местном языке и/или других основных диалектах.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2211F8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Для поддержки клиентов работает кол</w:t>
            </w:r>
            <w:r w:rsidR="002211F8">
              <w:rPr>
                <w:color w:val="000000"/>
              </w:rPr>
              <w:t>л</w:t>
            </w:r>
            <w:bookmarkStart w:id="0" w:name="_GoBack"/>
            <w:bookmarkEnd w:id="0"/>
            <w:r>
              <w:rPr>
                <w:color w:val="000000"/>
              </w:rPr>
              <w:t>-центр, отвечающий на вопросы по использованию услуг, куда можно позвонить бесплатно.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Служба поддержки решает вопросы, связанные с утерей/кражей/повреждением карточек</w:t>
            </w:r>
            <w:r w:rsidR="0091158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путём аннулирования/деактивации.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Поставщик финансовых услуг может предоставлять услуги поддержки клиентов в рабочие часы для оказания помощи владельцам карточек в их использовании; эта услуга может быть активирована по запросу Красного Креста и Красного Полумесяца.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lastRenderedPageBreak/>
              <w:t>Служба поддержки клиентов сообщает о возникающих вопросах Красному Кресту и Красному Полумесяцу и отслеживает эти вопросы.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Служба поддержки клиентов собирает статистику о клиентах и передаёт её Красному Кресту и Красному Полумесяцу.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AD457A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AD457A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Отчётность проводится и требуется только в запрошенный период действия карточек, не всё время.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</w:tbl>
    <w:p w:rsidR="001A6203" w:rsidRPr="00D722EB" w:rsidRDefault="001A6203" w:rsidP="00D722EB">
      <w:pPr>
        <w:rPr>
          <w:szCs w:val="24"/>
        </w:rPr>
      </w:pPr>
    </w:p>
    <w:sectPr w:rsidR="001A6203" w:rsidRPr="00D722EB" w:rsidSect="009D028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629" w:rsidRDefault="00052629" w:rsidP="005F74D2">
      <w:pPr>
        <w:spacing w:after="0"/>
      </w:pPr>
      <w:r>
        <w:separator/>
      </w:r>
    </w:p>
  </w:endnote>
  <w:endnote w:type="continuationSeparator" w:id="1">
    <w:p w:rsidR="00052629" w:rsidRDefault="00052629" w:rsidP="005F74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Caecili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03" w:rsidRDefault="00962EB8" w:rsidP="00541F05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A620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4536A">
      <w:rPr>
        <w:rStyle w:val="a9"/>
        <w:noProof/>
      </w:rPr>
      <w:t>0</w:t>
    </w:r>
    <w:r>
      <w:rPr>
        <w:rStyle w:val="a9"/>
      </w:rPr>
      <w:fldChar w:fldCharType="end"/>
    </w:r>
  </w:p>
  <w:p w:rsidR="001A6203" w:rsidRDefault="001A6203" w:rsidP="001A620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72" w:rsidRPr="00B45C74" w:rsidRDefault="00962EB8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8C6472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2D2847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8C6472" w:rsidRPr="003A3500" w:rsidRDefault="008C6472" w:rsidP="00ED1B2B">
    <w:pPr>
      <w:pStyle w:val="a5"/>
    </w:pPr>
    <w:r>
      <w:rPr>
        <w:b/>
      </w:rPr>
      <w:t>Модуль 4.</w:t>
    </w:r>
    <w:r w:rsidR="002D2847">
      <w:t xml:space="preserve"> Раздел</w:t>
    </w:r>
    <w:r>
      <w:t xml:space="preserve"> 3.</w:t>
    </w:r>
    <w:r w:rsidR="002D2847">
      <w:t xml:space="preserve"> Подраздел</w:t>
    </w:r>
    <w:r>
      <w:t xml:space="preserve"> 1. </w:t>
    </w:r>
    <w:fldSimple w:instr=" STYLEREF  H1 \t  \* MERGEFORMAT ">
      <w:r w:rsidR="002D2847" w:rsidRPr="002D2847">
        <w:rPr>
          <w:bCs/>
          <w:noProof/>
        </w:rPr>
        <w:t>Контрольный список для дебетовых</w:t>
      </w:r>
      <w:r w:rsidR="002D2847" w:rsidRPr="002D2847">
        <w:rPr>
          <w:i/>
          <w:noProof/>
        </w:rPr>
        <w:t xml:space="preserve"> карточек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72" w:rsidRPr="00B45C74" w:rsidRDefault="00962EB8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8C6472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8C6472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8C6472" w:rsidRPr="003A3500" w:rsidRDefault="008C6472" w:rsidP="00ED1B2B">
    <w:pPr>
      <w:pStyle w:val="a5"/>
    </w:pPr>
    <w:r>
      <w:rPr>
        <w:b/>
      </w:rPr>
      <w:t>Модуль 4.</w:t>
    </w:r>
    <w:r w:rsidR="002D2847">
      <w:t xml:space="preserve"> Раздел</w:t>
    </w:r>
    <w:r>
      <w:t xml:space="preserve"> 3.</w:t>
    </w:r>
    <w:r w:rsidR="002D2847">
      <w:t xml:space="preserve"> Подраздел</w:t>
    </w:r>
    <w:r>
      <w:t xml:space="preserve"> 1. </w:t>
    </w:r>
    <w:fldSimple w:instr=" STYLEREF  H1 \t  \* MERGEFORMAT ">
      <w:r w:rsidR="0094536A" w:rsidRPr="0094536A">
        <w:rPr>
          <w:bCs/>
          <w:noProof/>
        </w:rPr>
        <w:t>Контрольный список для дебетовых</w:t>
      </w:r>
      <w:r w:rsidR="0094536A">
        <w:rPr>
          <w:i/>
          <w:noProof/>
        </w:rPr>
        <w:t xml:space="preserve"> карточек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629" w:rsidRDefault="00052629" w:rsidP="005F74D2">
      <w:pPr>
        <w:spacing w:after="0"/>
      </w:pPr>
      <w:r>
        <w:separator/>
      </w:r>
    </w:p>
  </w:footnote>
  <w:footnote w:type="continuationSeparator" w:id="1">
    <w:p w:rsidR="00052629" w:rsidRDefault="00052629" w:rsidP="005F74D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72" w:rsidRPr="00074036" w:rsidRDefault="008C6472" w:rsidP="00173FF2">
    <w:pPr>
      <w:pStyle w:val="a3"/>
      <w:rPr>
        <w:szCs w:val="16"/>
      </w:rPr>
    </w:pPr>
    <w:r>
      <w:rPr>
        <w:rStyle w:val="Pantone485"/>
      </w:rPr>
      <w:t>Международное движение Красного Креста и Красного Полумесяца</w:t>
    </w:r>
    <w:r w:rsidR="002D2847">
      <w:rPr>
        <w:rStyle w:val="Pantone485"/>
      </w:rPr>
      <w:t xml:space="preserve"> </w:t>
    </w:r>
    <w:r>
      <w:rPr>
        <w:rStyle w:val="a9"/>
        <w:bCs/>
        <w:szCs w:val="16"/>
      </w:rPr>
      <w:t>I</w:t>
    </w:r>
    <w:r w:rsidR="002D2847">
      <w:rPr>
        <w:rStyle w:val="a9"/>
        <w:bCs/>
        <w:szCs w:val="16"/>
      </w:rPr>
      <w:t xml:space="preserve"> Методические материалы по вопросам предоставления наличных денежных средств в условиях ЧС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72" w:rsidRPr="00074036" w:rsidRDefault="008C6472" w:rsidP="00173FF2">
    <w:pPr>
      <w:pStyle w:val="a3"/>
      <w:rPr>
        <w:szCs w:val="16"/>
      </w:rPr>
    </w:pPr>
    <w:r>
      <w:rPr>
        <w:rStyle w:val="Pantone485"/>
      </w:rPr>
      <w:t>Международное движение Красного Креста и Красного Полумесяца</w:t>
    </w:r>
    <w:r>
      <w:rPr>
        <w:rStyle w:val="a9"/>
        <w:bCs/>
        <w:szCs w:val="16"/>
      </w:rPr>
      <w:t>I</w:t>
    </w:r>
    <w:r>
      <w:rPr>
        <w:szCs w:val="16"/>
      </w:rPr>
      <w:t>Денежные переводы при чрезвычайных ситуациях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linkStyles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F74D2"/>
    <w:rsid w:val="00052629"/>
    <w:rsid w:val="000A110C"/>
    <w:rsid w:val="0014212C"/>
    <w:rsid w:val="0017435F"/>
    <w:rsid w:val="001A6203"/>
    <w:rsid w:val="002211F8"/>
    <w:rsid w:val="0024178E"/>
    <w:rsid w:val="002A3C79"/>
    <w:rsid w:val="002D2847"/>
    <w:rsid w:val="00304409"/>
    <w:rsid w:val="003178BA"/>
    <w:rsid w:val="00387C43"/>
    <w:rsid w:val="003B1EE4"/>
    <w:rsid w:val="003D7D0E"/>
    <w:rsid w:val="00423154"/>
    <w:rsid w:val="00441EB7"/>
    <w:rsid w:val="004659CA"/>
    <w:rsid w:val="004B406B"/>
    <w:rsid w:val="004F0F11"/>
    <w:rsid w:val="00507E94"/>
    <w:rsid w:val="00510DF8"/>
    <w:rsid w:val="00515962"/>
    <w:rsid w:val="00520E76"/>
    <w:rsid w:val="00522A15"/>
    <w:rsid w:val="00581503"/>
    <w:rsid w:val="005B2DCA"/>
    <w:rsid w:val="005F74D2"/>
    <w:rsid w:val="0068487B"/>
    <w:rsid w:val="006C3A6E"/>
    <w:rsid w:val="00705D96"/>
    <w:rsid w:val="007304B4"/>
    <w:rsid w:val="00737438"/>
    <w:rsid w:val="0074438E"/>
    <w:rsid w:val="00751F2F"/>
    <w:rsid w:val="00770141"/>
    <w:rsid w:val="00785B84"/>
    <w:rsid w:val="007F113B"/>
    <w:rsid w:val="008014CE"/>
    <w:rsid w:val="00873B04"/>
    <w:rsid w:val="008B6399"/>
    <w:rsid w:val="008B6B90"/>
    <w:rsid w:val="008C6472"/>
    <w:rsid w:val="0091158A"/>
    <w:rsid w:val="00931CE1"/>
    <w:rsid w:val="0094536A"/>
    <w:rsid w:val="00962EB8"/>
    <w:rsid w:val="009746F9"/>
    <w:rsid w:val="00974BE1"/>
    <w:rsid w:val="00976E6E"/>
    <w:rsid w:val="00993189"/>
    <w:rsid w:val="009D028F"/>
    <w:rsid w:val="00A909C8"/>
    <w:rsid w:val="00AB2E46"/>
    <w:rsid w:val="00AD457A"/>
    <w:rsid w:val="00B162DD"/>
    <w:rsid w:val="00B173DE"/>
    <w:rsid w:val="00B2066B"/>
    <w:rsid w:val="00B50F41"/>
    <w:rsid w:val="00BB049C"/>
    <w:rsid w:val="00BD6CCA"/>
    <w:rsid w:val="00C27B8E"/>
    <w:rsid w:val="00C318FB"/>
    <w:rsid w:val="00C4348D"/>
    <w:rsid w:val="00C446A4"/>
    <w:rsid w:val="00C74E0A"/>
    <w:rsid w:val="00CC64CA"/>
    <w:rsid w:val="00CE1F63"/>
    <w:rsid w:val="00CE3277"/>
    <w:rsid w:val="00CF4C55"/>
    <w:rsid w:val="00D01305"/>
    <w:rsid w:val="00D722EB"/>
    <w:rsid w:val="00D84CF5"/>
    <w:rsid w:val="00DB522D"/>
    <w:rsid w:val="00E346FF"/>
    <w:rsid w:val="00E73C98"/>
    <w:rsid w:val="00EE1BB3"/>
    <w:rsid w:val="00EF3B2A"/>
    <w:rsid w:val="00FD0CE2"/>
    <w:rsid w:val="00FF2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8F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9D028F"/>
  </w:style>
  <w:style w:type="paragraph" w:styleId="2">
    <w:name w:val="heading 2"/>
    <w:basedOn w:val="a"/>
    <w:next w:val="a"/>
    <w:link w:val="20"/>
    <w:uiPriority w:val="9"/>
    <w:unhideWhenUsed/>
    <w:qFormat/>
    <w:rsid w:val="009D028F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9D028F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28F"/>
    <w:pPr>
      <w:spacing w:after="0" w:line="288" w:lineRule="auto"/>
      <w:jc w:val="left"/>
    </w:pPr>
    <w:rPr>
      <w:sz w:val="16"/>
    </w:rPr>
  </w:style>
  <w:style w:type="character" w:customStyle="1" w:styleId="a4">
    <w:name w:val="Верхний колонтитул Знак"/>
    <w:basedOn w:val="a0"/>
    <w:link w:val="a3"/>
    <w:uiPriority w:val="99"/>
    <w:rsid w:val="009D028F"/>
    <w:rPr>
      <w:rFonts w:ascii="Arial" w:eastAsiaTheme="minorEastAsia" w:hAnsi="Arial" w:cs="Times New Roman"/>
      <w:sz w:val="16"/>
      <w:szCs w:val="20"/>
    </w:rPr>
  </w:style>
  <w:style w:type="paragraph" w:styleId="a5">
    <w:name w:val="footer"/>
    <w:basedOn w:val="a"/>
    <w:link w:val="a6"/>
    <w:uiPriority w:val="99"/>
    <w:unhideWhenUsed/>
    <w:rsid w:val="009D028F"/>
    <w:pPr>
      <w:spacing w:after="0"/>
      <w:jc w:val="left"/>
    </w:pPr>
    <w:rPr>
      <w:sz w:val="16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9D028F"/>
    <w:rPr>
      <w:rFonts w:ascii="Arial" w:eastAsiaTheme="minorEastAsia" w:hAnsi="Arial" w:cs="Times New Roman"/>
      <w:sz w:val="16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D028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028F"/>
    <w:rPr>
      <w:rFonts w:ascii="Lucida Grande" w:eastAsiaTheme="minorEastAsia" w:hAnsi="Lucida Grande" w:cs="Lucida Grande"/>
      <w:sz w:val="18"/>
      <w:szCs w:val="18"/>
    </w:rPr>
  </w:style>
  <w:style w:type="character" w:styleId="a9">
    <w:name w:val="page number"/>
    <w:basedOn w:val="a0"/>
    <w:uiPriority w:val="99"/>
    <w:unhideWhenUsed/>
    <w:rsid w:val="009D028F"/>
    <w:rPr>
      <w:b/>
    </w:rPr>
  </w:style>
  <w:style w:type="character" w:styleId="aa">
    <w:name w:val="annotation reference"/>
    <w:basedOn w:val="a0"/>
    <w:uiPriority w:val="99"/>
    <w:semiHidden/>
    <w:unhideWhenUsed/>
    <w:rsid w:val="009D028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4178E"/>
  </w:style>
  <w:style w:type="character" w:customStyle="1" w:styleId="ac">
    <w:name w:val="Текст примечания Знак"/>
    <w:basedOn w:val="a0"/>
    <w:link w:val="ab"/>
    <w:uiPriority w:val="99"/>
    <w:semiHidden/>
    <w:rsid w:val="0024178E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D028F"/>
    <w:rPr>
      <w:rFonts w:ascii="Arial" w:eastAsiaTheme="minorEastAsia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9D028F"/>
    <w:rPr>
      <w:rFonts w:ascii="Arial" w:eastAsiaTheme="minorEastAsia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9D028F"/>
    <w:rPr>
      <w:rFonts w:ascii="Arial" w:eastAsiaTheme="minorEastAsia" w:hAnsi="Arial" w:cs="Times New Roman"/>
      <w:b/>
      <w:szCs w:val="24"/>
    </w:rPr>
  </w:style>
  <w:style w:type="paragraph" w:styleId="ad">
    <w:name w:val="List Paragraph"/>
    <w:basedOn w:val="a"/>
    <w:link w:val="ae"/>
    <w:uiPriority w:val="34"/>
    <w:qFormat/>
    <w:rsid w:val="009D028F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e">
    <w:name w:val="Абзац списка Знак"/>
    <w:basedOn w:val="a0"/>
    <w:link w:val="ad"/>
    <w:uiPriority w:val="34"/>
    <w:rsid w:val="009D028F"/>
    <w:rPr>
      <w:rFonts w:ascii="Arial" w:hAnsi="Arial"/>
      <w:sz w:val="20"/>
    </w:rPr>
  </w:style>
  <w:style w:type="table" w:styleId="af">
    <w:name w:val="Table Grid"/>
    <w:basedOn w:val="a1"/>
    <w:uiPriority w:val="59"/>
    <w:rsid w:val="009D028F"/>
    <w:pPr>
      <w:spacing w:after="0" w:line="240" w:lineRule="auto"/>
    </w:pPr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0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af0">
    <w:name w:val="annotation subject"/>
    <w:basedOn w:val="a"/>
    <w:link w:val="af1"/>
    <w:uiPriority w:val="99"/>
    <w:semiHidden/>
    <w:unhideWhenUsed/>
    <w:rsid w:val="009D028F"/>
    <w:rPr>
      <w:b/>
      <w:bCs/>
    </w:rPr>
  </w:style>
  <w:style w:type="character" w:customStyle="1" w:styleId="af1">
    <w:name w:val="Тема примечания Знак"/>
    <w:basedOn w:val="a0"/>
    <w:link w:val="af0"/>
    <w:uiPriority w:val="99"/>
    <w:semiHidden/>
    <w:rsid w:val="009D028F"/>
    <w:rPr>
      <w:rFonts w:ascii="Arial" w:eastAsiaTheme="minorEastAsia" w:hAnsi="Arial" w:cs="Times New Roman"/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9D028F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9D028F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9D028F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9D028F"/>
    <w:rPr>
      <w:rFonts w:ascii="Arial" w:eastAsiaTheme="minorEastAsia" w:hAnsi="Arial" w:cs="Times New Roman"/>
      <w:sz w:val="16"/>
    </w:rPr>
  </w:style>
  <w:style w:type="character" w:styleId="af6">
    <w:name w:val="footnote reference"/>
    <w:basedOn w:val="a0"/>
    <w:uiPriority w:val="99"/>
    <w:unhideWhenUsed/>
    <w:rsid w:val="009D028F"/>
    <w:rPr>
      <w:vertAlign w:val="superscript"/>
    </w:rPr>
  </w:style>
  <w:style w:type="paragraph" w:styleId="af7">
    <w:name w:val="Revision"/>
    <w:hidden/>
    <w:uiPriority w:val="99"/>
    <w:semiHidden/>
    <w:rsid w:val="009D028F"/>
    <w:pPr>
      <w:spacing w:after="0" w:line="240" w:lineRule="auto"/>
    </w:pPr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9D028F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9D028F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9D028F"/>
    <w:pPr>
      <w:numPr>
        <w:numId w:val="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9D028F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9D028F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3"/>
    <w:rsid w:val="009D028F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9D028F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9D028F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9D028F"/>
    <w:pPr>
      <w:spacing w:after="0" w:line="240" w:lineRule="auto"/>
    </w:pPr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d"/>
    <w:rsid w:val="009D028F"/>
    <w:pPr>
      <w:numPr>
        <w:numId w:val="4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9D028F"/>
    <w:pPr>
      <w:numPr>
        <w:ilvl w:val="1"/>
        <w:numId w:val="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9D028F"/>
    <w:pPr>
      <w:numPr>
        <w:numId w:val="2"/>
      </w:numPr>
    </w:pPr>
    <w:rPr>
      <w:rFonts w:eastAsia="MS Mincho"/>
      <w:b/>
      <w:sz w:val="22"/>
    </w:rPr>
  </w:style>
  <w:style w:type="paragraph" w:customStyle="1" w:styleId="Bullet3">
    <w:name w:val="Bullet 3"/>
    <w:basedOn w:val="ad"/>
    <w:qFormat/>
    <w:rsid w:val="009D028F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9D028F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9D028F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9D028F"/>
    <w:pPr>
      <w:keepNext/>
      <w:keepLines/>
      <w:framePr w:hSpace="141" w:wrap="around" w:vAnchor="text" w:hAnchor="margin" w:y="402"/>
      <w:numPr>
        <w:numId w:val="6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28F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9D028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28F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28F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28F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D028F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9D028F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D028F"/>
    <w:rPr>
      <w:rFonts w:ascii="Arial" w:eastAsiaTheme="minorEastAsia" w:hAnsi="Arial" w:cs="Times New Roman"/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28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8F"/>
    <w:rPr>
      <w:rFonts w:ascii="Lucida Grande" w:eastAsiaTheme="minorEastAsia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9D028F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9D02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78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78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D028F"/>
    <w:rPr>
      <w:rFonts w:ascii="Arial" w:eastAsiaTheme="minorEastAsia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D028F"/>
    <w:rPr>
      <w:rFonts w:ascii="Arial" w:eastAsiaTheme="minorEastAsia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028F"/>
    <w:rPr>
      <w:rFonts w:ascii="Arial" w:eastAsiaTheme="minorEastAsia" w:hAnsi="Arial" w:cs="Times New Roman"/>
      <w:b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D028F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D028F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9D028F"/>
    <w:pPr>
      <w:spacing w:after="0" w:line="240" w:lineRule="auto"/>
    </w:pPr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0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9D028F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D028F"/>
    <w:rPr>
      <w:rFonts w:ascii="Arial" w:eastAsiaTheme="minorEastAsia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02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28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D028F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028F"/>
    <w:rPr>
      <w:rFonts w:ascii="Arial" w:eastAsiaTheme="minorEastAsia" w:hAnsi="Arial" w:cs="Times New Roman"/>
      <w:sz w:val="16"/>
    </w:rPr>
  </w:style>
  <w:style w:type="character" w:styleId="FootnoteReference">
    <w:name w:val="footnote reference"/>
    <w:basedOn w:val="DefaultParagraphFont"/>
    <w:uiPriority w:val="99"/>
    <w:unhideWhenUsed/>
    <w:rsid w:val="009D028F"/>
    <w:rPr>
      <w:vertAlign w:val="superscript"/>
    </w:rPr>
  </w:style>
  <w:style w:type="paragraph" w:styleId="Revision">
    <w:name w:val="Revision"/>
    <w:hidden/>
    <w:uiPriority w:val="99"/>
    <w:semiHidden/>
    <w:rsid w:val="009D028F"/>
    <w:pPr>
      <w:spacing w:after="0" w:line="240" w:lineRule="auto"/>
    </w:pPr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9D028F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9D028F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9D028F"/>
    <w:pPr>
      <w:numPr>
        <w:numId w:val="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9D028F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9D028F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9D028F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9D028F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9D028F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9D028F"/>
    <w:pPr>
      <w:spacing w:after="0" w:line="240" w:lineRule="auto"/>
    </w:pPr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9D028F"/>
    <w:pPr>
      <w:numPr>
        <w:numId w:val="4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9D028F"/>
    <w:pPr>
      <w:numPr>
        <w:ilvl w:val="1"/>
        <w:numId w:val="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9D028F"/>
    <w:pPr>
      <w:numPr>
        <w:numId w:val="2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9D028F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9D028F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9D028F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9D028F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1FC17-F4B5-4FA4-919B-346E1281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62</TotalTime>
  <Pages>6</Pages>
  <Words>1604</Words>
  <Characters>9147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Stored Value Cards – Program Requirements</vt:lpstr>
      <vt:lpstr>Stored Value Cards – Program Requirements</vt:lpstr>
    </vt:vector>
  </TitlesOfParts>
  <Company>IFRC</Company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Stored Value Cards – Program Requirements</dc:title>
  <dc:creator>Valued Acer Customer</dc:creator>
  <cp:lastModifiedBy>User</cp:lastModifiedBy>
  <cp:revision>16</cp:revision>
  <cp:lastPrinted>2015-10-09T16:12:00Z</cp:lastPrinted>
  <dcterms:created xsi:type="dcterms:W3CDTF">2015-07-30T03:00:00Z</dcterms:created>
  <dcterms:modified xsi:type="dcterms:W3CDTF">2017-04-20T14:39:00Z</dcterms:modified>
</cp:coreProperties>
</file>