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60" w:rsidRPr="00594260" w:rsidRDefault="004B1DFB" w:rsidP="00566550">
      <w:pPr>
        <w:pStyle w:val="H1"/>
        <w:spacing w:before="0"/>
      </w:pPr>
      <w:r>
        <w:t>Контрольный список требований к договору с поставщиком услуг электронных переводов</w:t>
      </w:r>
    </w:p>
    <w:tbl>
      <w:tblPr>
        <w:tblStyle w:val="-1"/>
        <w:tblW w:w="5589" w:type="pct"/>
        <w:tblInd w:w="-460" w:type="dxa"/>
        <w:tblLook w:val="04A0"/>
      </w:tblPr>
      <w:tblGrid>
        <w:gridCol w:w="9885"/>
        <w:gridCol w:w="1123"/>
      </w:tblGrid>
      <w:tr w:rsidR="00566550" w:rsidRPr="005528AF" w:rsidTr="002844BE">
        <w:trPr>
          <w:cnfStyle w:val="100000000000"/>
        </w:trPr>
        <w:tc>
          <w:tcPr>
            <w:cnfStyle w:val="001000000000"/>
            <w:tcW w:w="4490" w:type="pct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C281E"/>
          </w:tcPr>
          <w:p w:rsidR="00566550" w:rsidRPr="005528AF" w:rsidRDefault="00566550" w:rsidP="00FF2C3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color w:val="FFFFFF" w:themeColor="background1"/>
              </w:rPr>
            </w:pPr>
            <w:r>
              <w:rPr>
                <w:rFonts w:ascii="Arial Bold" w:hAnsi="Arial Bold"/>
                <w:color w:val="FFFFFF" w:themeColor="background1"/>
              </w:rPr>
              <w:t>Как минимум, договор с поставщиком услуг должен включать: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C281E"/>
          </w:tcPr>
          <w:p w:rsidR="00566550" w:rsidRPr="005528AF" w:rsidRDefault="002844BE" w:rsidP="0056655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/>
              <w:rPr>
                <w:rFonts w:ascii="Arial Bold" w:hAnsi="Arial Bold" w:cs="Arial"/>
                <w:color w:val="FFFFFF" w:themeColor="background1"/>
              </w:rPr>
            </w:pPr>
            <w:r>
              <w:rPr>
                <w:rFonts w:ascii="Arial Bold" w:hAnsi="Arial Bold"/>
                <w:color w:val="FFFFFF" w:themeColor="background1"/>
              </w:rPr>
              <w:t>В наличии?</w:t>
            </w: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Краткое описание периода времени, который покрывает договор.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9A38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Процесс оказания услуг с описанием роли поставщика услуг, включая:</w:t>
            </w:r>
            <w:r w:rsidR="00545540">
              <w:rPr>
                <w:b w:val="0"/>
                <w:color w:val="000000"/>
                <w:szCs w:val="20"/>
              </w:rPr>
              <w:t xml:space="preserve"> </w:t>
            </w:r>
            <w:r>
              <w:rPr>
                <w:b w:val="0"/>
                <w:color w:val="000000"/>
                <w:szCs w:val="20"/>
              </w:rPr>
              <w:t xml:space="preserve">последующий контроль; любое оборудование либо оборудование для электронных переводов, которое нужно будет предоставить; любую роль в регистрации; активирование счетов; процесс для перевода средств получателю и отчётность; уведомление бенефициаров; любое обучение сотрудников/бенефициаров; любое информирование агентов по оказанию услуг/сотрудников отделений в зоне работы проекта о программе и необходимых денежных средствах; любая помощь в повышении уровня осведомлённости получателей; </w:t>
            </w:r>
            <w:r w:rsidR="009A3815">
              <w:rPr>
                <w:b w:val="0"/>
                <w:color w:val="000000"/>
                <w:szCs w:val="20"/>
              </w:rPr>
              <w:t>помощь службы</w:t>
            </w:r>
            <w:r>
              <w:rPr>
                <w:b w:val="0"/>
                <w:color w:val="000000"/>
                <w:szCs w:val="20"/>
              </w:rPr>
              <w:t xml:space="preserve"> поддержки клиентов, предоставляемая в случае неоказания услуги.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Описание роли вспомогательного агентства, включая: любое обучение; регистрацию бенефициаров; своевременное предоставление поставщику услуг списка бенефициаров и финансовой информации; обеспечение наличия правильных удостоверений личности; следование контрольным механизмам, установленным поставщиком услуг (например, онлайн доступ к счёту).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9A38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 xml:space="preserve">Для новых и пилотных проектов </w:t>
            </w:r>
            <w:r w:rsidR="009A3815">
              <w:rPr>
                <w:b w:val="0"/>
                <w:color w:val="000000"/>
                <w:szCs w:val="20"/>
              </w:rPr>
              <w:t>наличие</w:t>
            </w:r>
            <w:r>
              <w:rPr>
                <w:b w:val="0"/>
                <w:color w:val="000000"/>
                <w:szCs w:val="20"/>
              </w:rPr>
              <w:t xml:space="preserve"> пункта о прекращении </w:t>
            </w:r>
            <w:r w:rsidR="009A3815">
              <w:rPr>
                <w:b w:val="0"/>
                <w:color w:val="000000"/>
                <w:szCs w:val="20"/>
              </w:rPr>
              <w:t xml:space="preserve">договора или пункта о </w:t>
            </w:r>
            <w:r>
              <w:rPr>
                <w:b w:val="0"/>
                <w:color w:val="000000"/>
                <w:szCs w:val="20"/>
              </w:rPr>
              <w:t>пилотной фазе, в течение которой возможно прекращение договора любой из сторон.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Расположение и число пунктов раздачи/агентов/отделений.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Подробную информацию о том, что составляет обстоятельства непреодолимой силы.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Ожидаемую продолжительность начальной фазы, включая любые испытания.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Подробную информацию о графике платежей, включая: время, когда какое-либо оборудование для электронных переводов (например, чеки/банковские карточки) будет предоставлено вспомогательному агентству; время, когда денежные средства и средства для предварительной уплаты комиссий будут предоставлены поставщику услуг, а также время, к которому поставщики услуг должны выполнить свои обязательства по раздаче денежных средств.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Подробная информация о сотрудниках, выделенных для проекта.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 xml:space="preserve">Ограничения вспомогательного агентства в отношении транзакций и счетов, а также, где необходимо, те же ограничения </w:t>
            </w:r>
            <w:r w:rsidR="009A3815">
              <w:rPr>
                <w:b w:val="0"/>
                <w:color w:val="000000"/>
                <w:szCs w:val="20"/>
              </w:rPr>
              <w:t xml:space="preserve">для </w:t>
            </w:r>
            <w:r>
              <w:rPr>
                <w:b w:val="0"/>
                <w:color w:val="000000"/>
                <w:szCs w:val="20"/>
              </w:rPr>
              <w:t>бенефициаров.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Максимальное число и объём выплат бенефициарам, которые могут быть произведены в один день.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9A38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 xml:space="preserve">Все комиссии за транзакции, включая любые отказы от </w:t>
            </w:r>
            <w:r w:rsidR="009A3815">
              <w:rPr>
                <w:b w:val="0"/>
                <w:color w:val="000000"/>
                <w:szCs w:val="20"/>
              </w:rPr>
              <w:t>обычных</w:t>
            </w:r>
            <w:r>
              <w:rPr>
                <w:b w:val="0"/>
                <w:color w:val="000000"/>
                <w:szCs w:val="20"/>
              </w:rPr>
              <w:t xml:space="preserve"> комиссий.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Процедуры подачи жалоб/решения проблем.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Любые особые послабления/соображения.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Меры безопасности, которые должен принять поставщик услуг</w:t>
            </w:r>
            <w:r w:rsidR="009A3815">
              <w:rPr>
                <w:b w:val="0"/>
                <w:color w:val="000000"/>
                <w:szCs w:val="20"/>
              </w:rPr>
              <w:t>,</w:t>
            </w:r>
            <w:r>
              <w:rPr>
                <w:b w:val="0"/>
                <w:color w:val="000000"/>
                <w:szCs w:val="20"/>
              </w:rPr>
              <w:t xml:space="preserve"> - например, бронированный автомобиль в случае оказания курьерских услуг; безопасная передача sms-сообщений в случае мобильных денежных переводов.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Страхование от утрат или от неплатёжеспособности.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Требования к защите информации.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trHeight w:val="574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 xml:space="preserve">Подробная информация о критериях верификации и </w:t>
            </w:r>
            <w:r w:rsidR="009A3815">
              <w:rPr>
                <w:b w:val="0"/>
                <w:color w:val="000000"/>
                <w:szCs w:val="20"/>
              </w:rPr>
              <w:t>процессе</w:t>
            </w:r>
            <w:r>
              <w:rPr>
                <w:b w:val="0"/>
                <w:color w:val="000000"/>
                <w:szCs w:val="20"/>
              </w:rPr>
              <w:t xml:space="preserve"> документирования, которые должен соблюдать поставщик услуг при переводе денежных средств бенефициарам.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9A38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 xml:space="preserve">Подробная информация о требованиях к отчётам, включая частоту, содержание и </w:t>
            </w:r>
            <w:r w:rsidR="009A3815">
              <w:rPr>
                <w:b w:val="0"/>
                <w:color w:val="000000"/>
                <w:szCs w:val="20"/>
              </w:rPr>
              <w:t>подтверждения</w:t>
            </w:r>
            <w:r>
              <w:rPr>
                <w:b w:val="0"/>
                <w:color w:val="000000"/>
                <w:szCs w:val="20"/>
              </w:rPr>
              <w:t xml:space="preserve"> осуществления транзакции.</w:t>
            </w:r>
            <w:r w:rsidR="009A3815">
              <w:rPr>
                <w:b w:val="0"/>
                <w:color w:val="000000"/>
                <w:szCs w:val="20"/>
              </w:rPr>
              <w:t xml:space="preserve">  </w:t>
            </w:r>
            <w:r>
              <w:rPr>
                <w:b w:val="0"/>
                <w:color w:val="000000"/>
                <w:szCs w:val="20"/>
              </w:rPr>
              <w:t>Сюда могут входить процедуры доступа к какому-либо интернет-порталу вспомогательного агентства или к счетам получателей, размещённых у поставщика услуг.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 xml:space="preserve">Подробная информация о причитающихся комиссиях и </w:t>
            </w:r>
            <w:r w:rsidR="009A3815">
              <w:rPr>
                <w:b w:val="0"/>
                <w:color w:val="000000"/>
                <w:szCs w:val="20"/>
              </w:rPr>
              <w:t xml:space="preserve">об </w:t>
            </w:r>
            <w:r>
              <w:rPr>
                <w:b w:val="0"/>
                <w:color w:val="000000"/>
                <w:szCs w:val="20"/>
              </w:rPr>
              <w:t>условиях, на которых поставщик услуг получит вознаграждение (вероятно, ежемесячно по завершении мероприятий, что подтверждается полным отчётом и мониторингом, банковским переводом).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lastRenderedPageBreak/>
              <w:t>Описание процедуры для случаев отсутствующих бенефициаров, отсутствия достаточной суммы для выплаты и возврата денег.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Ясные штрафные санкции, особенно в случае невозможности предоставить товары согласно договорённости.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 xml:space="preserve">Пункты, в которых </w:t>
            </w:r>
            <w:r w:rsidR="009A3815">
              <w:rPr>
                <w:b w:val="0"/>
                <w:color w:val="000000"/>
                <w:szCs w:val="20"/>
              </w:rPr>
              <w:t>подробно</w:t>
            </w:r>
            <w:r>
              <w:rPr>
                <w:b w:val="0"/>
                <w:color w:val="000000"/>
                <w:szCs w:val="20"/>
              </w:rPr>
              <w:t xml:space="preserve"> описывается позиция вспомогательного агентства по вопросам мошенничества и защиты участников программы, а также ответственность поставщика услуг.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c>
          <w:tcPr>
            <w:cnfStyle w:val="001000000000"/>
            <w:tcW w:w="4490" w:type="pct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3F3F3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Пункты, в которых подробно описывается процедура защиты личных данных бенефициаров.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F3F3F3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000000"/>
              <w:rPr>
                <w:rFonts w:cs="Arial"/>
                <w:color w:val="000000"/>
              </w:rPr>
            </w:pPr>
          </w:p>
        </w:tc>
      </w:tr>
      <w:tr w:rsidR="00566550" w:rsidRPr="005528AF" w:rsidTr="002844BE">
        <w:trPr>
          <w:cnfStyle w:val="000000100000"/>
        </w:trPr>
        <w:tc>
          <w:tcPr>
            <w:cnfStyle w:val="001000000000"/>
            <w:tcW w:w="4490" w:type="pct"/>
            <w:tcBorders>
              <w:top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6A6A6"/>
          </w:tcPr>
          <w:p w:rsidR="00566550" w:rsidRPr="005528AF" w:rsidRDefault="00566550" w:rsidP="00FF2C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b w:val="0"/>
                <w:color w:val="000000"/>
                <w:szCs w:val="20"/>
              </w:rPr>
              <w:t>Стратегия завершения операции, включая любые периоды деактивации счетов и дополнительную поддержку от поставщика услуг по истечении периода выполнения денежных переводов.</w:t>
            </w:r>
          </w:p>
        </w:tc>
        <w:tc>
          <w:tcPr>
            <w:tcW w:w="510" w:type="pct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6A6A6"/>
          </w:tcPr>
          <w:p w:rsidR="00566550" w:rsidRPr="00566550" w:rsidRDefault="00566550" w:rsidP="00566550">
            <w:pPr>
              <w:widowControl w:val="0"/>
              <w:autoSpaceDE w:val="0"/>
              <w:autoSpaceDN w:val="0"/>
              <w:adjustRightInd w:val="0"/>
              <w:spacing w:before="40" w:after="40"/>
              <w:ind w:left="68"/>
              <w:cnfStyle w:val="000000100000"/>
              <w:rPr>
                <w:rFonts w:cs="Arial"/>
                <w:color w:val="000000"/>
              </w:rPr>
            </w:pPr>
          </w:p>
        </w:tc>
      </w:tr>
    </w:tbl>
    <w:p w:rsidR="006D2F29" w:rsidRPr="005528AF" w:rsidRDefault="006D2F29" w:rsidP="00A94E13">
      <w:pPr>
        <w:widowControl w:val="0"/>
        <w:autoSpaceDE w:val="0"/>
        <w:autoSpaceDN w:val="0"/>
        <w:adjustRightInd w:val="0"/>
        <w:spacing w:before="120"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Источник:</w:t>
      </w:r>
      <w:r w:rsidR="009A3815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Электронные переводы в условиях чрезвычайных ситуаций:  руководство для реализации программ / E-transfers in emergencies: implementation support guidelines CaLP</w:t>
      </w:r>
    </w:p>
    <w:sectPr w:rsidR="006D2F29" w:rsidRPr="005528AF" w:rsidSect="005528AF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BC" w:rsidRDefault="00082CBC" w:rsidP="008C25F5">
      <w:r>
        <w:separator/>
      </w:r>
    </w:p>
  </w:endnote>
  <w:endnote w:type="continuationSeparator" w:id="1">
    <w:p w:rsidR="00082CBC" w:rsidRDefault="00082CBC" w:rsidP="008C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AF" w:rsidRPr="00B45C74" w:rsidRDefault="0030057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528AF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3391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528AF" w:rsidRPr="003A3500" w:rsidRDefault="005528AF" w:rsidP="00ED1B2B">
    <w:pPr>
      <w:pStyle w:val="a8"/>
    </w:pPr>
    <w:r>
      <w:rPr>
        <w:b/>
      </w:rPr>
      <w:t>Модуль 4.</w:t>
    </w:r>
    <w:r w:rsidR="00D33910">
      <w:t xml:space="preserve"> Раздел</w:t>
    </w:r>
    <w:r>
      <w:t xml:space="preserve"> 3.</w:t>
    </w:r>
    <w:r w:rsidR="00D33910">
      <w:t xml:space="preserve"> Подраздел</w:t>
    </w:r>
    <w:r>
      <w:t xml:space="preserve"> 3. </w:t>
    </w:r>
    <w:fldSimple w:instr=" STYLEREF  H1 \t  \* MERGEFORMAT ">
      <w:r w:rsidR="00D33910" w:rsidRPr="00D33910">
        <w:rPr>
          <w:bCs/>
          <w:noProof/>
        </w:rPr>
        <w:t>Контрольный список требований к договору с поставщиком</w:t>
      </w:r>
      <w:r w:rsidR="00D33910" w:rsidRPr="00D33910">
        <w:rPr>
          <w:i/>
          <w:noProof/>
        </w:rPr>
        <w:t xml:space="preserve"> услуг электронных переводов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BC" w:rsidRDefault="00082CBC" w:rsidP="008C25F5">
      <w:r>
        <w:separator/>
      </w:r>
    </w:p>
  </w:footnote>
  <w:footnote w:type="continuationSeparator" w:id="1">
    <w:p w:rsidR="00082CBC" w:rsidRDefault="00082CBC" w:rsidP="008C2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AF" w:rsidRPr="00074036" w:rsidRDefault="005528AF" w:rsidP="00173FF2">
    <w:pPr>
      <w:pStyle w:val="a6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545540">
      <w:rPr>
        <w:rStyle w:val="Pantone485"/>
      </w:rPr>
      <w:t xml:space="preserve"> </w:t>
    </w:r>
    <w:r>
      <w:rPr>
        <w:rStyle w:val="af1"/>
        <w:bCs/>
        <w:szCs w:val="16"/>
      </w:rPr>
      <w:t>I</w:t>
    </w:r>
    <w:r w:rsidR="00545540">
      <w:rPr>
        <w:rStyle w:val="af1"/>
        <w:bCs/>
        <w:szCs w:val="16"/>
      </w:rPr>
      <w:t xml:space="preserve"> </w:t>
    </w:r>
    <w:r w:rsidR="00D33910">
      <w:rPr>
        <w:rStyle w:val="af1"/>
        <w:bCs/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D02"/>
    <w:multiLevelType w:val="hybridMultilevel"/>
    <w:tmpl w:val="92CA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260"/>
    <w:rsid w:val="00082CBC"/>
    <w:rsid w:val="001C70DB"/>
    <w:rsid w:val="00214119"/>
    <w:rsid w:val="002844BE"/>
    <w:rsid w:val="002D61B1"/>
    <w:rsid w:val="00300574"/>
    <w:rsid w:val="003A56F9"/>
    <w:rsid w:val="003B7690"/>
    <w:rsid w:val="004B1DFB"/>
    <w:rsid w:val="004F3255"/>
    <w:rsid w:val="004F78CE"/>
    <w:rsid w:val="00530C26"/>
    <w:rsid w:val="00545540"/>
    <w:rsid w:val="005528AF"/>
    <w:rsid w:val="00566550"/>
    <w:rsid w:val="00594260"/>
    <w:rsid w:val="006145CD"/>
    <w:rsid w:val="006D2F29"/>
    <w:rsid w:val="0071100B"/>
    <w:rsid w:val="007B539C"/>
    <w:rsid w:val="008C25F5"/>
    <w:rsid w:val="009A3815"/>
    <w:rsid w:val="00A94E13"/>
    <w:rsid w:val="00AB156A"/>
    <w:rsid w:val="00AE0EA5"/>
    <w:rsid w:val="00BD5DED"/>
    <w:rsid w:val="00C62B57"/>
    <w:rsid w:val="00CE7B15"/>
    <w:rsid w:val="00D33910"/>
    <w:rsid w:val="00D83859"/>
    <w:rsid w:val="00D964C8"/>
    <w:rsid w:val="00DA7AD6"/>
    <w:rsid w:val="00F93B2F"/>
    <w:rsid w:val="00FF2C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3B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F2C3B"/>
  </w:style>
  <w:style w:type="paragraph" w:styleId="2">
    <w:name w:val="heading 2"/>
    <w:basedOn w:val="a"/>
    <w:next w:val="a"/>
    <w:link w:val="20"/>
    <w:uiPriority w:val="9"/>
    <w:unhideWhenUsed/>
    <w:qFormat/>
    <w:rsid w:val="00FF2C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F2C3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2C3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FF2C3B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942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a7"/>
    <w:uiPriority w:val="99"/>
    <w:unhideWhenUsed/>
    <w:rsid w:val="00FF2C3B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FF2C3B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FF2C3B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FF2C3B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FF2C3B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F2C3B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F2C3B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FF2C3B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F2C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F2C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28AF"/>
  </w:style>
  <w:style w:type="character" w:customStyle="1" w:styleId="ac">
    <w:name w:val="Текст примечания Знак"/>
    <w:basedOn w:val="a0"/>
    <w:link w:val="ab"/>
    <w:uiPriority w:val="99"/>
    <w:semiHidden/>
    <w:rsid w:val="005528AF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FF2C3B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FF2C3B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F2C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2C3B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FF2C3B"/>
    <w:rPr>
      <w:b/>
    </w:rPr>
  </w:style>
  <w:style w:type="character" w:styleId="af2">
    <w:name w:val="Hyperlink"/>
    <w:basedOn w:val="a0"/>
    <w:uiPriority w:val="99"/>
    <w:unhideWhenUsed/>
    <w:rsid w:val="00FF2C3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F2C3B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F2C3B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F2C3B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F2C3B"/>
    <w:rPr>
      <w:vertAlign w:val="superscript"/>
    </w:rPr>
  </w:style>
  <w:style w:type="paragraph" w:styleId="af7">
    <w:name w:val="Revision"/>
    <w:hidden/>
    <w:uiPriority w:val="99"/>
    <w:semiHidden/>
    <w:rsid w:val="00FF2C3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FF2C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F2C3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F2C3B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F2C3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F2C3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FF2C3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F2C3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F2C3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F2C3B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FF2C3B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FF2C3B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F2C3B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FF2C3B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F2C3B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F2C3B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FF2C3B"/>
    <w:pPr>
      <w:keepNext/>
      <w:keepLines/>
      <w:framePr w:hSpace="141" w:wrap="around" w:vAnchor="text" w:hAnchor="margin" w:y="402"/>
      <w:numPr>
        <w:numId w:val="7"/>
      </w:numPr>
      <w:spacing w:beforeLines="60" w:afterLines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User</cp:lastModifiedBy>
  <cp:revision>5</cp:revision>
  <cp:lastPrinted>2015-10-01T03:16:00Z</cp:lastPrinted>
  <dcterms:created xsi:type="dcterms:W3CDTF">2016-06-27T12:31:00Z</dcterms:created>
  <dcterms:modified xsi:type="dcterms:W3CDTF">2017-04-20T15:23:00Z</dcterms:modified>
</cp:coreProperties>
</file>