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A7" w:rsidRDefault="000D37A7" w:rsidP="000D37A7">
      <w:pPr>
        <w:pStyle w:val="H1"/>
        <w:spacing w:before="0" w:after="0"/>
      </w:pPr>
    </w:p>
    <w:p w:rsidR="001A3C0F" w:rsidRPr="001A3C0F" w:rsidRDefault="00BA2916" w:rsidP="000D37A7">
      <w:pPr>
        <w:pStyle w:val="H1"/>
        <w:spacing w:before="0" w:after="0"/>
      </w:pPr>
      <w:r>
        <w:t>Принципы защиты данных ПДП</w:t>
      </w:r>
    </w:p>
    <w:p w:rsidR="000D37A7" w:rsidRDefault="000D37A7" w:rsidP="000D37A7">
      <w:pPr>
        <w:pStyle w:val="3"/>
        <w:spacing w:before="0" w:after="0"/>
      </w:pPr>
    </w:p>
    <w:p w:rsidR="009D5F18" w:rsidRPr="001A3C0F" w:rsidRDefault="009D5F18" w:rsidP="000D37A7">
      <w:pPr>
        <w:pStyle w:val="3"/>
        <w:spacing w:before="0" w:after="0"/>
      </w:pPr>
      <w:r>
        <w:t>1.Уважение</w:t>
      </w:r>
    </w:p>
    <w:p w:rsidR="009D5F18" w:rsidRPr="001A3C0F" w:rsidRDefault="009D5F18" w:rsidP="001C19A9">
      <w:pPr>
        <w:spacing w:after="360"/>
      </w:pPr>
      <w:r>
        <w:t>Принцип:</w:t>
      </w:r>
      <w:r w:rsidR="00BA2916">
        <w:t xml:space="preserve">  </w:t>
      </w:r>
      <w:r>
        <w:t>Организации должны уважать частную жизнь бенефициаров и признавать, что получение и обработка их персональных данных может представлять угрозу сохранению тайны частной жизни.</w:t>
      </w:r>
    </w:p>
    <w:p w:rsidR="009D5F18" w:rsidRPr="001A3C0F" w:rsidRDefault="009D5F18" w:rsidP="001C19A9">
      <w:pPr>
        <w:pStyle w:val="3"/>
      </w:pPr>
      <w:r>
        <w:t>2.Преднамеренная защита</w:t>
      </w:r>
    </w:p>
    <w:p w:rsidR="009D5F18" w:rsidRPr="001A3C0F" w:rsidRDefault="009D5F18" w:rsidP="001C19A9">
      <w:pPr>
        <w:spacing w:after="360"/>
      </w:pPr>
      <w:r>
        <w:t>Принцип:</w:t>
      </w:r>
      <w:r w:rsidR="00BA2916">
        <w:t xml:space="preserve">  </w:t>
      </w:r>
      <w:r>
        <w:t xml:space="preserve">Организации должны «преднамеренно защищать» личные данные, которые они получают от бенефициаров для собственного использования либо для использования третьими сторонами, для каждой программы с использованием наличных денег или электронных переводов, которую они инициируют или </w:t>
      </w:r>
      <w:r w:rsidR="00BA2916">
        <w:t>проводят</w:t>
      </w:r>
      <w:r>
        <w:t>.</w:t>
      </w:r>
    </w:p>
    <w:p w:rsidR="009D5F18" w:rsidRPr="001A3C0F" w:rsidRDefault="009D5F18" w:rsidP="001C19A9">
      <w:pPr>
        <w:pStyle w:val="3"/>
      </w:pPr>
      <w:r>
        <w:t>3.</w:t>
      </w:r>
      <w:r w:rsidR="00BA2916">
        <w:t>Понимание</w:t>
      </w:r>
      <w:r>
        <w:t xml:space="preserve"> процесс</w:t>
      </w:r>
      <w:r w:rsidR="00BA2916">
        <w:t>а</w:t>
      </w:r>
      <w:r>
        <w:t xml:space="preserve"> </w:t>
      </w:r>
      <w:r w:rsidR="00BA2916">
        <w:t>передачи</w:t>
      </w:r>
      <w:r>
        <w:t xml:space="preserve"> данных и риск</w:t>
      </w:r>
      <w:r w:rsidR="00BA2916">
        <w:t>ов</w:t>
      </w:r>
    </w:p>
    <w:p w:rsidR="009D5F18" w:rsidRPr="001A3C0F" w:rsidRDefault="009D5F18" w:rsidP="001C19A9">
      <w:pPr>
        <w:spacing w:after="360"/>
      </w:pPr>
      <w:r>
        <w:t>Принцип:</w:t>
      </w:r>
      <w:r w:rsidR="00BA2916">
        <w:t xml:space="preserve">  </w:t>
      </w:r>
      <w:r>
        <w:t xml:space="preserve">Организации должны анализировать, документировать и понимать, как организовано передвижение данных бенефициаров в каждой программе с использованием наличных денег или электронных переводов, которую они инициируют или </w:t>
      </w:r>
      <w:r w:rsidR="00BA2916">
        <w:t>проводят</w:t>
      </w:r>
      <w:r>
        <w:t xml:space="preserve"> силами своих организаций или совместно силами своих и других организаций, а также разрабатывать стратегии снижения рисков, которые могут потребоваться для работы с любыми рисками, возникающими при передаче данных.</w:t>
      </w:r>
    </w:p>
    <w:p w:rsidR="009D5F18" w:rsidRPr="001A3C0F" w:rsidRDefault="009D5F18" w:rsidP="001C19A9">
      <w:pPr>
        <w:pStyle w:val="3"/>
      </w:pPr>
      <w:r>
        <w:t>4.Качество и достоверность</w:t>
      </w:r>
    </w:p>
    <w:p w:rsidR="009D5F18" w:rsidRPr="001A3C0F" w:rsidRDefault="009D5F18" w:rsidP="001C19A9">
      <w:pPr>
        <w:spacing w:after="360"/>
      </w:pPr>
      <w:r>
        <w:t>Принцип:</w:t>
      </w:r>
      <w:r w:rsidR="00BA2916">
        <w:t xml:space="preserve">  </w:t>
      </w:r>
      <w:r>
        <w:t xml:space="preserve">Организации должны гарантировать достоверность личных данных, которые они собирают, хранят и используют, в том числе </w:t>
      </w:r>
      <w:r w:rsidR="00BA2916">
        <w:t>путём обновления информации</w:t>
      </w:r>
      <w:r>
        <w:t>, а также обеспечивая актуальность и исключая избыточность информации в отношении цели, с которой производится обработка информации, а также не хранить данные дольше, чем это необходимо.</w:t>
      </w:r>
    </w:p>
    <w:p w:rsidR="009D5F18" w:rsidRPr="001A3C0F" w:rsidRDefault="009D5F18" w:rsidP="001C19A9">
      <w:pPr>
        <w:pStyle w:val="3"/>
      </w:pPr>
      <w:r>
        <w:t>5.Получение согласия бенефициаров на использование их данных</w:t>
      </w:r>
    </w:p>
    <w:p w:rsidR="009D5F18" w:rsidRPr="001A3C0F" w:rsidRDefault="009D5F18" w:rsidP="001C19A9">
      <w:pPr>
        <w:spacing w:after="360"/>
      </w:pPr>
      <w:r>
        <w:t>Принцип:</w:t>
      </w:r>
      <w:r w:rsidR="00BA2916">
        <w:t xml:space="preserve">  </w:t>
      </w:r>
      <w:r>
        <w:t xml:space="preserve">В момент получения данных следует информировать бенефициаров о том, какие данные собираются, кому они будут предоставлены, а также кто отвечает за безопасность использования их данных.  Бенефициарам должна быть предоставлена возможность усомниться в том, как будут использованы их данные, и покинуть программу, если они не захотят, чтобы их данные были использованы </w:t>
      </w:r>
      <w:r w:rsidR="00BA2916">
        <w:t>с указанной целью</w:t>
      </w:r>
      <w:r>
        <w:t>.</w:t>
      </w:r>
    </w:p>
    <w:p w:rsidR="009D5F18" w:rsidRPr="001A3C0F" w:rsidRDefault="009D5F18" w:rsidP="001C19A9">
      <w:pPr>
        <w:pStyle w:val="3"/>
      </w:pPr>
      <w:r>
        <w:t>6.Безопасность</w:t>
      </w:r>
    </w:p>
    <w:p w:rsidR="009D5F18" w:rsidRPr="001A3C0F" w:rsidRDefault="009D5F18" w:rsidP="001C19A9">
      <w:pPr>
        <w:spacing w:after="360"/>
      </w:pPr>
      <w:r>
        <w:t>Принцип:</w:t>
      </w:r>
      <w:r w:rsidR="00BA2916">
        <w:t xml:space="preserve"> </w:t>
      </w:r>
      <w:r>
        <w:t>Организации должны внедрять соответствующие стандарты технической и оперативной безопасности для каждой стадии сбора, передачи и использования данных бенефициаров, чтобы предотвратить несанкционированный доступ, разглашение или утрату данных, и, в особенности, следует идентифицировать все внешние угрозы и принять меры к снижению уровня возникающих рисков.</w:t>
      </w:r>
    </w:p>
    <w:p w:rsidR="009D5F18" w:rsidRPr="001A3C0F" w:rsidRDefault="009D5F18" w:rsidP="001C19A9">
      <w:pPr>
        <w:pStyle w:val="3"/>
      </w:pPr>
      <w:r>
        <w:t>7.Ликвидация</w:t>
      </w:r>
    </w:p>
    <w:p w:rsidR="009D5F18" w:rsidRPr="001A3C0F" w:rsidRDefault="009D5F18" w:rsidP="001C19A9">
      <w:pPr>
        <w:spacing w:after="360"/>
      </w:pPr>
      <w:r>
        <w:t>Принцип:</w:t>
      </w:r>
      <w:r w:rsidR="00BA2916">
        <w:t xml:space="preserve">  </w:t>
      </w:r>
      <w:r>
        <w:t>Организации не должны хранить данные бенефициаров дольше, чем требуется, кроме случаев, когда у них есть дл</w:t>
      </w:r>
      <w:r w:rsidR="00BA2916">
        <w:t xml:space="preserve">я этого ясные, обоснованные и </w:t>
      </w:r>
      <w:r>
        <w:t>документированные причины; в противном случае данные, хранящиеся у организации и любых соответствующих третьих сторон, должны быть уничтожены.</w:t>
      </w:r>
    </w:p>
    <w:p w:rsidR="009D5F18" w:rsidRPr="001A3C0F" w:rsidRDefault="009D5F18" w:rsidP="001C19A9">
      <w:pPr>
        <w:pStyle w:val="3"/>
      </w:pPr>
      <w:r>
        <w:t>8.Отчётность</w:t>
      </w:r>
    </w:p>
    <w:p w:rsidR="009D5F18" w:rsidRDefault="009D5F18" w:rsidP="001C19A9">
      <w:pPr>
        <w:spacing w:after="360"/>
      </w:pPr>
      <w:r>
        <w:t>Принцип:</w:t>
      </w:r>
      <w:r w:rsidR="00BA2916">
        <w:t xml:space="preserve">  </w:t>
      </w:r>
      <w:r>
        <w:t>Организации должны внедрить механизмы, согласно которым бенефициар может запросить информацию о том, какие его личные данные имеются у организации, а также механизмы для получения любых жалоб и выражений беспокойства, которые бенефициары могут иметь относительно использования их личных данных, а также реагирования на них.</w:t>
      </w:r>
    </w:p>
    <w:p w:rsidR="00C62B57" w:rsidRPr="001C19A9" w:rsidRDefault="009D5F18" w:rsidP="00331A32">
      <w:pPr>
        <w:tabs>
          <w:tab w:val="left" w:pos="3969"/>
        </w:tabs>
        <w:jc w:val="left"/>
        <w:rPr>
          <w:sz w:val="18"/>
        </w:rPr>
      </w:pPr>
      <w:r>
        <w:rPr>
          <w:sz w:val="18"/>
        </w:rPr>
        <w:lastRenderedPageBreak/>
        <w:t>Источник:</w:t>
      </w:r>
      <w:r w:rsidR="00BA2916">
        <w:rPr>
          <w:sz w:val="18"/>
        </w:rPr>
        <w:t xml:space="preserve">  </w:t>
      </w:r>
      <w:r>
        <w:rPr>
          <w:sz w:val="18"/>
        </w:rPr>
        <w:t xml:space="preserve">Защита </w:t>
      </w:r>
      <w:r w:rsidR="00BA2916">
        <w:rPr>
          <w:sz w:val="18"/>
        </w:rPr>
        <w:t>конфиденциальности бенефициаров</w:t>
      </w:r>
      <w:r>
        <w:rPr>
          <w:sz w:val="18"/>
        </w:rPr>
        <w:t>:</w:t>
      </w:r>
      <w:r w:rsidR="00BA2916">
        <w:rPr>
          <w:sz w:val="18"/>
        </w:rPr>
        <w:t xml:space="preserve"> </w:t>
      </w:r>
      <w:r>
        <w:rPr>
          <w:sz w:val="18"/>
        </w:rPr>
        <w:t xml:space="preserve">Принципы </w:t>
      </w:r>
      <w:r w:rsidR="00BA2916">
        <w:rPr>
          <w:sz w:val="18"/>
        </w:rPr>
        <w:t>и</w:t>
      </w:r>
      <w:r>
        <w:rPr>
          <w:sz w:val="18"/>
        </w:rPr>
        <w:t xml:space="preserve"> оперативные стандарты безопасного использования личных данных в программах выплаты наличных денег и электронных переводов /</w:t>
      </w:r>
      <w:r w:rsidR="00BA2916" w:rsidRPr="00BA2916">
        <w:rPr>
          <w:sz w:val="18"/>
        </w:rPr>
        <w:t xml:space="preserve"> </w:t>
      </w:r>
      <w:r w:rsidR="00BA2916">
        <w:rPr>
          <w:sz w:val="18"/>
        </w:rPr>
        <w:t xml:space="preserve">Protecting Beneficiary Privacy: </w:t>
      </w:r>
      <w:r>
        <w:rPr>
          <w:sz w:val="18"/>
        </w:rPr>
        <w:t xml:space="preserve"> Principles and operational standards for the secure use of personal data in cash and e-transfer programmes (2013) CaLP</w:t>
      </w:r>
    </w:p>
    <w:sectPr w:rsidR="00C62B57" w:rsidRPr="001C19A9" w:rsidSect="00331A32">
      <w:headerReference w:type="default" r:id="rId7"/>
      <w:footerReference w:type="default" r:id="rId8"/>
      <w:pgSz w:w="11900" w:h="16840" w:code="9"/>
      <w:pgMar w:top="1134" w:right="1134" w:bottom="1134" w:left="1134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351" w:rsidRDefault="00BE7351" w:rsidP="001A3C0F">
      <w:r>
        <w:separator/>
      </w:r>
    </w:p>
  </w:endnote>
  <w:endnote w:type="continuationSeparator" w:id="1">
    <w:p w:rsidR="00BE7351" w:rsidRDefault="00BE7351" w:rsidP="001A3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2CA" w:rsidRPr="00B45C74" w:rsidRDefault="004A1CA4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6352CA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0D37A7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6352CA" w:rsidRPr="003A3500" w:rsidRDefault="006352CA" w:rsidP="00ED1B2B">
    <w:pPr>
      <w:pStyle w:val="a5"/>
    </w:pPr>
    <w:r>
      <w:rPr>
        <w:b/>
      </w:rPr>
      <w:t>Модуль 4.</w:t>
    </w:r>
    <w:r w:rsidR="000D37A7">
      <w:t xml:space="preserve"> Раздел</w:t>
    </w:r>
    <w:r>
      <w:t xml:space="preserve"> 3.</w:t>
    </w:r>
    <w:r w:rsidR="000D37A7">
      <w:t xml:space="preserve"> Подраздел</w:t>
    </w:r>
    <w:r>
      <w:t xml:space="preserve"> 4. </w:t>
    </w:r>
    <w:r w:rsidR="004A1CA4">
      <w:fldChar w:fldCharType="begin"/>
    </w:r>
    <w:r w:rsidR="004A1CA4">
      <w:instrText xml:space="preserve"> STYLEREF  H1 \t  \* MERGEFORMAT </w:instrText>
    </w:r>
    <w:r w:rsidR="004A1CA4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351" w:rsidRDefault="00BE7351" w:rsidP="001A3C0F">
      <w:r>
        <w:separator/>
      </w:r>
    </w:p>
  </w:footnote>
  <w:footnote w:type="continuationSeparator" w:id="1">
    <w:p w:rsidR="00BE7351" w:rsidRDefault="00BE7351" w:rsidP="001A3C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2CA" w:rsidRPr="00074036" w:rsidRDefault="006352CA" w:rsidP="00173FF2">
    <w:pPr>
      <w:pStyle w:val="a3"/>
      <w:rPr>
        <w:szCs w:val="16"/>
      </w:rPr>
    </w:pPr>
    <w:r>
      <w:rPr>
        <w:rStyle w:val="Pantone485"/>
      </w:rPr>
      <w:t>Международное движение Красного Креста и Красного Полумесяца</w:t>
    </w:r>
    <w:r w:rsidR="00BA2916">
      <w:rPr>
        <w:rStyle w:val="Pantone485"/>
      </w:rPr>
      <w:t xml:space="preserve"> </w:t>
    </w:r>
    <w:r>
      <w:rPr>
        <w:rStyle w:val="af1"/>
        <w:bCs/>
        <w:szCs w:val="16"/>
      </w:rPr>
      <w:t>I</w:t>
    </w:r>
    <w:r w:rsidR="00BA2916">
      <w:rPr>
        <w:rStyle w:val="af1"/>
        <w:bCs/>
        <w:szCs w:val="16"/>
      </w:rPr>
      <w:t xml:space="preserve"> </w:t>
    </w:r>
    <w:r w:rsidR="000D37A7">
      <w:rPr>
        <w:rStyle w:val="af1"/>
        <w:bCs/>
        <w:szCs w:val="16"/>
      </w:rPr>
      <w:t>Методические материалы по вопросам предоставления наличных денежных средств в условиях ЧС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linkStyl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3C0F"/>
    <w:rsid w:val="000C7441"/>
    <w:rsid w:val="000D37A7"/>
    <w:rsid w:val="001A3C0F"/>
    <w:rsid w:val="001C19A9"/>
    <w:rsid w:val="001E4BB8"/>
    <w:rsid w:val="00331A32"/>
    <w:rsid w:val="003F2F1E"/>
    <w:rsid w:val="004A1CA4"/>
    <w:rsid w:val="006352CA"/>
    <w:rsid w:val="0064609C"/>
    <w:rsid w:val="00665D3F"/>
    <w:rsid w:val="006E30AC"/>
    <w:rsid w:val="009321F2"/>
    <w:rsid w:val="009B75E0"/>
    <w:rsid w:val="009D5F18"/>
    <w:rsid w:val="00BA2916"/>
    <w:rsid w:val="00BE7351"/>
    <w:rsid w:val="00C62B57"/>
    <w:rsid w:val="00D44413"/>
    <w:rsid w:val="00DB3793"/>
    <w:rsid w:val="00E2450C"/>
    <w:rsid w:val="00F8262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EastAsia" w:hAnsiTheme="majorHAnsi" w:cs="ArialMT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32"/>
    <w:pPr>
      <w:spacing w:after="120"/>
      <w:jc w:val="both"/>
    </w:pPr>
    <w:rPr>
      <w:rFonts w:ascii="Arial" w:hAnsi="Arial" w:cs="Times New Roman"/>
    </w:rPr>
  </w:style>
  <w:style w:type="paragraph" w:styleId="1">
    <w:name w:val="heading 1"/>
    <w:basedOn w:val="H1"/>
    <w:next w:val="a"/>
    <w:link w:val="10"/>
    <w:uiPriority w:val="9"/>
    <w:rsid w:val="00331A32"/>
  </w:style>
  <w:style w:type="paragraph" w:styleId="2">
    <w:name w:val="heading 2"/>
    <w:basedOn w:val="a"/>
    <w:next w:val="a"/>
    <w:link w:val="20"/>
    <w:uiPriority w:val="9"/>
    <w:unhideWhenUsed/>
    <w:qFormat/>
    <w:rsid w:val="00331A32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331A32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A32"/>
    <w:pPr>
      <w:spacing w:after="0" w:line="288" w:lineRule="auto"/>
      <w:jc w:val="left"/>
    </w:pPr>
    <w:rPr>
      <w:sz w:val="16"/>
    </w:rPr>
  </w:style>
  <w:style w:type="character" w:customStyle="1" w:styleId="a4">
    <w:name w:val="Верхний колонтитул Знак"/>
    <w:basedOn w:val="a0"/>
    <w:link w:val="a3"/>
    <w:uiPriority w:val="99"/>
    <w:rsid w:val="00331A32"/>
    <w:rPr>
      <w:rFonts w:ascii="Arial" w:hAnsi="Arial" w:cs="Times New Roman"/>
      <w:sz w:val="16"/>
    </w:rPr>
  </w:style>
  <w:style w:type="paragraph" w:styleId="a5">
    <w:name w:val="footer"/>
    <w:basedOn w:val="a"/>
    <w:link w:val="a6"/>
    <w:uiPriority w:val="99"/>
    <w:unhideWhenUsed/>
    <w:rsid w:val="00331A32"/>
    <w:pPr>
      <w:spacing w:after="0"/>
      <w:jc w:val="left"/>
    </w:pPr>
    <w:rPr>
      <w:sz w:val="16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331A32"/>
    <w:rPr>
      <w:rFonts w:ascii="Arial" w:hAnsi="Arial" w:cs="Times New Roman"/>
      <w:sz w:val="16"/>
      <w:szCs w:val="18"/>
    </w:rPr>
  </w:style>
  <w:style w:type="character" w:customStyle="1" w:styleId="10">
    <w:name w:val="Заголовок 1 Знак"/>
    <w:basedOn w:val="a0"/>
    <w:link w:val="1"/>
    <w:uiPriority w:val="9"/>
    <w:rsid w:val="00331A32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331A32"/>
    <w:rPr>
      <w:rFonts w:ascii="Arial" w:hAnsi="Arial" w:cs="Times New Roman"/>
      <w:b/>
      <w:cap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331A32"/>
    <w:rPr>
      <w:rFonts w:ascii="Arial" w:hAnsi="Arial" w:cs="Times New Roman"/>
      <w:b/>
      <w:sz w:val="22"/>
      <w:szCs w:val="24"/>
    </w:rPr>
  </w:style>
  <w:style w:type="paragraph" w:styleId="a7">
    <w:name w:val="List Paragraph"/>
    <w:basedOn w:val="a"/>
    <w:link w:val="a8"/>
    <w:uiPriority w:val="34"/>
    <w:qFormat/>
    <w:rsid w:val="00331A32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a8">
    <w:name w:val="Абзац списка Знак"/>
    <w:basedOn w:val="a0"/>
    <w:link w:val="a7"/>
    <w:uiPriority w:val="34"/>
    <w:rsid w:val="00331A32"/>
    <w:rPr>
      <w:rFonts w:ascii="Arial" w:eastAsiaTheme="minorHAnsi" w:hAnsi="Arial" w:cstheme="minorBidi"/>
      <w:szCs w:val="22"/>
    </w:rPr>
  </w:style>
  <w:style w:type="table" w:styleId="a9">
    <w:name w:val="Table Grid"/>
    <w:basedOn w:val="a1"/>
    <w:uiPriority w:val="59"/>
    <w:rsid w:val="00331A32"/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A3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331A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352CA"/>
  </w:style>
  <w:style w:type="character" w:customStyle="1" w:styleId="ac">
    <w:name w:val="Текст примечания Знак"/>
    <w:basedOn w:val="a0"/>
    <w:link w:val="ab"/>
    <w:uiPriority w:val="99"/>
    <w:semiHidden/>
    <w:rsid w:val="006352CA"/>
    <w:rPr>
      <w:rFonts w:ascii="Arial" w:hAnsi="Arial" w:cs="Times New Roman"/>
    </w:rPr>
  </w:style>
  <w:style w:type="paragraph" w:styleId="ad">
    <w:name w:val="annotation subject"/>
    <w:basedOn w:val="a"/>
    <w:link w:val="ae"/>
    <w:uiPriority w:val="99"/>
    <w:semiHidden/>
    <w:unhideWhenUsed/>
    <w:rsid w:val="00331A32"/>
    <w:rPr>
      <w:b/>
      <w:bCs/>
    </w:rPr>
  </w:style>
  <w:style w:type="character" w:customStyle="1" w:styleId="ae">
    <w:name w:val="Тема примечания Знак"/>
    <w:basedOn w:val="a0"/>
    <w:link w:val="ad"/>
    <w:uiPriority w:val="99"/>
    <w:semiHidden/>
    <w:rsid w:val="00331A32"/>
    <w:rPr>
      <w:rFonts w:ascii="Arial" w:hAnsi="Arial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31A3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31A32"/>
    <w:rPr>
      <w:rFonts w:ascii="Lucida Grande" w:hAnsi="Lucida Grande" w:cs="Lucida Grande"/>
      <w:sz w:val="18"/>
      <w:szCs w:val="18"/>
    </w:rPr>
  </w:style>
  <w:style w:type="character" w:styleId="af1">
    <w:name w:val="page number"/>
    <w:basedOn w:val="a0"/>
    <w:uiPriority w:val="99"/>
    <w:unhideWhenUsed/>
    <w:rsid w:val="00331A32"/>
    <w:rPr>
      <w:b/>
    </w:rPr>
  </w:style>
  <w:style w:type="character" w:styleId="af2">
    <w:name w:val="Hyperlink"/>
    <w:basedOn w:val="a0"/>
    <w:uiPriority w:val="99"/>
    <w:unhideWhenUsed/>
    <w:rsid w:val="00331A32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331A32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331A32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331A32"/>
    <w:rPr>
      <w:rFonts w:ascii="Arial" w:hAnsi="Arial" w:cs="Times New Roman"/>
      <w:sz w:val="16"/>
      <w:szCs w:val="22"/>
    </w:rPr>
  </w:style>
  <w:style w:type="character" w:styleId="af6">
    <w:name w:val="footnote reference"/>
    <w:basedOn w:val="a0"/>
    <w:uiPriority w:val="99"/>
    <w:unhideWhenUsed/>
    <w:rsid w:val="00331A32"/>
    <w:rPr>
      <w:vertAlign w:val="superscript"/>
    </w:rPr>
  </w:style>
  <w:style w:type="paragraph" w:styleId="af7">
    <w:name w:val="Revision"/>
    <w:hidden/>
    <w:uiPriority w:val="99"/>
    <w:semiHidden/>
    <w:rsid w:val="00331A32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331A32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331A32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331A32"/>
    <w:pPr>
      <w:numPr>
        <w:numId w:val="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331A32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331A32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3"/>
    <w:rsid w:val="00331A32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331A32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331A32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331A32"/>
    <w:rPr>
      <w:rFonts w:asciiTheme="minorHAnsi" w:hAnsiTheme="minorHAnsi" w:cs="Times New Roman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7"/>
    <w:rsid w:val="00331A32"/>
    <w:pPr>
      <w:numPr>
        <w:numId w:val="4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a"/>
    <w:rsid w:val="00331A32"/>
    <w:pPr>
      <w:numPr>
        <w:ilvl w:val="1"/>
        <w:numId w:val="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331A32"/>
    <w:pPr>
      <w:numPr>
        <w:numId w:val="2"/>
      </w:numPr>
    </w:pPr>
    <w:rPr>
      <w:rFonts w:eastAsia="MS Mincho"/>
      <w:b/>
      <w:sz w:val="22"/>
    </w:rPr>
  </w:style>
  <w:style w:type="paragraph" w:customStyle="1" w:styleId="Bullet3">
    <w:name w:val="Bullet 3"/>
    <w:basedOn w:val="a7"/>
    <w:qFormat/>
    <w:rsid w:val="00331A32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331A32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331A32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331A32"/>
    <w:pPr>
      <w:keepNext/>
      <w:keepLines/>
      <w:framePr w:hSpace="141" w:wrap="around" w:vAnchor="text" w:hAnchor="margin" w:y="402"/>
      <w:numPr>
        <w:numId w:val="6"/>
      </w:numPr>
      <w:spacing w:beforeLines="60" w:afterLines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A32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331A3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1A32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1A32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  <w:rsid w:val="00331A3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31A32"/>
  </w:style>
  <w:style w:type="paragraph" w:styleId="Header">
    <w:name w:val="header"/>
    <w:basedOn w:val="Normal"/>
    <w:link w:val="HeaderChar"/>
    <w:uiPriority w:val="99"/>
    <w:unhideWhenUsed/>
    <w:rsid w:val="00331A32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31A32"/>
    <w:rPr>
      <w:rFonts w:ascii="Arial" w:hAnsi="Arial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331A32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31A32"/>
    <w:rPr>
      <w:rFonts w:ascii="Arial" w:hAnsi="Arial" w:cs="Times New Roman"/>
      <w:sz w:val="16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31A32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31A32"/>
    <w:rPr>
      <w:rFonts w:ascii="Arial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1A32"/>
    <w:rPr>
      <w:rFonts w:ascii="Arial" w:hAnsi="Arial" w:cs="Times New Roman"/>
      <w:b/>
      <w:sz w:val="22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31A32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1A32"/>
    <w:rPr>
      <w:rFonts w:ascii="Arial" w:eastAsiaTheme="minorHAnsi" w:hAnsi="Arial" w:cstheme="minorBidi"/>
      <w:szCs w:val="22"/>
    </w:rPr>
  </w:style>
  <w:style w:type="table" w:styleId="TableGrid">
    <w:name w:val="Table Grid"/>
    <w:basedOn w:val="TableNormal"/>
    <w:uiPriority w:val="59"/>
    <w:rsid w:val="00331A32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1A3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1A3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2C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2CA"/>
    <w:rPr>
      <w:rFonts w:ascii="Arial" w:hAnsi="Arial" w:cs="Times New Roman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331A32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331A32"/>
    <w:rPr>
      <w:rFonts w:ascii="Arial" w:hAnsi="Arial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A3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A3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331A32"/>
    <w:rPr>
      <w:b/>
    </w:rPr>
  </w:style>
  <w:style w:type="character" w:styleId="Hyperlink">
    <w:name w:val="Hyperlink"/>
    <w:basedOn w:val="DefaultParagraphFont"/>
    <w:uiPriority w:val="99"/>
    <w:unhideWhenUsed/>
    <w:rsid w:val="00331A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A32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31A32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31A32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331A32"/>
    <w:rPr>
      <w:vertAlign w:val="superscript"/>
    </w:rPr>
  </w:style>
  <w:style w:type="paragraph" w:styleId="Revision">
    <w:name w:val="Revision"/>
    <w:hidden/>
    <w:uiPriority w:val="99"/>
    <w:semiHidden/>
    <w:rsid w:val="00331A32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331A32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331A32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331A32"/>
    <w:pPr>
      <w:numPr>
        <w:numId w:val="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331A32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331A32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331A32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331A32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331A32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331A32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331A32"/>
    <w:pPr>
      <w:numPr>
        <w:numId w:val="4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331A32"/>
    <w:pPr>
      <w:numPr>
        <w:ilvl w:val="1"/>
        <w:numId w:val="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331A32"/>
    <w:pPr>
      <w:numPr>
        <w:numId w:val="2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331A32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331A32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331A32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331A32"/>
    <w:pPr>
      <w:keepNext/>
      <w:keepLines/>
      <w:framePr w:hSpace="141" w:wrap="around" w:vAnchor="text" w:hAnchor="margin" w:y="402"/>
      <w:numPr>
        <w:numId w:val="6"/>
      </w:numPr>
      <w:spacing w:beforeLines="60" w:before="60" w:afterLines="20" w:after="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</Template>
  <TotalTime>684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User</cp:lastModifiedBy>
  <cp:revision>12</cp:revision>
  <cp:lastPrinted>2015-10-01T03:23:00Z</cp:lastPrinted>
  <dcterms:created xsi:type="dcterms:W3CDTF">2014-12-03T18:45:00Z</dcterms:created>
  <dcterms:modified xsi:type="dcterms:W3CDTF">2017-04-20T15:26:00Z</dcterms:modified>
</cp:coreProperties>
</file>