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24" w:rsidRDefault="000A4024" w:rsidP="005B6A03">
      <w:pPr>
        <w:pStyle w:val="H1"/>
      </w:pPr>
      <w:r>
        <w:t xml:space="preserve">Дорожная карта для регистрации и идентификации </w:t>
      </w:r>
    </w:p>
    <w:tbl>
      <w:tblPr>
        <w:tblStyle w:val="a5"/>
        <w:tblW w:w="0" w:type="auto"/>
        <w:tblLook w:val="04A0"/>
      </w:tblPr>
      <w:tblGrid>
        <w:gridCol w:w="1957"/>
        <w:gridCol w:w="2125"/>
        <w:gridCol w:w="1892"/>
        <w:gridCol w:w="1951"/>
        <w:gridCol w:w="1923"/>
      </w:tblGrid>
      <w:tr w:rsidR="005F1B0D" w:rsidRPr="005E1C6E" w:rsidTr="005F1B0D">
        <w:tc>
          <w:tcPr>
            <w:tcW w:w="9848" w:type="dxa"/>
            <w:gridSpan w:val="5"/>
            <w:shd w:val="clear" w:color="auto" w:fill="auto"/>
          </w:tcPr>
          <w:p w:rsidR="005F1B0D" w:rsidRPr="005E1C6E" w:rsidRDefault="005F1B0D" w:rsidP="00AC7CA2">
            <w:pPr>
              <w:pStyle w:val="2"/>
              <w:pBdr>
                <w:top w:val="none" w:sz="0" w:space="0" w:color="auto"/>
              </w:pBdr>
              <w:jc w:val="center"/>
              <w:outlineLvl w:val="1"/>
              <w:rPr>
                <w:sz w:val="20"/>
                <w:szCs w:val="20"/>
              </w:rPr>
            </w:pPr>
            <w:r w:rsidRPr="005E1C6E">
              <w:rPr>
                <w:sz w:val="20"/>
                <w:szCs w:val="20"/>
              </w:rPr>
              <w:t>ПОДГОТОВКА И РЕАЛИЗАЦИЯ</w:t>
            </w:r>
          </w:p>
        </w:tc>
      </w:tr>
      <w:tr w:rsidR="005F1B0D" w:rsidRPr="005E1C6E" w:rsidTr="005F1B0D">
        <w:tc>
          <w:tcPr>
            <w:tcW w:w="1957" w:type="dxa"/>
            <w:shd w:val="clear" w:color="auto" w:fill="auto"/>
          </w:tcPr>
          <w:p w:rsidR="005F1B0D" w:rsidRPr="005E1C6E" w:rsidRDefault="005F1B0D" w:rsidP="00AC7CA2">
            <w:pPr>
              <w:pStyle w:val="NormalNo"/>
              <w:tabs>
                <w:tab w:val="left" w:pos="435"/>
              </w:tabs>
              <w:ind w:left="142" w:hanging="11"/>
              <w:rPr>
                <w:sz w:val="20"/>
              </w:rPr>
            </w:pPr>
            <w:r w:rsidRPr="005E1C6E">
              <w:rPr>
                <w:sz w:val="20"/>
              </w:rPr>
              <w:t>Подготовка программы</w:t>
            </w:r>
          </w:p>
        </w:tc>
        <w:tc>
          <w:tcPr>
            <w:tcW w:w="2125" w:type="dxa"/>
            <w:shd w:val="clear" w:color="auto" w:fill="auto"/>
          </w:tcPr>
          <w:p w:rsidR="005F1B0D" w:rsidRPr="005E1C6E" w:rsidRDefault="005F1B0D" w:rsidP="00AC7CA2">
            <w:pPr>
              <w:pStyle w:val="NormalNo"/>
              <w:tabs>
                <w:tab w:val="left" w:pos="386"/>
              </w:tabs>
              <w:ind w:left="103" w:hanging="50"/>
              <w:rPr>
                <w:sz w:val="20"/>
              </w:rPr>
            </w:pPr>
            <w:r w:rsidRPr="005E1C6E">
              <w:rPr>
                <w:sz w:val="20"/>
              </w:rPr>
              <w:t>Коммуникация с бенефициарами и отчётность</w:t>
            </w:r>
          </w:p>
        </w:tc>
        <w:tc>
          <w:tcPr>
            <w:tcW w:w="1892" w:type="dxa"/>
            <w:shd w:val="clear" w:color="auto" w:fill="auto"/>
          </w:tcPr>
          <w:p w:rsidR="005F1B0D" w:rsidRPr="005E1C6E" w:rsidRDefault="005F1B0D" w:rsidP="00AC7CA2">
            <w:pPr>
              <w:pStyle w:val="NormalNo"/>
              <w:tabs>
                <w:tab w:val="left" w:pos="381"/>
              </w:tabs>
              <w:ind w:left="103" w:hanging="50"/>
            </w:pPr>
            <w:r w:rsidRPr="005E1C6E">
              <w:rPr>
                <w:sz w:val="20"/>
              </w:rPr>
              <w:t xml:space="preserve">Договоры </w:t>
            </w:r>
            <w:r>
              <w:rPr>
                <w:sz w:val="20"/>
              </w:rPr>
              <w:t>с поставщиками услуг</w:t>
            </w:r>
          </w:p>
        </w:tc>
        <w:tc>
          <w:tcPr>
            <w:tcW w:w="1951" w:type="dxa"/>
            <w:shd w:val="clear" w:color="auto" w:fill="auto"/>
          </w:tcPr>
          <w:p w:rsidR="005F1B0D" w:rsidRPr="005E1C6E" w:rsidRDefault="005F1B0D" w:rsidP="00AC7CA2">
            <w:pPr>
              <w:pStyle w:val="NormalNo"/>
              <w:tabs>
                <w:tab w:val="left" w:pos="386"/>
              </w:tabs>
              <w:ind w:left="103" w:hanging="50"/>
            </w:pPr>
            <w:r>
              <w:rPr>
                <w:sz w:val="20"/>
              </w:rPr>
              <w:t>Регистрация и идентификация</w:t>
            </w:r>
          </w:p>
        </w:tc>
        <w:tc>
          <w:tcPr>
            <w:tcW w:w="1923" w:type="dxa"/>
            <w:shd w:val="clear" w:color="auto" w:fill="auto"/>
          </w:tcPr>
          <w:p w:rsidR="005F1B0D" w:rsidRPr="005E1C6E" w:rsidRDefault="005F1B0D" w:rsidP="00AC7CA2">
            <w:pPr>
              <w:pStyle w:val="NormalNo"/>
              <w:tabs>
                <w:tab w:val="left" w:pos="386"/>
              </w:tabs>
              <w:ind w:left="103" w:hanging="50"/>
            </w:pPr>
            <w:r w:rsidRPr="005E1C6E">
              <w:rPr>
                <w:sz w:val="20"/>
              </w:rPr>
              <w:t>Раздача и обналичивание</w:t>
            </w:r>
          </w:p>
        </w:tc>
      </w:tr>
      <w:tr w:rsidR="005F1B0D" w:rsidRPr="005E1C6E" w:rsidTr="005F1B0D">
        <w:tc>
          <w:tcPr>
            <w:tcW w:w="1957" w:type="dxa"/>
            <w:shd w:val="clear" w:color="auto" w:fill="auto"/>
          </w:tcPr>
          <w:p w:rsidR="005F1B0D" w:rsidRDefault="005F1B0D" w:rsidP="00AC7CA2">
            <w:pPr>
              <w:jc w:val="left"/>
            </w:pPr>
            <w:r>
              <w:t>.1 Разработать оперативный план ПДП</w:t>
            </w:r>
          </w:p>
          <w:p w:rsidR="005F1B0D" w:rsidRDefault="005F1B0D" w:rsidP="00AC7CA2">
            <w:pPr>
              <w:jc w:val="left"/>
            </w:pPr>
            <w:r>
              <w:t>.2 Внутренн</w:t>
            </w:r>
            <w:r w:rsidR="008B0198">
              <w:t>ее</w:t>
            </w:r>
            <w:r>
              <w:t xml:space="preserve"> координ</w:t>
            </w:r>
            <w:r w:rsidR="008B0198">
              <w:t>ирование</w:t>
            </w:r>
          </w:p>
          <w:p w:rsidR="005F1B0D" w:rsidRPr="005E1C6E" w:rsidRDefault="005F1B0D" w:rsidP="008B0198">
            <w:pPr>
              <w:jc w:val="left"/>
            </w:pPr>
            <w:r>
              <w:t>.3 Координ</w:t>
            </w:r>
            <w:r w:rsidR="008B0198">
              <w:t>ирование</w:t>
            </w:r>
            <w:r>
              <w:t xml:space="preserve"> с другими организациями</w:t>
            </w:r>
          </w:p>
        </w:tc>
        <w:tc>
          <w:tcPr>
            <w:tcW w:w="2125" w:type="dxa"/>
            <w:shd w:val="clear" w:color="auto" w:fill="auto"/>
          </w:tcPr>
          <w:p w:rsidR="005F1B0D" w:rsidRDefault="005F1B0D" w:rsidP="00AC7CA2">
            <w:pPr>
              <w:jc w:val="left"/>
            </w:pPr>
            <w:r w:rsidRPr="005E1C6E">
              <w:t>.1</w:t>
            </w:r>
            <w:r>
              <w:t>Разработать план КБО</w:t>
            </w:r>
          </w:p>
          <w:p w:rsidR="005F1B0D" w:rsidRDefault="005F1B0D" w:rsidP="00AC7CA2">
            <w:pPr>
              <w:jc w:val="left"/>
            </w:pPr>
            <w:r>
              <w:t>.2 Повысить квалификацию персонала</w:t>
            </w:r>
          </w:p>
          <w:p w:rsidR="005F1B0D" w:rsidRDefault="005F1B0D" w:rsidP="00AC7CA2">
            <w:pPr>
              <w:jc w:val="left"/>
            </w:pPr>
            <w:r>
              <w:t>.3 Выбрать каналы и инструменты коммуникации</w:t>
            </w:r>
          </w:p>
          <w:p w:rsidR="005F1B0D" w:rsidRDefault="005F1B0D" w:rsidP="00AC7CA2">
            <w:pPr>
              <w:jc w:val="left"/>
            </w:pPr>
            <w:r>
              <w:t>.4 Разработать послания для целевых аудиторий</w:t>
            </w:r>
          </w:p>
          <w:p w:rsidR="005F1B0D" w:rsidRDefault="005F1B0D" w:rsidP="00AC7CA2">
            <w:pPr>
              <w:jc w:val="left"/>
            </w:pPr>
            <w:r>
              <w:t>.5 Разработать механизм для подачи отзывов и жалоб</w:t>
            </w:r>
          </w:p>
          <w:p w:rsidR="005F1B0D" w:rsidRPr="005E1C6E" w:rsidRDefault="005F1B0D" w:rsidP="00AC7CA2">
            <w:pPr>
              <w:jc w:val="left"/>
            </w:pPr>
            <w:r>
              <w:t>.6 Ревизия и извлечение уроков</w:t>
            </w:r>
          </w:p>
        </w:tc>
        <w:tc>
          <w:tcPr>
            <w:tcW w:w="1892" w:type="dxa"/>
            <w:shd w:val="clear" w:color="auto" w:fill="auto"/>
          </w:tcPr>
          <w:p w:rsidR="005F1B0D" w:rsidRDefault="005F1B0D" w:rsidP="00AC7CA2">
            <w:pPr>
              <w:jc w:val="left"/>
            </w:pPr>
            <w:r>
              <w:t>.1 Провести исследование потенциальных поставщиков услуг</w:t>
            </w:r>
          </w:p>
          <w:p w:rsidR="005F1B0D" w:rsidRDefault="005F1B0D" w:rsidP="00AC7CA2">
            <w:pPr>
              <w:jc w:val="left"/>
            </w:pPr>
            <w:r>
              <w:t>.2 Тендеры и выбор поставщиков услуг</w:t>
            </w:r>
          </w:p>
          <w:p w:rsidR="005F1B0D" w:rsidRDefault="005F1B0D" w:rsidP="00AC7CA2">
            <w:pPr>
              <w:jc w:val="left"/>
            </w:pPr>
            <w:r>
              <w:t>.3 Заключение договоров и определение методов работы</w:t>
            </w:r>
          </w:p>
          <w:p w:rsidR="005F1B0D" w:rsidRPr="005E1C6E" w:rsidRDefault="005F1B0D" w:rsidP="00AC7CA2">
            <w:pPr>
              <w:jc w:val="left"/>
            </w:pPr>
            <w:r>
              <w:t>.4 Обработка и защита данных бенефициаров</w:t>
            </w:r>
          </w:p>
        </w:tc>
        <w:tc>
          <w:tcPr>
            <w:tcW w:w="1951" w:type="dxa"/>
            <w:shd w:val="clear" w:color="auto" w:fill="B8CCE4" w:themeFill="accent1" w:themeFillTint="66"/>
          </w:tcPr>
          <w:p w:rsidR="005F1B0D" w:rsidRDefault="005F1B0D" w:rsidP="00AC7CA2">
            <w:pPr>
              <w:jc w:val="left"/>
            </w:pPr>
            <w:r>
              <w:t>.1 Спланировать регистрацию и подготовиться к ней</w:t>
            </w:r>
          </w:p>
          <w:p w:rsidR="005F1B0D" w:rsidRPr="005E1C6E" w:rsidRDefault="005F1B0D" w:rsidP="00AC7CA2">
            <w:pPr>
              <w:jc w:val="left"/>
            </w:pPr>
            <w:r>
              <w:t>.2 Идентификация и проверка</w:t>
            </w:r>
          </w:p>
        </w:tc>
        <w:tc>
          <w:tcPr>
            <w:tcW w:w="1923" w:type="dxa"/>
            <w:shd w:val="clear" w:color="auto" w:fill="auto"/>
          </w:tcPr>
          <w:p w:rsidR="005F1B0D" w:rsidRDefault="005F1B0D" w:rsidP="00AC7CA2">
            <w:pPr>
              <w:jc w:val="left"/>
            </w:pPr>
            <w:r>
              <w:t>.1 Обучение и коммуникация</w:t>
            </w:r>
          </w:p>
          <w:p w:rsidR="005F1B0D" w:rsidRDefault="005F1B0D" w:rsidP="00AC7CA2">
            <w:pPr>
              <w:jc w:val="left"/>
            </w:pPr>
            <w:r>
              <w:t>.2 Планирование и осуществление раздач</w:t>
            </w:r>
          </w:p>
          <w:p w:rsidR="005F1B0D" w:rsidRDefault="005F1B0D" w:rsidP="00AC7CA2">
            <w:pPr>
              <w:jc w:val="left"/>
            </w:pPr>
            <w:r>
              <w:t>.3 Планирование обналичивания</w:t>
            </w:r>
          </w:p>
          <w:p w:rsidR="005F1B0D" w:rsidRPr="005E1C6E" w:rsidRDefault="005F1B0D" w:rsidP="00AC7CA2">
            <w:pPr>
              <w:jc w:val="left"/>
            </w:pPr>
            <w:r>
              <w:t>.4 Осуществление обналичивания</w:t>
            </w:r>
          </w:p>
        </w:tc>
      </w:tr>
    </w:tbl>
    <w:p w:rsidR="00905760" w:rsidRPr="007E00C6" w:rsidRDefault="00905760" w:rsidP="005B6A03">
      <w:pPr>
        <w:pStyle w:val="2"/>
      </w:pPr>
      <w:r>
        <w:t>ВВЕДЕНИЕ</w:t>
      </w:r>
    </w:p>
    <w:p w:rsidR="00905760" w:rsidRPr="00B94FCD" w:rsidRDefault="00905760" w:rsidP="007608DC">
      <w:r>
        <w:t>Данная дорожная карта поможет вам в процессе сбора и записи соответствующей информации о бенефициарах, а также в установлении соответствующего механизма их идентификации.</w:t>
      </w:r>
      <w:r w:rsidR="007B4410">
        <w:t xml:space="preserve">  </w:t>
      </w:r>
      <w:r>
        <w:t>Надлежащее выполнение процедур регистрации и идентификации помогает гарантировать отчётность и прозрачность использования ресурсов, а также помогает при проведении мониторинга.</w:t>
      </w:r>
    </w:p>
    <w:p w:rsidR="00F61A31" w:rsidRPr="00EB6B84" w:rsidRDefault="00B65C9D" w:rsidP="007608DC">
      <w:r>
        <w:t xml:space="preserve">Кроме того, в дорожной карте выражены предположения о том, какие инструменты </w:t>
      </w:r>
      <w:r w:rsidR="008B0198">
        <w:t xml:space="preserve">методических материалов </w:t>
      </w:r>
      <w:r w:rsidR="007B4410">
        <w:t>по вопросам предоставления наличных денежных средств в условиях ЧС</w:t>
      </w:r>
      <w:r>
        <w:t xml:space="preserve"> наиболее полезны для данного </w:t>
      </w:r>
      <w:r w:rsidR="007B4410">
        <w:t>раздела</w:t>
      </w:r>
      <w:r>
        <w:t xml:space="preserve"> и </w:t>
      </w:r>
      <w:r w:rsidR="007B4410">
        <w:t>подразделов</w:t>
      </w:r>
      <w:r>
        <w:t>.</w:t>
      </w:r>
      <w:r w:rsidR="007B4410">
        <w:t xml:space="preserve">  </w:t>
      </w:r>
      <w:r>
        <w:t>Эти инструменты будет необходимо скорректировать согласно вашим потребностям и условиям.</w:t>
      </w:r>
    </w:p>
    <w:p w:rsidR="00F61A31" w:rsidRPr="00EB6B84" w:rsidRDefault="00F61A31" w:rsidP="007608DC">
      <w:r>
        <w:t xml:space="preserve">Вы должны всегда стремиться соблюдать минимальные стандарты, перечисленные </w:t>
      </w:r>
      <w:r w:rsidR="007B4410">
        <w:t>в</w:t>
      </w:r>
      <w:r>
        <w:t xml:space="preserve"> этом </w:t>
      </w:r>
      <w:r w:rsidR="007B4410">
        <w:t>подразделе</w:t>
      </w:r>
      <w:r>
        <w:t>.  Это поможет улучшить качество работы ПДП.</w:t>
      </w:r>
    </w:p>
    <w:p w:rsidR="00F61A31" w:rsidRPr="00EB6B84" w:rsidRDefault="00F61A31" w:rsidP="007608DC">
      <w:r>
        <w:t xml:space="preserve">Вероятно, по мере того как завершаются процессы и информация поступает в каждый </w:t>
      </w:r>
      <w:r w:rsidR="007B4410">
        <w:t>подраздел</w:t>
      </w:r>
      <w:r>
        <w:t xml:space="preserve">, для принятия решений вам потребуется </w:t>
      </w:r>
      <w:r>
        <w:rPr>
          <w:b/>
        </w:rPr>
        <w:t xml:space="preserve">переходить от одного </w:t>
      </w:r>
      <w:r w:rsidR="007B4410">
        <w:rPr>
          <w:b/>
        </w:rPr>
        <w:t>подраздела</w:t>
      </w:r>
      <w:r>
        <w:rPr>
          <w:b/>
        </w:rPr>
        <w:t xml:space="preserve"> к другому</w:t>
      </w:r>
      <w:r>
        <w:t>.</w:t>
      </w:r>
    </w:p>
    <w:p w:rsidR="00F61A31" w:rsidRPr="00B94FCD" w:rsidRDefault="00F61A31" w:rsidP="007608DC">
      <w:r>
        <w:t>Если вам потребуется более детальное руководство в вопросах регистрации и идентификации, обратитесь к справочным документам, перечисленным в конце данной дорожной карты.</w:t>
      </w:r>
    </w:p>
    <w:p w:rsidR="00905760" w:rsidRPr="007E00C6" w:rsidRDefault="00905760" w:rsidP="005B6A03">
      <w:pPr>
        <w:pStyle w:val="2"/>
      </w:pPr>
      <w:r>
        <w:lastRenderedPageBreak/>
        <w:t>МИНИМАЛЬНЫЕ СТАНДАРТЫ</w:t>
      </w:r>
    </w:p>
    <w:p w:rsidR="00905760" w:rsidRDefault="00905760" w:rsidP="00B36D76">
      <w:pPr>
        <w:pStyle w:val="Bullet1"/>
      </w:pPr>
      <w:r>
        <w:t>Регистрируйте только тех, кто имеет право получить помощь (деньги, ваучер, неденежную помощь).</w:t>
      </w:r>
    </w:p>
    <w:p w:rsidR="00FE6E37" w:rsidRPr="00905760" w:rsidRDefault="00FE6E37" w:rsidP="00FE6E37">
      <w:pPr>
        <w:pStyle w:val="Bullet1"/>
      </w:pPr>
      <w:r>
        <w:t>Чтобы сни</w:t>
      </w:r>
      <w:r w:rsidR="005F1B0D">
        <w:t>зить число повторов и пропусков</w:t>
      </w:r>
      <w:r w:rsidR="008B0198">
        <w:t>,</w:t>
      </w:r>
      <w:r>
        <w:t xml:space="preserve"> регистрация и идентификация должн</w:t>
      </w:r>
      <w:r w:rsidR="005F1B0D">
        <w:t>ы</w:t>
      </w:r>
      <w:r>
        <w:t xml:space="preserve"> проходить одновременно.</w:t>
      </w:r>
    </w:p>
    <w:p w:rsidR="00BF6A01" w:rsidRPr="00905760" w:rsidRDefault="00FE6E37" w:rsidP="00B36D76">
      <w:pPr>
        <w:pStyle w:val="Bullet1"/>
      </w:pPr>
      <w:r>
        <w:t>Чтобы бенефициар считался идентифицированным, хотя бы одно официальное удостоверение личности должно соответствовать внутреннему инструменту для верификации (например, списки раздачи, карточки, SIM).</w:t>
      </w:r>
    </w:p>
    <w:p w:rsidR="00BF6A01" w:rsidRDefault="00905760" w:rsidP="00B36D76">
      <w:pPr>
        <w:pStyle w:val="Bullet1"/>
      </w:pPr>
      <w:r>
        <w:t>Убедитесь, что идентификация, необходимая для регистрации бенефициаров, соответствует национальному финансовому законодательству.</w:t>
      </w:r>
    </w:p>
    <w:p w:rsidR="00905760" w:rsidRPr="00905760" w:rsidRDefault="007B4410" w:rsidP="005B6A03">
      <w:pPr>
        <w:pStyle w:val="2"/>
      </w:pPr>
      <w:r>
        <w:t>ПОДРАЗДЕЛЫ</w:t>
      </w:r>
      <w:r w:rsidR="00905760">
        <w:t xml:space="preserve"> И ИНСТРУМЕНТЫ</w:t>
      </w:r>
    </w:p>
    <w:p w:rsidR="000A4024" w:rsidRPr="00574EDC" w:rsidRDefault="000A4024" w:rsidP="00B36D76">
      <w:pPr>
        <w:pStyle w:val="3"/>
      </w:pPr>
      <w:r>
        <w:t>Спланируйте регистрацию и подготовьтесь к ней</w:t>
      </w:r>
    </w:p>
    <w:p w:rsidR="000A4024" w:rsidRDefault="00B65C9D" w:rsidP="007608DC">
      <w:pPr>
        <w:rPr>
          <w:rFonts w:ascii="Times" w:hAnsi="Times"/>
        </w:rPr>
      </w:pPr>
      <w:r>
        <w:t xml:space="preserve">Прежде всего, вы должны понимать, необходима </w:t>
      </w:r>
      <w:r w:rsidR="008A4B2B">
        <w:t xml:space="preserve">ли регистрация </w:t>
      </w:r>
      <w:r>
        <w:t>и осуществима</w:t>
      </w:r>
      <w:r w:rsidR="008A4B2B">
        <w:t xml:space="preserve"> ли она</w:t>
      </w:r>
      <w:r>
        <w:t>.</w:t>
      </w:r>
      <w:r w:rsidR="007B4410">
        <w:t xml:space="preserve">  </w:t>
      </w:r>
      <w:r>
        <w:t>Например, если в результате масштабного бедствия пострадало всё сообщество и планируется поголовная раздача помощи, или если пострадавшее население находится в  процессе миграции, вы можете предпочесть использовать билеты для одноразовой раздачи.</w:t>
      </w:r>
      <w:r w:rsidR="007B4410">
        <w:t xml:space="preserve">  </w:t>
      </w:r>
      <w:r>
        <w:t>Использование билетов для раздачи не позволяет собрать демографические данные, за исключением случаев, когда бенефициары регистрируются во время раздачи.</w:t>
      </w:r>
    </w:p>
    <w:p w:rsidR="000A4024" w:rsidRPr="00FD46A7" w:rsidRDefault="00905760" w:rsidP="007608DC">
      <w:pPr>
        <w:rPr>
          <w:rFonts w:ascii="Times" w:hAnsi="Times"/>
        </w:rPr>
      </w:pPr>
      <w:r>
        <w:t>Важные подготовительные меры, принятые до начала регистрации бенефициаров, позволят процессу регистрации пройти гладко:</w:t>
      </w:r>
    </w:p>
    <w:p w:rsidR="000A4024" w:rsidRPr="00935836" w:rsidRDefault="000A4024" w:rsidP="00B36D76">
      <w:pPr>
        <w:pStyle w:val="3"/>
      </w:pPr>
      <w:r>
        <w:t>Определите роли, зоны ответственности и методы работы</w:t>
      </w:r>
    </w:p>
    <w:p w:rsidR="000A4024" w:rsidRPr="00026021" w:rsidRDefault="000A4024" w:rsidP="007608DC">
      <w:r>
        <w:t>Следует обязательно наладить сотрудничество с местными властями.</w:t>
      </w:r>
      <w:r w:rsidR="007B4410">
        <w:t xml:space="preserve">  </w:t>
      </w:r>
      <w:r>
        <w:t>В некоторых случаях рекомендуется проводить регистрацию совместно с местными властями или даже в их помещениях, например, из соображений безопасности.</w:t>
      </w:r>
    </w:p>
    <w:p w:rsidR="00EB74F0" w:rsidRPr="00026021" w:rsidRDefault="00EB74F0" w:rsidP="00C754B1">
      <w:pPr>
        <w:spacing w:after="0"/>
        <w:jc w:val="left"/>
      </w:pPr>
      <w:r>
        <w:t>Необходимо тщательно обдумать решение о том, кто будет собирать/записывать информацию, каким образом она будет записана, кто будет урегулировать споры и т.п.  Так как данные бенефициаров могут быть предоставлены другим агентствам, необходимо заранее решить, кто будет хранить, вести и обновлять списки.</w:t>
      </w:r>
      <w:r w:rsidR="007B4410">
        <w:t xml:space="preserve">  </w:t>
      </w:r>
      <w:r>
        <w:t>Это следует обсудить и согласовать с принимающим национальным обществом как можно раньше.</w:t>
      </w:r>
      <w:r w:rsidR="007B4410">
        <w:t xml:space="preserve">  </w:t>
      </w:r>
      <w:r>
        <w:t>Сотрудники не должны независимо принимать решения о том, включать ли в идентификационный список или исключить из списка семью/человека.</w:t>
      </w:r>
    </w:p>
    <w:p w:rsidR="000A4024" w:rsidRPr="00935836" w:rsidRDefault="000A4024" w:rsidP="00B36D76">
      <w:pPr>
        <w:pStyle w:val="3"/>
      </w:pPr>
      <w:r>
        <w:t>Определите тип и уровень информации, которую будете собирать</w:t>
      </w:r>
    </w:p>
    <w:p w:rsidR="000A4024" w:rsidRDefault="000A4024" w:rsidP="007608DC">
      <w:r>
        <w:t>Тип информации, которую нужно получить для идентификации бенефициара, может быть разным, в зависимости от контекста, но обычно включает: имя и фамилию главы домохозяйства (или члена домохозяйства-бенефициара, назначенного для получения денежного перевода), число членов семьи, адрес или расположение постоянного и/или временного жилища.</w:t>
      </w:r>
      <w:r w:rsidR="007B4410">
        <w:t xml:space="preserve">  </w:t>
      </w:r>
      <w:r>
        <w:t xml:space="preserve">В </w:t>
      </w:r>
      <w:r w:rsidR="008A4B2B">
        <w:t>ситуациях</w:t>
      </w:r>
      <w:r>
        <w:t>, когда планируются множественные раздачи и/или долгосрочные программы, может быть целесообразн</w:t>
      </w:r>
      <w:r w:rsidR="008A4B2B">
        <w:t>ым</w:t>
      </w:r>
      <w:r>
        <w:t xml:space="preserve"> собрать дополнительную информацию о членах семьи, например, имя, пол, возраст, национальное удостоверение личности и дату идентификации.</w:t>
      </w:r>
    </w:p>
    <w:p w:rsidR="000A4024" w:rsidRPr="00D62E61" w:rsidRDefault="000A4024" w:rsidP="007608DC">
      <w:r>
        <w:t>Полезно справиться о финансовых законах, действующих в стране проведения операции, чтобы ожидать, какую информацию (и какие документы) может потребоваться предоставить бенефициарам.</w:t>
      </w:r>
      <w:r w:rsidR="007B4410">
        <w:t xml:space="preserve">  </w:t>
      </w:r>
      <w:r>
        <w:t>В случае отсутствия такой информации сверьтесь с требованиями поставщика услуг.</w:t>
      </w:r>
    </w:p>
    <w:p w:rsidR="000A4024" w:rsidRPr="00935836" w:rsidRDefault="000A4024" w:rsidP="00B36D76">
      <w:pPr>
        <w:pStyle w:val="3"/>
      </w:pPr>
      <w:r>
        <w:t>Создайте базу данных</w:t>
      </w:r>
    </w:p>
    <w:p w:rsidR="000A4024" w:rsidRDefault="000A4024" w:rsidP="007608DC">
      <w:pPr>
        <w:rPr>
          <w:color w:val="231F20"/>
        </w:rPr>
      </w:pPr>
      <w:r>
        <w:t>Электронные базы данных позволяют непрерывно отслеживать бенефициаров и незамедлительно регистрировать попытки бенефициаров зарегистрироваться более одного раза.</w:t>
      </w:r>
      <w:r w:rsidR="007B4410">
        <w:t xml:space="preserve">  </w:t>
      </w:r>
      <w:r>
        <w:t xml:space="preserve">Они не только позволяют </w:t>
      </w:r>
      <w:r w:rsidR="008A4B2B">
        <w:t>уменьшить</w:t>
      </w:r>
      <w:r>
        <w:t xml:space="preserve"> число повторений и ошибок во вводе данных, но также облегчают обновление, резервное копирование, отчёты, мониторинг и аудит.</w:t>
      </w:r>
    </w:p>
    <w:p w:rsidR="000A4024" w:rsidRDefault="000A4024" w:rsidP="007608DC">
      <w:r>
        <w:t>Электронные базы данных можно заполнять непосредственно в ходе регистрации или после неё.</w:t>
      </w:r>
      <w:r w:rsidR="007B4410">
        <w:t xml:space="preserve">  </w:t>
      </w:r>
      <w:r>
        <w:t>Это будет зависеть от того, будете ли вы собирать данные:</w:t>
      </w:r>
    </w:p>
    <w:p w:rsidR="000A4024" w:rsidRPr="00935836" w:rsidRDefault="00B65C9D" w:rsidP="00B94FCD">
      <w:pPr>
        <w:pStyle w:val="Bullet2"/>
      </w:pPr>
      <w:r>
        <w:rPr>
          <w:u w:val="single"/>
        </w:rPr>
        <w:lastRenderedPageBreak/>
        <w:t>С помощью устройства, подключённого к интернету</w:t>
      </w:r>
      <w:r>
        <w:t>.</w:t>
      </w:r>
      <w:r w:rsidR="007B4410">
        <w:t xml:space="preserve">  </w:t>
      </w:r>
      <w:r>
        <w:t xml:space="preserve">В этом случае вы сможете </w:t>
      </w:r>
      <w:r w:rsidR="008A4B2B">
        <w:t>сразу же</w:t>
      </w:r>
      <w:r>
        <w:t xml:space="preserve"> обновлять электронную базу данных.</w:t>
      </w:r>
      <w:r w:rsidR="007B4410">
        <w:t xml:space="preserve">  </w:t>
      </w:r>
      <w:r>
        <w:t>Убедитесь, что у вас есть соединение с интернетом.</w:t>
      </w:r>
    </w:p>
    <w:p w:rsidR="000A4024" w:rsidRPr="00D639B9" w:rsidRDefault="00B65C9D" w:rsidP="00B94FCD">
      <w:pPr>
        <w:pStyle w:val="Bullet2"/>
      </w:pPr>
      <w:r>
        <w:rPr>
          <w:u w:val="single"/>
        </w:rPr>
        <w:t>С помощью устройства, не подключённого к интернету</w:t>
      </w:r>
      <w:r>
        <w:t>.</w:t>
      </w:r>
      <w:r w:rsidR="007B4410">
        <w:t xml:space="preserve">  </w:t>
      </w:r>
      <w:r>
        <w:t>В этом случае вы сможете использовать электронный формат и загрузить информацию в базу данных позже.</w:t>
      </w:r>
      <w:r w:rsidR="007B4410">
        <w:t xml:space="preserve">  </w:t>
      </w:r>
      <w:r>
        <w:t>Убедитесь, что у вас есть доступ к источнику питания или батареи длительного действия.</w:t>
      </w:r>
    </w:p>
    <w:p w:rsidR="000A4024" w:rsidRPr="00574EDC" w:rsidRDefault="000A4024" w:rsidP="00B94FCD">
      <w:pPr>
        <w:pStyle w:val="Bullet2"/>
      </w:pPr>
      <w:r>
        <w:rPr>
          <w:u w:val="single"/>
        </w:rPr>
        <w:t>Вручную.</w:t>
      </w:r>
      <w:r w:rsidR="007B4410" w:rsidRPr="007B4410">
        <w:t xml:space="preserve">  </w:t>
      </w:r>
      <w:r>
        <w:t>В таком случае, данные могут записываться в распечатанные таблицы.  Их можно внести в электронные базы данных, когда они будут доступны.</w:t>
      </w:r>
    </w:p>
    <w:p w:rsidR="000A4024" w:rsidRPr="00935836" w:rsidRDefault="000A4024" w:rsidP="00B36D76">
      <w:pPr>
        <w:pStyle w:val="3"/>
      </w:pPr>
      <w:r>
        <w:t>Разработайте бланки для регистрации</w:t>
      </w:r>
    </w:p>
    <w:p w:rsidR="000A4024" w:rsidRPr="007608DC" w:rsidRDefault="000A4024" w:rsidP="007608DC">
      <w:r>
        <w:t>Важно разработать бланк, который будет совместим с базой данных.</w:t>
      </w:r>
      <w:r w:rsidR="007B4410">
        <w:t xml:space="preserve">  </w:t>
      </w:r>
      <w:r>
        <w:t>Бланк можно распечатать непосредственно из базы данных.</w:t>
      </w:r>
      <w:r w:rsidR="007B4410">
        <w:t xml:space="preserve">  </w:t>
      </w:r>
      <w:r>
        <w:t>Членам команды, осуществляющей регистрацию, должно быть легко его заполнять.</w:t>
      </w:r>
      <w:r w:rsidR="007B4410">
        <w:t xml:space="preserve">  </w:t>
      </w:r>
      <w:r>
        <w:t>Его следует протестировать, а после одобрения его не следует изменять.</w:t>
      </w:r>
      <w:r w:rsidR="008A4B2B">
        <w:t xml:space="preserve">  Понять, как может выглядеть такой бланк, поможет и</w:t>
      </w:r>
      <w:r>
        <w:t>нструмент «Список бенефициаров».</w:t>
      </w:r>
    </w:p>
    <w:p w:rsidR="000A4024" w:rsidRPr="00531048" w:rsidRDefault="000A4024" w:rsidP="00B36D76">
      <w:pPr>
        <w:pStyle w:val="3"/>
      </w:pPr>
      <w:r>
        <w:t>Организуйте регистрацию</w:t>
      </w:r>
    </w:p>
    <w:p w:rsidR="000A4024" w:rsidRPr="00972D76" w:rsidRDefault="008A4B2B" w:rsidP="007608DC">
      <w:r>
        <w:t>Д</w:t>
      </w:r>
      <w:r w:rsidR="000A4024">
        <w:t>лительность процесса, требуемые площади и количество сотрудников</w:t>
      </w:r>
      <w:r>
        <w:t>определяется числом бенефициаров, которых возможно зарегистрировать в течение данного отрезка времени</w:t>
      </w:r>
      <w:r w:rsidR="000A4024">
        <w:t>.</w:t>
      </w:r>
      <w:r w:rsidR="007B4410">
        <w:t xml:space="preserve">  </w:t>
      </w:r>
      <w:r w:rsidR="000A4024">
        <w:t>Необходимо запланировать время, необходимое для регистрации в различных районах, необходимо проверить, будут ли выбранные для регистрации дни удобными (необходимо избегать официальных/религиозных праздников или базарных дней).</w:t>
      </w:r>
      <w:r w:rsidR="007B4410">
        <w:t xml:space="preserve">  </w:t>
      </w:r>
      <w:r w:rsidR="000A4024">
        <w:t>Небольшая тестовая регистрация поможет скорректировать эти оценки.</w:t>
      </w:r>
      <w:r w:rsidR="007B4410">
        <w:t xml:space="preserve">  </w:t>
      </w:r>
      <w:r w:rsidR="000A4024">
        <w:t>Установите крайний срок регистрации.</w:t>
      </w:r>
    </w:p>
    <w:p w:rsidR="000A4024" w:rsidRPr="00935836" w:rsidRDefault="00935836" w:rsidP="00B94FCD">
      <w:pPr>
        <w:pStyle w:val="Bullet2"/>
        <w:rPr>
          <w:i/>
        </w:rPr>
      </w:pPr>
      <w:r>
        <w:rPr>
          <w:i/>
          <w:u w:val="single"/>
        </w:rPr>
        <w:t>Выберите места для регистрации:</w:t>
      </w:r>
      <w:r w:rsidR="007B4410" w:rsidRPr="007B4410">
        <w:rPr>
          <w:i/>
        </w:rPr>
        <w:t xml:space="preserve">  </w:t>
      </w:r>
      <w:r>
        <w:t>Необходимо определить подходящие районы с контролируемым числом потенциальных бенефициаров.</w:t>
      </w:r>
      <w:r w:rsidR="007B4410">
        <w:t xml:space="preserve">  </w:t>
      </w:r>
      <w:r>
        <w:t>Предотвратить образование толпы, недопонимание и общественное давление можно с помощью организационных мер.</w:t>
      </w:r>
      <w:r w:rsidR="007B4410">
        <w:t xml:space="preserve">  </w:t>
      </w:r>
      <w:r>
        <w:t>В начале регистрационного дня необходимо принять меры по обеспечению логистики, основываясь на соответствующем контрольном списке (например, подготовка места, где будет происходить регистрация, транспорт персонала, осуществляющего регистрацию, предоставление материалов и необходимых регистрационных бланков, любые вопросы безопасности, которые надо принять во внимание).</w:t>
      </w:r>
    </w:p>
    <w:p w:rsidR="000A4024" w:rsidRPr="00935836" w:rsidRDefault="00B65C9D" w:rsidP="00B94FCD">
      <w:pPr>
        <w:pStyle w:val="Bullet2"/>
      </w:pPr>
      <w:r>
        <w:rPr>
          <w:i/>
          <w:u w:val="single"/>
        </w:rPr>
        <w:t>Создание и подготовка команд, осуществляющих регистрацию:</w:t>
      </w:r>
      <w:r w:rsidR="007B4410" w:rsidRPr="007B4410">
        <w:rPr>
          <w:i/>
        </w:rPr>
        <w:t xml:space="preserve">  </w:t>
      </w:r>
      <w:r>
        <w:t>Возможно, придётся привлечь на частичную/временную занятость дополнительный персонал.</w:t>
      </w:r>
      <w:r w:rsidR="008A4B2B">
        <w:t xml:space="preserve">  Абсолютно необходимо провести подготовку сотрудников</w:t>
      </w:r>
      <w:r>
        <w:t xml:space="preserve">, </w:t>
      </w:r>
      <w:r w:rsidR="008A4B2B">
        <w:t>подготовка</w:t>
      </w:r>
      <w:r>
        <w:t xml:space="preserve"> должна включать вопросы, как получить соответствующую информацию, как записать данные в бланки, зоны ответственности, а также процедура на случай возникновения трудностей.Следует назначить сотрудника программы для обеспечения поддержки, связи и контроля за работой команды, осуществляющей регистрацию.Заполненные регистрационные бланки следует регулярно собирать и контролировать/проверять в отношении количества, качества и любых других характеристик.</w:t>
      </w:r>
    </w:p>
    <w:p w:rsidR="00531048" w:rsidRPr="00E57DF0" w:rsidRDefault="000A4024" w:rsidP="00B94FCD">
      <w:pPr>
        <w:pStyle w:val="Bullet2"/>
        <w:rPr>
          <w:i/>
        </w:rPr>
      </w:pPr>
      <w:r>
        <w:rPr>
          <w:i/>
          <w:u w:val="single"/>
        </w:rPr>
        <w:t>Подготовьте сообщества:</w:t>
      </w:r>
      <w:r w:rsidR="007B4410" w:rsidRPr="007B4410">
        <w:rPr>
          <w:i/>
        </w:rPr>
        <w:t xml:space="preserve">  </w:t>
      </w:r>
      <w:r>
        <w:t>Целью процесса является снизить напряжённость, которая может возникнуть в ходе процесса регистрации, особенно между бенефициарами и не-бенефициарами.</w:t>
      </w:r>
      <w:r w:rsidR="007B4410">
        <w:t xml:space="preserve">  </w:t>
      </w:r>
      <w:r>
        <w:t xml:space="preserve">За несколько дней до начала регистрации можно провести собрание членов сообщества, на котором </w:t>
      </w:r>
      <w:r w:rsidR="008A4B2B">
        <w:t xml:space="preserve">можно </w:t>
      </w:r>
      <w:r>
        <w:t>поделиться информацией о проекте и о методологии, использованной для определения бенефициаров.</w:t>
      </w:r>
      <w:r w:rsidR="007B4410">
        <w:t xml:space="preserve">  </w:t>
      </w:r>
      <w:r>
        <w:t>Объясните, что зарегистрированы будут только те, кто имеет право получить перевод.</w:t>
      </w:r>
      <w:r w:rsidR="007B4410">
        <w:t xml:space="preserve">  </w:t>
      </w:r>
      <w:r>
        <w:t>В ходе собрания имена людей, которые будут зарегистрированы, можно зачитать и/или разместить в соответствующем месте.</w:t>
      </w:r>
      <w:r w:rsidR="007B4410">
        <w:t xml:space="preserve">  </w:t>
      </w:r>
      <w:r>
        <w:t>Это позволит людям, которые должны зарегистрироваться, подготовиться, и снизит степень давления, которое может оказываться на команду, осуществляющую регистрацию, с целью зарегистрировать людей, не включённых в список.</w:t>
      </w:r>
      <w:r w:rsidR="007B4410">
        <w:t xml:space="preserve">  </w:t>
      </w:r>
      <w:r>
        <w:t>О дате и месте регистрации, а также о том, какие потребуются документы, бенефициарам следует сообщить заранее.</w:t>
      </w:r>
    </w:p>
    <w:p w:rsidR="000A4024" w:rsidRPr="00574EDC" w:rsidRDefault="00531048" w:rsidP="00B36D76">
      <w:pPr>
        <w:pStyle w:val="3"/>
      </w:pPr>
      <w:r>
        <w:t>Установите и удостоверьте личность бенефициаров</w:t>
      </w:r>
    </w:p>
    <w:p w:rsidR="00524278" w:rsidRPr="005B6A03" w:rsidRDefault="000A4024" w:rsidP="006E50B4">
      <w:r>
        <w:t>Процесс регистрации должен позволить вам создать связь между каждым бенефициаром и уникальным опознавательным знаком, который может быть идентификатором или паролем.</w:t>
      </w:r>
      <w:r w:rsidR="007B4410">
        <w:t xml:space="preserve">  </w:t>
      </w:r>
      <w:r>
        <w:t>Опознавательный знак поможет вам позже убедиться что лицо, пришедшее получить денежный перевод, на самом деле является зарегистрированным бенефициаром.</w:t>
      </w:r>
      <w:r w:rsidR="007B4410">
        <w:t xml:space="preserve">  </w:t>
      </w:r>
      <w:r>
        <w:t>Этот процесс называется удостоверением.</w:t>
      </w:r>
      <w:r w:rsidR="007B4410">
        <w:t xml:space="preserve">  </w:t>
      </w:r>
      <w:r>
        <w:t>Краткое руководство по этому процессу представлено в инструменте «Идентификация и удостоверение», в него включены роли и зоны ответственности в ходе идентификации и различные способы, с помощью которых можно идентифицировать бенефициаров.</w:t>
      </w:r>
      <w:r w:rsidR="007B4410">
        <w:t xml:space="preserve">  </w:t>
      </w:r>
      <w:r>
        <w:lastRenderedPageBreak/>
        <w:t>В инструменте «Карточка бенефициара» представлен шаблон идентификатора.Инструмент «Почтовое слияние карточки бенефициара» позволяет перевести данны</w:t>
      </w:r>
      <w:r w:rsidR="008A4B2B">
        <w:t>е</w:t>
      </w:r>
      <w:r>
        <w:t xml:space="preserve"> бенефициара в заранее отформатированную карточку бенефициара.</w:t>
      </w:r>
    </w:p>
    <w:tbl>
      <w:tblPr>
        <w:tblStyle w:val="TableGray"/>
        <w:tblW w:w="0" w:type="auto"/>
        <w:tblLook w:val="04A0"/>
      </w:tblPr>
      <w:tblGrid>
        <w:gridCol w:w="9848"/>
      </w:tblGrid>
      <w:tr w:rsidR="005B6A03" w:rsidTr="005B6A03">
        <w:tc>
          <w:tcPr>
            <w:tcW w:w="9848" w:type="dxa"/>
          </w:tcPr>
          <w:p w:rsidR="005B6A03" w:rsidRDefault="005B6A03" w:rsidP="005B6A03">
            <w:pPr>
              <w:pStyle w:val="RefTitre"/>
            </w:pPr>
            <w:r>
              <w:t>СПРАВОЧНЫЕ ДОКУМЕНТЫ</w:t>
            </w:r>
          </w:p>
          <w:p w:rsidR="007671DA" w:rsidRDefault="007671DA" w:rsidP="005B6A03">
            <w:pPr>
              <w:pStyle w:val="RefItem1"/>
            </w:pPr>
            <w:r>
              <w:t>МФОККиКП, Пособие по работе на местах для отрядов реагирования при ЧС / IFRC (2008) Relief ERU field manual.</w:t>
            </w:r>
            <w:hyperlink r:id="rId7" w:history="1">
              <w:r>
                <w:rPr>
                  <w:rStyle w:val="ad"/>
                </w:rPr>
                <w:t>https://www-secure.ifrc.org/DMISII/Pages/03_response/0306_eru/030602_eru_relief/146900_relief%20ERU_EN_LR.pdf</w:t>
              </w:r>
            </w:hyperlink>
          </w:p>
          <w:p w:rsidR="005B6A03" w:rsidRDefault="005B6A03" w:rsidP="005B6A03">
            <w:pPr>
              <w:pStyle w:val="RefItem1"/>
            </w:pPr>
            <w:r>
              <w:t>Электронные переводы в условиях чрезвычайных ситуаций:  руководство для реализации программ / E-transfers</w:t>
            </w:r>
            <w:r w:rsidR="007B4410">
              <w:t xml:space="preserve"> </w:t>
            </w:r>
            <w:r>
              <w:t>in</w:t>
            </w:r>
            <w:r w:rsidR="007B4410">
              <w:t xml:space="preserve"> </w:t>
            </w:r>
            <w:r>
              <w:t>emergencies: implementation</w:t>
            </w:r>
            <w:r w:rsidR="007B4410">
              <w:t xml:space="preserve"> </w:t>
            </w:r>
            <w:r>
              <w:t>support</w:t>
            </w:r>
            <w:r w:rsidR="007B4410">
              <w:t xml:space="preserve"> </w:t>
            </w:r>
            <w:r>
              <w:t>guidelines( 2013 ) CaLP</w:t>
            </w:r>
            <w:hyperlink r:id="rId8" w:history="1">
              <w:r>
                <w:rPr>
                  <w:rStyle w:val="ad"/>
                </w:rPr>
                <w:t>http://www.cashlearning.org/resources/library/390-e-transfers-in-emergencies-implementation-support-guideline</w:t>
              </w:r>
            </w:hyperlink>
          </w:p>
          <w:p w:rsidR="005B6A03" w:rsidRDefault="005B6A03" w:rsidP="005B6A03">
            <w:pPr>
              <w:pStyle w:val="RefItem1"/>
            </w:pPr>
            <w:r>
              <w:t>Раздача денег:</w:t>
            </w:r>
            <w:bookmarkStart w:id="0" w:name="_GoBack"/>
            <w:bookmarkEnd w:id="0"/>
            <w:r w:rsidR="007B4410">
              <w:t xml:space="preserve">  </w:t>
            </w:r>
            <w:r>
              <w:t>Механизмы перевода денежных средств при ЧС / Cash</w:t>
            </w:r>
            <w:r w:rsidR="007B4410">
              <w:t xml:space="preserve"> </w:t>
            </w:r>
            <w:r>
              <w:t>Transfer</w:t>
            </w:r>
            <w:r w:rsidR="007B4410">
              <w:t xml:space="preserve"> </w:t>
            </w:r>
            <w:r>
              <w:t>Mechanisms</w:t>
            </w:r>
            <w:r w:rsidR="007B4410">
              <w:t xml:space="preserve"> </w:t>
            </w:r>
            <w:r>
              <w:t>in</w:t>
            </w:r>
            <w:r w:rsidR="007B4410">
              <w:t xml:space="preserve"> </w:t>
            </w:r>
            <w:r>
              <w:t>Emergencies (2010) CaLP</w:t>
            </w:r>
            <w:hyperlink r:id="rId9" w:history="1">
              <w:r>
                <w:rPr>
                  <w:rStyle w:val="ad"/>
                  <w:rFonts w:ascii="Calibri" w:hAnsi="Calibri"/>
                  <w:sz w:val="22"/>
                  <w:szCs w:val="22"/>
                </w:rPr>
                <w:t>http://www.cashlearning.org/resources/library/6-delivering-money-cash-transfer-mechanisms-in-emergencies</w:t>
              </w:r>
            </w:hyperlink>
          </w:p>
          <w:p w:rsidR="005B6A03" w:rsidRPr="00537B1F" w:rsidRDefault="005B6A03" w:rsidP="005B6A03">
            <w:pPr>
              <w:pStyle w:val="RefItem1"/>
            </w:pPr>
            <w:r>
              <w:t>Краткое руководство по раздаче:  чеки / A quick</w:t>
            </w:r>
            <w:r w:rsidR="007B4410">
              <w:t xml:space="preserve"> </w:t>
            </w:r>
            <w:r>
              <w:t>delivery</w:t>
            </w:r>
            <w:r w:rsidR="007B4410">
              <w:t xml:space="preserve"> </w:t>
            </w:r>
            <w:r>
              <w:t>guide:Cheques (2011) CaLP</w:t>
            </w:r>
            <w:r>
              <w:br/>
            </w:r>
            <w:hyperlink r:id="rId10" w:history="1">
              <w:r>
                <w:rPr>
                  <w:rStyle w:val="ad"/>
                </w:rPr>
                <w:t>http://www.cashlearning.org/resources/library/22-cheques---a-quick-delivery-guide-screen-version</w:t>
              </w:r>
            </w:hyperlink>
          </w:p>
          <w:p w:rsidR="005B6A03" w:rsidRPr="00537B1F" w:rsidRDefault="005B6A03" w:rsidP="005B6A03">
            <w:pPr>
              <w:pStyle w:val="RefItem1"/>
            </w:pPr>
            <w:r>
              <w:t>Краткое руководство по раздаче:  карточки / A quick</w:t>
            </w:r>
            <w:r w:rsidR="007B4410">
              <w:t xml:space="preserve"> </w:t>
            </w:r>
            <w:r>
              <w:t>delivery</w:t>
            </w:r>
            <w:r w:rsidR="007B4410">
              <w:t xml:space="preserve"> </w:t>
            </w:r>
            <w:r>
              <w:t>guide:Cards (2011) CaLP</w:t>
            </w:r>
            <w:r>
              <w:br/>
            </w:r>
            <w:hyperlink r:id="rId11" w:history="1">
              <w:r>
                <w:rPr>
                  <w:rStyle w:val="ad"/>
                </w:rPr>
                <w:t>http://www.cashlearning.org/resources/library/235-delivering-cash-through-cards---a-quick-delivery-guide-booklet</w:t>
              </w:r>
            </w:hyperlink>
          </w:p>
          <w:p w:rsidR="005B6A03" w:rsidRPr="00537B1F" w:rsidRDefault="005B6A03" w:rsidP="005B6A03">
            <w:pPr>
              <w:pStyle w:val="RefItem1"/>
            </w:pPr>
            <w:r>
              <w:t>Краткое руководство по раздаче:   наличные деньги / A quick</w:t>
            </w:r>
            <w:r w:rsidR="007B4410">
              <w:t xml:space="preserve"> </w:t>
            </w:r>
            <w:r>
              <w:t>delivery</w:t>
            </w:r>
            <w:r w:rsidR="007B4410">
              <w:t xml:space="preserve"> </w:t>
            </w:r>
            <w:r>
              <w:t>guide:DirectCash (2011) CaLP</w:t>
            </w:r>
            <w:r>
              <w:br/>
            </w:r>
            <w:hyperlink r:id="rId12" w:history="1">
              <w:r>
                <w:rPr>
                  <w:rStyle w:val="ad"/>
                </w:rPr>
                <w:t>http://www.cashlearning.org/resources/library/24-direct-cash---a-quick-delivery-guide-screen-version</w:t>
              </w:r>
            </w:hyperlink>
          </w:p>
          <w:p w:rsidR="005B6A03" w:rsidRPr="00537B1F" w:rsidRDefault="005B6A03" w:rsidP="005B6A03">
            <w:pPr>
              <w:pStyle w:val="RefItem1"/>
            </w:pPr>
            <w:r>
              <w:t>Краткое руководство по раздаче: ваучеры / A quick</w:t>
            </w:r>
            <w:r w:rsidR="007B4410">
              <w:t xml:space="preserve"> </w:t>
            </w:r>
            <w:r>
              <w:t>delivery</w:t>
            </w:r>
            <w:r w:rsidR="007B4410">
              <w:t xml:space="preserve"> </w:t>
            </w:r>
            <w:r>
              <w:t>guide:Vouchers (2011) CaLP</w:t>
            </w:r>
            <w:r>
              <w:br/>
            </w:r>
            <w:hyperlink r:id="rId13" w:history="1">
              <w:r>
                <w:rPr>
                  <w:rStyle w:val="ad"/>
                </w:rPr>
                <w:t>http://www.cashlearning.org/resources/library/25-vouchers---a-quick-delivery-guide-booklet-version</w:t>
              </w:r>
            </w:hyperlink>
          </w:p>
          <w:p w:rsidR="005B6A03" w:rsidRDefault="005B6A03" w:rsidP="005B6A03">
            <w:pPr>
              <w:pStyle w:val="RefItem1"/>
            </w:pPr>
            <w:r>
              <w:t>Краткое руководство по раздаче: ярмарки ваучеров / A quick</w:t>
            </w:r>
            <w:r w:rsidR="007B4410">
              <w:t xml:space="preserve"> </w:t>
            </w:r>
            <w:r>
              <w:t>delivery</w:t>
            </w:r>
            <w:r w:rsidR="007B4410">
              <w:t xml:space="preserve"> </w:t>
            </w:r>
            <w:r>
              <w:t>guide:Voucherfairs (2011) CaLP</w:t>
            </w:r>
            <w:r>
              <w:br/>
            </w:r>
            <w:hyperlink r:id="rId14" w:history="1">
              <w:r>
                <w:rPr>
                  <w:rStyle w:val="ad"/>
                </w:rPr>
                <w:t>http://www.cashlearning.org/resources/library/217-voucher-fairs-a-quick-delivery-guide-booklet-version</w:t>
              </w:r>
            </w:hyperlink>
          </w:p>
        </w:tc>
      </w:tr>
    </w:tbl>
    <w:p w:rsidR="005B6A03" w:rsidRDefault="005B6A03" w:rsidP="007608DC"/>
    <w:sectPr w:rsidR="005B6A03" w:rsidSect="005B6A03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80" w:rsidRDefault="00F05080" w:rsidP="00680748">
      <w:r>
        <w:separator/>
      </w:r>
    </w:p>
  </w:endnote>
  <w:endnote w:type="continuationSeparator" w:id="1">
    <w:p w:rsidR="00F05080" w:rsidRDefault="00F05080" w:rsidP="0068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DA" w:rsidRPr="00B45C74" w:rsidRDefault="00520967" w:rsidP="00EB74F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7671D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B4410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671DA" w:rsidRPr="003A3500" w:rsidRDefault="007671DA" w:rsidP="00EB74F0">
    <w:pPr>
      <w:pStyle w:val="af0"/>
    </w:pPr>
    <w:r>
      <w:rPr>
        <w:b/>
      </w:rPr>
      <w:t>Модуль 4.</w:t>
    </w:r>
    <w:r w:rsidR="007B4410">
      <w:rPr>
        <w:b/>
      </w:rPr>
      <w:t xml:space="preserve"> </w:t>
    </w:r>
    <w:r w:rsidR="007B4410">
      <w:t>Раздел</w:t>
    </w:r>
    <w:r>
      <w:t xml:space="preserve"> 4.Дорожная карта для регистрации и идентификации </w:t>
    </w:r>
    <w:fldSimple w:instr=" STYLEREF  H1 \t  \* MERGEFORMAT ">
      <w:r w:rsidR="007B4410" w:rsidRPr="007B4410">
        <w:rPr>
          <w:i/>
          <w:noProof/>
        </w:rPr>
        <w:t>Дорожная карта для регистрации и идентификации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DA" w:rsidRPr="00B45C74" w:rsidRDefault="00520967" w:rsidP="00EB74F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7671D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B441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671DA" w:rsidRPr="005B6A03" w:rsidRDefault="007671DA" w:rsidP="00EB74F0">
    <w:pPr>
      <w:pStyle w:val="af0"/>
    </w:pPr>
    <w:r>
      <w:rPr>
        <w:b/>
      </w:rPr>
      <w:t>Модуль 4.</w:t>
    </w:r>
    <w:r w:rsidR="007B4410">
      <w:t xml:space="preserve"> Раздел</w:t>
    </w:r>
    <w:r>
      <w:t xml:space="preserve"> 4. </w:t>
    </w:r>
    <w:fldSimple w:instr=" STYLEREF  H1 \t  \* MERGEFORMAT ">
      <w:r w:rsidR="007B4410" w:rsidRPr="007B4410">
        <w:rPr>
          <w:bCs/>
          <w:noProof/>
        </w:rPr>
        <w:t>Дорожная карта для регистрации и</w:t>
      </w:r>
      <w:r w:rsidR="007B4410">
        <w:rPr>
          <w:noProof/>
        </w:rPr>
        <w:t xml:space="preserve"> идентификации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80" w:rsidRDefault="00F05080" w:rsidP="00680748">
      <w:r>
        <w:separator/>
      </w:r>
    </w:p>
  </w:footnote>
  <w:footnote w:type="continuationSeparator" w:id="1">
    <w:p w:rsidR="00F05080" w:rsidRDefault="00F05080" w:rsidP="00680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DA" w:rsidRPr="00074036" w:rsidRDefault="007671DA" w:rsidP="00EB74F0">
    <w:pPr>
      <w:pStyle w:val="ae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7B4410">
      <w:rPr>
        <w:rStyle w:val="Pantone485"/>
      </w:rPr>
      <w:t xml:space="preserve"> </w:t>
    </w:r>
    <w:r>
      <w:rPr>
        <w:rStyle w:val="af2"/>
        <w:bCs/>
        <w:szCs w:val="16"/>
      </w:rPr>
      <w:t>I</w:t>
    </w:r>
    <w:r w:rsidR="007B4410">
      <w:rPr>
        <w:rStyle w:val="af2"/>
        <w:bCs/>
        <w:szCs w:val="16"/>
      </w:rPr>
      <w:t xml:space="preserve"> 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DA" w:rsidRDefault="007671DA" w:rsidP="00EB74F0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71DA" w:rsidRDefault="007671DA" w:rsidP="00EB74F0">
    <w:pPr>
      <w:pStyle w:val="Header1"/>
    </w:pPr>
  </w:p>
  <w:p w:rsidR="007671DA" w:rsidRDefault="007671DA" w:rsidP="00EB74F0">
    <w:pPr>
      <w:pStyle w:val="ae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71DA" w:rsidRDefault="007671DA" w:rsidP="00EB74F0">
    <w:pPr>
      <w:pStyle w:val="ae"/>
      <w:spacing w:line="240" w:lineRule="auto"/>
      <w:rPr>
        <w:b/>
        <w:color w:val="DC281E"/>
        <w:sz w:val="24"/>
        <w:szCs w:val="24"/>
      </w:rPr>
    </w:pPr>
  </w:p>
  <w:p w:rsidR="007671DA" w:rsidRDefault="007671DA" w:rsidP="00EB74F0">
    <w:pPr>
      <w:pStyle w:val="ae"/>
      <w:spacing w:line="240" w:lineRule="auto"/>
      <w:rPr>
        <w:b/>
        <w:color w:val="DC281E"/>
        <w:sz w:val="24"/>
        <w:szCs w:val="24"/>
      </w:rPr>
    </w:pPr>
  </w:p>
  <w:p w:rsidR="007671DA" w:rsidRPr="005B6A03" w:rsidRDefault="007B4410" w:rsidP="00EB74F0">
    <w:pPr>
      <w:pStyle w:val="Header1"/>
      <w:rPr>
        <w:color w:val="DC281E"/>
      </w:rPr>
    </w:pPr>
    <w:r>
      <w:rPr>
        <w:color w:val="DC281E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6B"/>
    <w:multiLevelType w:val="hybridMultilevel"/>
    <w:tmpl w:val="E21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5929"/>
    <w:multiLevelType w:val="hybridMultilevel"/>
    <w:tmpl w:val="60BE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7A18"/>
    <w:multiLevelType w:val="hybridMultilevel"/>
    <w:tmpl w:val="7C52BF4E"/>
    <w:lvl w:ilvl="0" w:tplc="5A4C774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4512AC"/>
    <w:multiLevelType w:val="hybridMultilevel"/>
    <w:tmpl w:val="08C0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8596F"/>
    <w:multiLevelType w:val="hybridMultilevel"/>
    <w:tmpl w:val="864CA9F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95127E8"/>
    <w:multiLevelType w:val="hybridMultilevel"/>
    <w:tmpl w:val="4B0687D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1121"/>
    <w:multiLevelType w:val="hybridMultilevel"/>
    <w:tmpl w:val="94F8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32DF8"/>
    <w:multiLevelType w:val="hybridMultilevel"/>
    <w:tmpl w:val="879C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9B604F"/>
    <w:multiLevelType w:val="hybridMultilevel"/>
    <w:tmpl w:val="8178704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A7A02"/>
    <w:multiLevelType w:val="hybridMultilevel"/>
    <w:tmpl w:val="03FAC78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36DA0"/>
    <w:multiLevelType w:val="hybridMultilevel"/>
    <w:tmpl w:val="E9F8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182CCC"/>
    <w:multiLevelType w:val="hybridMultilevel"/>
    <w:tmpl w:val="71B0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C6EFC"/>
    <w:multiLevelType w:val="hybridMultilevel"/>
    <w:tmpl w:val="FF50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501F1"/>
    <w:multiLevelType w:val="hybridMultilevel"/>
    <w:tmpl w:val="4524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6"/>
  </w:num>
  <w:num w:numId="5">
    <w:abstractNumId w:val="2"/>
  </w:num>
  <w:num w:numId="6">
    <w:abstractNumId w:val="18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  <w:num w:numId="15">
    <w:abstractNumId w:val="0"/>
  </w:num>
  <w:num w:numId="16">
    <w:abstractNumId w:val="13"/>
  </w:num>
  <w:num w:numId="17">
    <w:abstractNumId w:val="3"/>
  </w:num>
  <w:num w:numId="18">
    <w:abstractNumId w:val="14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31F7"/>
    <w:rsid w:val="00082E59"/>
    <w:rsid w:val="00093C9A"/>
    <w:rsid w:val="000A4024"/>
    <w:rsid w:val="001745BC"/>
    <w:rsid w:val="001E31F7"/>
    <w:rsid w:val="001F3C18"/>
    <w:rsid w:val="002751B7"/>
    <w:rsid w:val="00286A9F"/>
    <w:rsid w:val="00370BFA"/>
    <w:rsid w:val="003C2208"/>
    <w:rsid w:val="00471501"/>
    <w:rsid w:val="00492C32"/>
    <w:rsid w:val="00520967"/>
    <w:rsid w:val="00524278"/>
    <w:rsid w:val="00531048"/>
    <w:rsid w:val="005731FD"/>
    <w:rsid w:val="005A2F60"/>
    <w:rsid w:val="005B6A03"/>
    <w:rsid w:val="005F1B0D"/>
    <w:rsid w:val="00680748"/>
    <w:rsid w:val="006E50B4"/>
    <w:rsid w:val="006F497E"/>
    <w:rsid w:val="007608DC"/>
    <w:rsid w:val="007671DA"/>
    <w:rsid w:val="007A0532"/>
    <w:rsid w:val="007A4579"/>
    <w:rsid w:val="007B4410"/>
    <w:rsid w:val="0080622C"/>
    <w:rsid w:val="00830000"/>
    <w:rsid w:val="008554BD"/>
    <w:rsid w:val="008A4B2B"/>
    <w:rsid w:val="008B0198"/>
    <w:rsid w:val="00905760"/>
    <w:rsid w:val="00935836"/>
    <w:rsid w:val="00961279"/>
    <w:rsid w:val="009D6AAF"/>
    <w:rsid w:val="00A733B3"/>
    <w:rsid w:val="00A942CD"/>
    <w:rsid w:val="00B1490E"/>
    <w:rsid w:val="00B36D76"/>
    <w:rsid w:val="00B65C9D"/>
    <w:rsid w:val="00B743CF"/>
    <w:rsid w:val="00B94FCD"/>
    <w:rsid w:val="00BB585A"/>
    <w:rsid w:val="00BF6A01"/>
    <w:rsid w:val="00C73717"/>
    <w:rsid w:val="00C754B1"/>
    <w:rsid w:val="00D11530"/>
    <w:rsid w:val="00DA12C0"/>
    <w:rsid w:val="00DE40B4"/>
    <w:rsid w:val="00E414B3"/>
    <w:rsid w:val="00E57DF0"/>
    <w:rsid w:val="00E6206B"/>
    <w:rsid w:val="00EB74F0"/>
    <w:rsid w:val="00ED3055"/>
    <w:rsid w:val="00F05080"/>
    <w:rsid w:val="00F134C2"/>
    <w:rsid w:val="00F61A31"/>
    <w:rsid w:val="00FB061A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C2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F134C2"/>
  </w:style>
  <w:style w:type="paragraph" w:styleId="2">
    <w:name w:val="heading 2"/>
    <w:basedOn w:val="a"/>
    <w:next w:val="a"/>
    <w:link w:val="20"/>
    <w:uiPriority w:val="9"/>
    <w:unhideWhenUsed/>
    <w:qFormat/>
    <w:rsid w:val="00F134C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134C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34C2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F134C2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3970"/>
  </w:style>
  <w:style w:type="character" w:styleId="a6">
    <w:name w:val="annotation reference"/>
    <w:basedOn w:val="a0"/>
    <w:uiPriority w:val="99"/>
    <w:semiHidden/>
    <w:unhideWhenUsed/>
    <w:rsid w:val="00F134C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82E59"/>
  </w:style>
  <w:style w:type="character" w:customStyle="1" w:styleId="a8">
    <w:name w:val="Текст примечания Знак"/>
    <w:basedOn w:val="a0"/>
    <w:link w:val="a7"/>
    <w:uiPriority w:val="99"/>
    <w:semiHidden/>
    <w:rsid w:val="00082E59"/>
    <w:rPr>
      <w:lang w:val="ru-RU"/>
    </w:rPr>
  </w:style>
  <w:style w:type="paragraph" w:styleId="a9">
    <w:name w:val="annotation subject"/>
    <w:basedOn w:val="a"/>
    <w:link w:val="aa"/>
    <w:uiPriority w:val="99"/>
    <w:semiHidden/>
    <w:unhideWhenUsed/>
    <w:rsid w:val="00F134C2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semiHidden/>
    <w:rsid w:val="00F134C2"/>
    <w:rPr>
      <w:rFonts w:ascii="Arial" w:hAnsi="Arial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134C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34C2"/>
    <w:rPr>
      <w:rFonts w:ascii="Lucida Grande" w:hAnsi="Lucida Grande" w:cs="Lucida Grande"/>
      <w:sz w:val="18"/>
      <w:szCs w:val="18"/>
    </w:rPr>
  </w:style>
  <w:style w:type="character" w:styleId="ad">
    <w:name w:val="Hyperlink"/>
    <w:basedOn w:val="a0"/>
    <w:uiPriority w:val="99"/>
    <w:unhideWhenUsed/>
    <w:rsid w:val="00F134C2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134C2"/>
    <w:pPr>
      <w:spacing w:after="0" w:line="288" w:lineRule="auto"/>
      <w:jc w:val="left"/>
    </w:pPr>
    <w:rPr>
      <w:sz w:val="16"/>
    </w:rPr>
  </w:style>
  <w:style w:type="character" w:customStyle="1" w:styleId="af">
    <w:name w:val="Верхний колонтитул Знак"/>
    <w:basedOn w:val="a0"/>
    <w:link w:val="ae"/>
    <w:uiPriority w:val="99"/>
    <w:rsid w:val="00F134C2"/>
    <w:rPr>
      <w:rFonts w:ascii="Arial" w:hAnsi="Arial" w:cs="Times New Roman"/>
      <w:sz w:val="16"/>
    </w:rPr>
  </w:style>
  <w:style w:type="paragraph" w:styleId="af0">
    <w:name w:val="footer"/>
    <w:basedOn w:val="a"/>
    <w:link w:val="af1"/>
    <w:uiPriority w:val="99"/>
    <w:unhideWhenUsed/>
    <w:rsid w:val="00F134C2"/>
    <w:pPr>
      <w:spacing w:after="0"/>
      <w:jc w:val="left"/>
    </w:pPr>
    <w:rPr>
      <w:sz w:val="16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F134C2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F134C2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134C2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134C2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F134C2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134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unhideWhenUsed/>
    <w:rsid w:val="00F134C2"/>
    <w:rPr>
      <w:b/>
    </w:rPr>
  </w:style>
  <w:style w:type="character" w:styleId="af3">
    <w:name w:val="FollowedHyperlink"/>
    <w:basedOn w:val="a0"/>
    <w:uiPriority w:val="99"/>
    <w:semiHidden/>
    <w:unhideWhenUsed/>
    <w:rsid w:val="00F134C2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F134C2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F134C2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F134C2"/>
    <w:rPr>
      <w:vertAlign w:val="superscript"/>
    </w:rPr>
  </w:style>
  <w:style w:type="paragraph" w:styleId="af7">
    <w:name w:val="Revision"/>
    <w:hidden/>
    <w:uiPriority w:val="99"/>
    <w:semiHidden/>
    <w:rsid w:val="00F134C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134C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134C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134C2"/>
    <w:pPr>
      <w:numPr>
        <w:numId w:val="1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134C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134C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e"/>
    <w:rsid w:val="00F134C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134C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134C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134C2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F134C2"/>
    <w:pPr>
      <w:numPr>
        <w:numId w:val="1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134C2"/>
    <w:pPr>
      <w:numPr>
        <w:ilvl w:val="1"/>
        <w:numId w:val="1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134C2"/>
    <w:pPr>
      <w:numPr>
        <w:numId w:val="1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F134C2"/>
    <w:pPr>
      <w:numPr>
        <w:numId w:val="1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134C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134C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F134C2"/>
    <w:pPr>
      <w:keepNext/>
      <w:keepLines/>
      <w:framePr w:hSpace="141" w:wrap="around" w:vAnchor="text" w:hAnchor="margin" w:y="402"/>
      <w:numPr>
        <w:numId w:val="20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hlearning.org/resources/library/390-e-transfers-in-emergencies-implementation-support-guideline" TargetMode="External"/><Relationship Id="rId13" Type="http://schemas.openxmlformats.org/officeDocument/2006/relationships/hyperlink" Target="http://www.cashlearning.org/resources/library/25-vouchers---a-quick-delivery-guide-booklet-versio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-secure.ifrc.org/DMISII/Pages/03_response/0306_eru/030602_eru_relief/146900_relief%20ERU_EN_LR.pdf" TargetMode="External"/><Relationship Id="rId12" Type="http://schemas.openxmlformats.org/officeDocument/2006/relationships/hyperlink" Target="http://www.cashlearning.org/resources/library/24-direct-cash---a-quick-delivery-guide-screen-versio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hlearning.org/resources/library/235-delivering-cash-through-cards---a-quick-delivery-guide-bookl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shlearning.org/resources/library/22-cheques---a-quick-delivery-guide-screen-vers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shlearning.org/resources/library/6-delivering-money-cash-transfer-mechanisms-in-emergencies" TargetMode="External"/><Relationship Id="rId14" Type="http://schemas.openxmlformats.org/officeDocument/2006/relationships/hyperlink" Target="http://www.cashlearning.org/resources/library/217-voucher-fairs-a-quick-delivery-guide-booklet-vers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68</TotalTime>
  <Pages>4</Pages>
  <Words>1894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User</cp:lastModifiedBy>
  <cp:revision>11</cp:revision>
  <cp:lastPrinted>2015-10-01T14:53:00Z</cp:lastPrinted>
  <dcterms:created xsi:type="dcterms:W3CDTF">2016-08-04T13:04:00Z</dcterms:created>
  <dcterms:modified xsi:type="dcterms:W3CDTF">2017-04-20T15:35:00Z</dcterms:modified>
</cp:coreProperties>
</file>