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B2" w:rsidRDefault="006E095B" w:rsidP="005255BE">
      <w:pPr>
        <w:pStyle w:val="H1"/>
      </w:pPr>
      <w:r>
        <w:t>Дорожная карта для раздачи и обналичивания</w:t>
      </w:r>
    </w:p>
    <w:tbl>
      <w:tblPr>
        <w:tblStyle w:val="ac"/>
        <w:tblW w:w="0" w:type="auto"/>
        <w:tblLook w:val="04A0"/>
      </w:tblPr>
      <w:tblGrid>
        <w:gridCol w:w="1957"/>
        <w:gridCol w:w="2125"/>
        <w:gridCol w:w="1892"/>
        <w:gridCol w:w="1951"/>
        <w:gridCol w:w="1923"/>
      </w:tblGrid>
      <w:tr w:rsidR="009C6BDB" w:rsidRPr="005E1C6E" w:rsidTr="009C3206">
        <w:tc>
          <w:tcPr>
            <w:tcW w:w="9848" w:type="dxa"/>
            <w:gridSpan w:val="5"/>
          </w:tcPr>
          <w:p w:rsidR="009C6BDB" w:rsidRPr="005E1C6E" w:rsidRDefault="009C6BDB" w:rsidP="009C3206">
            <w:pPr>
              <w:pStyle w:val="2"/>
              <w:pBdr>
                <w:top w:val="none" w:sz="0" w:space="0" w:color="auto"/>
              </w:pBdr>
              <w:jc w:val="center"/>
              <w:outlineLvl w:val="1"/>
              <w:rPr>
                <w:sz w:val="20"/>
                <w:szCs w:val="20"/>
              </w:rPr>
            </w:pPr>
            <w:r w:rsidRPr="005E1C6E">
              <w:rPr>
                <w:sz w:val="20"/>
                <w:szCs w:val="20"/>
              </w:rPr>
              <w:t xml:space="preserve">ПОДГОТОВКА И </w:t>
            </w:r>
            <w:r>
              <w:rPr>
                <w:sz w:val="20"/>
                <w:szCs w:val="20"/>
              </w:rPr>
              <w:t>РЕАЛИЗАЦИЯ</w:t>
            </w:r>
          </w:p>
        </w:tc>
      </w:tr>
      <w:tr w:rsidR="009C6BDB" w:rsidRPr="005E1C6E" w:rsidTr="009C6BDB">
        <w:tc>
          <w:tcPr>
            <w:tcW w:w="1957" w:type="dxa"/>
            <w:shd w:val="clear" w:color="auto" w:fill="auto"/>
          </w:tcPr>
          <w:p w:rsidR="009C6BDB" w:rsidRPr="005E1C6E" w:rsidRDefault="009C6BDB" w:rsidP="009C3206">
            <w:pPr>
              <w:pStyle w:val="NormalNo"/>
              <w:tabs>
                <w:tab w:val="left" w:pos="435"/>
              </w:tabs>
              <w:ind w:left="142" w:hanging="11"/>
              <w:rPr>
                <w:sz w:val="20"/>
              </w:rPr>
            </w:pPr>
            <w:r w:rsidRPr="005E1C6E">
              <w:rPr>
                <w:sz w:val="20"/>
              </w:rPr>
              <w:t>Подготовка программы</w:t>
            </w:r>
          </w:p>
        </w:tc>
        <w:tc>
          <w:tcPr>
            <w:tcW w:w="2125" w:type="dxa"/>
          </w:tcPr>
          <w:p w:rsidR="009C6BDB" w:rsidRPr="005E1C6E" w:rsidRDefault="009C6BDB" w:rsidP="009C3206">
            <w:pPr>
              <w:pStyle w:val="NormalNo"/>
              <w:tabs>
                <w:tab w:val="left" w:pos="386"/>
              </w:tabs>
              <w:ind w:left="103" w:hanging="50"/>
              <w:rPr>
                <w:sz w:val="20"/>
              </w:rPr>
            </w:pPr>
            <w:r w:rsidRPr="005E1C6E">
              <w:rPr>
                <w:sz w:val="20"/>
              </w:rPr>
              <w:t>Коммуникация с бенефициарами и отчётность</w:t>
            </w:r>
          </w:p>
        </w:tc>
        <w:tc>
          <w:tcPr>
            <w:tcW w:w="1892" w:type="dxa"/>
          </w:tcPr>
          <w:p w:rsidR="009C6BDB" w:rsidRPr="005E1C6E" w:rsidRDefault="009C6BDB" w:rsidP="009C3206">
            <w:pPr>
              <w:pStyle w:val="NormalNo"/>
              <w:tabs>
                <w:tab w:val="left" w:pos="381"/>
              </w:tabs>
              <w:ind w:left="103" w:hanging="50"/>
            </w:pPr>
            <w:r w:rsidRPr="005E1C6E">
              <w:rPr>
                <w:sz w:val="20"/>
              </w:rPr>
              <w:t xml:space="preserve">Договоры </w:t>
            </w:r>
            <w:r>
              <w:rPr>
                <w:sz w:val="20"/>
              </w:rPr>
              <w:t>с поставщиками услуг</w:t>
            </w:r>
          </w:p>
        </w:tc>
        <w:tc>
          <w:tcPr>
            <w:tcW w:w="1951" w:type="dxa"/>
          </w:tcPr>
          <w:p w:rsidR="009C6BDB" w:rsidRPr="005E1C6E" w:rsidRDefault="009C6BDB" w:rsidP="009C3206">
            <w:pPr>
              <w:pStyle w:val="NormalNo"/>
              <w:tabs>
                <w:tab w:val="left" w:pos="386"/>
              </w:tabs>
              <w:ind w:left="103" w:hanging="50"/>
            </w:pPr>
            <w:r>
              <w:rPr>
                <w:sz w:val="20"/>
              </w:rPr>
              <w:t>Регистрация и идентификация</w:t>
            </w:r>
          </w:p>
        </w:tc>
        <w:tc>
          <w:tcPr>
            <w:tcW w:w="1923" w:type="dxa"/>
          </w:tcPr>
          <w:p w:rsidR="009C6BDB" w:rsidRPr="005E1C6E" w:rsidRDefault="009C6BDB" w:rsidP="009C3206">
            <w:pPr>
              <w:pStyle w:val="NormalNo"/>
              <w:tabs>
                <w:tab w:val="left" w:pos="386"/>
              </w:tabs>
              <w:ind w:left="103" w:hanging="50"/>
            </w:pPr>
            <w:r w:rsidRPr="005E1C6E">
              <w:rPr>
                <w:sz w:val="20"/>
              </w:rPr>
              <w:t>Раздача и обналичивание</w:t>
            </w:r>
          </w:p>
        </w:tc>
      </w:tr>
      <w:tr w:rsidR="009C6BDB" w:rsidRPr="005E1C6E" w:rsidTr="009C6BDB">
        <w:tc>
          <w:tcPr>
            <w:tcW w:w="1957" w:type="dxa"/>
            <w:shd w:val="clear" w:color="auto" w:fill="auto"/>
          </w:tcPr>
          <w:p w:rsidR="009C6BDB" w:rsidRDefault="009C6BDB" w:rsidP="009C3206">
            <w:pPr>
              <w:jc w:val="left"/>
            </w:pPr>
            <w:r>
              <w:t>.1 Разработать оперативный план ПДП</w:t>
            </w:r>
          </w:p>
          <w:p w:rsidR="009C6BDB" w:rsidRDefault="009C6BDB" w:rsidP="009C3206">
            <w:pPr>
              <w:jc w:val="left"/>
            </w:pPr>
            <w:r>
              <w:t>.2 Внутреннее координирование</w:t>
            </w:r>
          </w:p>
          <w:p w:rsidR="009C6BDB" w:rsidRPr="005E1C6E" w:rsidRDefault="009C6BDB" w:rsidP="009C3206">
            <w:pPr>
              <w:jc w:val="left"/>
            </w:pPr>
            <w:r>
              <w:t>.3 Координирование с другими организациями</w:t>
            </w:r>
          </w:p>
        </w:tc>
        <w:tc>
          <w:tcPr>
            <w:tcW w:w="2125" w:type="dxa"/>
            <w:shd w:val="clear" w:color="auto" w:fill="auto"/>
          </w:tcPr>
          <w:p w:rsidR="009C6BDB" w:rsidRDefault="009C6BDB" w:rsidP="009C3206">
            <w:pPr>
              <w:jc w:val="left"/>
            </w:pPr>
            <w:r w:rsidRPr="005E1C6E">
              <w:t>.1</w:t>
            </w:r>
            <w:r>
              <w:t>Разработать план КБО</w:t>
            </w:r>
          </w:p>
          <w:p w:rsidR="009C6BDB" w:rsidRDefault="009C6BDB" w:rsidP="009C3206">
            <w:pPr>
              <w:jc w:val="left"/>
            </w:pPr>
            <w:r>
              <w:t>.2 Повысить квалификацию персонала</w:t>
            </w:r>
          </w:p>
          <w:p w:rsidR="009C6BDB" w:rsidRDefault="009C6BDB" w:rsidP="009C3206">
            <w:pPr>
              <w:jc w:val="left"/>
            </w:pPr>
            <w:r>
              <w:t>.3 Выбрать каналы и инструменты коммуникации</w:t>
            </w:r>
          </w:p>
          <w:p w:rsidR="009C6BDB" w:rsidRDefault="009C6BDB" w:rsidP="009C3206">
            <w:pPr>
              <w:jc w:val="left"/>
            </w:pPr>
            <w:r>
              <w:t>.4 Разработать послания для целевых аудиторий</w:t>
            </w:r>
          </w:p>
          <w:p w:rsidR="009C6BDB" w:rsidRDefault="009C6BDB" w:rsidP="009C3206">
            <w:pPr>
              <w:jc w:val="left"/>
            </w:pPr>
            <w:r>
              <w:t>.5 Разработать механизм для подачи отзывов и жалоб</w:t>
            </w:r>
          </w:p>
          <w:p w:rsidR="009C6BDB" w:rsidRPr="005E1C6E" w:rsidRDefault="009C6BDB" w:rsidP="009C3206">
            <w:pPr>
              <w:jc w:val="left"/>
            </w:pPr>
            <w:r>
              <w:t>.6 Ревизия и извлечение уроков</w:t>
            </w:r>
          </w:p>
        </w:tc>
        <w:tc>
          <w:tcPr>
            <w:tcW w:w="1892" w:type="dxa"/>
          </w:tcPr>
          <w:p w:rsidR="009C6BDB" w:rsidRDefault="009C6BDB" w:rsidP="009C3206">
            <w:pPr>
              <w:jc w:val="left"/>
            </w:pPr>
            <w:r>
              <w:t>.1 Провести исследование потенциальных поставщиков услуг</w:t>
            </w:r>
          </w:p>
          <w:p w:rsidR="009C6BDB" w:rsidRDefault="009C6BDB" w:rsidP="009C3206">
            <w:pPr>
              <w:jc w:val="left"/>
            </w:pPr>
            <w:r>
              <w:t>.2 Тендеры и выбор поставщиков услуг</w:t>
            </w:r>
          </w:p>
          <w:p w:rsidR="009C6BDB" w:rsidRDefault="009C6BDB" w:rsidP="009C3206">
            <w:pPr>
              <w:jc w:val="left"/>
            </w:pPr>
            <w:r>
              <w:t>.3 Заключение договоров и определение методов работы</w:t>
            </w:r>
          </w:p>
          <w:p w:rsidR="009C6BDB" w:rsidRPr="005E1C6E" w:rsidRDefault="009C6BDB" w:rsidP="009C3206">
            <w:pPr>
              <w:jc w:val="left"/>
            </w:pPr>
            <w:r>
              <w:t>.4 Обработка и защита данных бенефициаров</w:t>
            </w:r>
          </w:p>
        </w:tc>
        <w:tc>
          <w:tcPr>
            <w:tcW w:w="1951" w:type="dxa"/>
          </w:tcPr>
          <w:p w:rsidR="009C6BDB" w:rsidRDefault="009C6BDB" w:rsidP="009C3206">
            <w:pPr>
              <w:jc w:val="left"/>
            </w:pPr>
            <w:r>
              <w:t>.1 Спланировать регистрацию и подготовиться к ней</w:t>
            </w:r>
          </w:p>
          <w:p w:rsidR="009C6BDB" w:rsidRPr="005E1C6E" w:rsidRDefault="009C6BDB" w:rsidP="009C3206">
            <w:pPr>
              <w:jc w:val="left"/>
            </w:pPr>
            <w:r>
              <w:t>.2 Идентификация и проверка</w:t>
            </w:r>
          </w:p>
        </w:tc>
        <w:tc>
          <w:tcPr>
            <w:tcW w:w="1923" w:type="dxa"/>
            <w:shd w:val="clear" w:color="auto" w:fill="B8CCE4" w:themeFill="accent1" w:themeFillTint="66"/>
          </w:tcPr>
          <w:p w:rsidR="009C6BDB" w:rsidRDefault="009C6BDB" w:rsidP="009C3206">
            <w:pPr>
              <w:jc w:val="left"/>
            </w:pPr>
            <w:r>
              <w:t>.1 Обучение и коммуникация</w:t>
            </w:r>
          </w:p>
          <w:p w:rsidR="009C6BDB" w:rsidRDefault="009C6BDB" w:rsidP="009C3206">
            <w:pPr>
              <w:jc w:val="left"/>
            </w:pPr>
            <w:r>
              <w:t>.2 Планирование и осуществление раздач</w:t>
            </w:r>
          </w:p>
          <w:p w:rsidR="009C6BDB" w:rsidRDefault="009C6BDB" w:rsidP="009C3206">
            <w:pPr>
              <w:jc w:val="left"/>
            </w:pPr>
            <w:r>
              <w:t>.3 Планирование обналичивания</w:t>
            </w:r>
          </w:p>
          <w:p w:rsidR="009C6BDB" w:rsidRPr="005E1C6E" w:rsidRDefault="009C6BDB" w:rsidP="009C3206">
            <w:pPr>
              <w:jc w:val="left"/>
            </w:pPr>
            <w:r>
              <w:t>.4 Осуществление обналичивания</w:t>
            </w:r>
          </w:p>
        </w:tc>
      </w:tr>
    </w:tbl>
    <w:p w:rsidR="009C6BDB" w:rsidRPr="009C6BDB" w:rsidRDefault="009C6BDB" w:rsidP="001D2A29">
      <w:pPr>
        <w:pStyle w:val="H1"/>
        <w:ind w:left="-170"/>
        <w:rPr>
          <w:sz w:val="20"/>
          <w:lang w:val="fi-FI"/>
        </w:rPr>
      </w:pPr>
    </w:p>
    <w:p w:rsidR="000219B2" w:rsidRPr="00DA703F" w:rsidRDefault="00D27308" w:rsidP="005255BE">
      <w:pPr>
        <w:pStyle w:val="2"/>
      </w:pPr>
      <w:r>
        <w:t>ВВЕДЕНИЕ</w:t>
      </w:r>
    </w:p>
    <w:p w:rsidR="000219B2" w:rsidRDefault="00D27308" w:rsidP="005255BE">
      <w:r>
        <w:t>Данная дорожная карта поможет вам провести процесс раздачи бенефициарам как не</w:t>
      </w:r>
      <w:r w:rsidR="009C6BDB">
        <w:t>д</w:t>
      </w:r>
      <w:r>
        <w:t>е</w:t>
      </w:r>
      <w:r w:rsidR="009C6BDB">
        <w:t>не</w:t>
      </w:r>
      <w:r>
        <w:t>жной помощи или предметов, относящихся к выбранному механизму выплат (например, SIM-карты, дебетовые карты и т.д.), так и наличных денег. Раздачу наличных денег, выполняется ли она непосредственно агентством или же с помощью поставщиков финансовых услуг, будем называть обналичиванием.</w:t>
      </w:r>
    </w:p>
    <w:p w:rsidR="005D7F72" w:rsidRPr="00EB6B84" w:rsidRDefault="00294635" w:rsidP="005255BE">
      <w:r>
        <w:t xml:space="preserve">Кроме того, в </w:t>
      </w:r>
      <w:r w:rsidR="009C6BDB">
        <w:t xml:space="preserve">этой </w:t>
      </w:r>
      <w:r>
        <w:t xml:space="preserve">дорожной карте выражены предположения о том, какие инструменты </w:t>
      </w:r>
      <w:r w:rsidR="00601ED3">
        <w:t xml:space="preserve">методических материалов по вопросам предоставления наличных денежных средств в условиях ЧС </w:t>
      </w:r>
      <w:r>
        <w:t xml:space="preserve">наиболее полезны для данного </w:t>
      </w:r>
      <w:r w:rsidR="00601ED3">
        <w:t>раздела</w:t>
      </w:r>
      <w:r>
        <w:t xml:space="preserve"> и </w:t>
      </w:r>
      <w:r w:rsidR="00601ED3">
        <w:t>подразделов</w:t>
      </w:r>
      <w:r>
        <w:t xml:space="preserve">. Эти инструменты будет необходимо скорректировать согласно вашим потребностям и условиям.  </w:t>
      </w:r>
    </w:p>
    <w:p w:rsidR="005D7F72" w:rsidRPr="00EB6B84" w:rsidRDefault="005D7F72" w:rsidP="005255BE">
      <w:r>
        <w:t xml:space="preserve">Вы должны всегда стремиться соблюдать минимальные стандарты, перечисленные </w:t>
      </w:r>
      <w:r w:rsidR="00601ED3">
        <w:t>в</w:t>
      </w:r>
      <w:r>
        <w:t xml:space="preserve"> этом </w:t>
      </w:r>
      <w:r w:rsidR="00601ED3">
        <w:t>подразделе</w:t>
      </w:r>
      <w:r>
        <w:t xml:space="preserve">.  Это поможет улучшить качество работы ПДП. </w:t>
      </w:r>
    </w:p>
    <w:p w:rsidR="005D7F72" w:rsidRPr="00EB6B84" w:rsidRDefault="005D7F72" w:rsidP="005255BE">
      <w:r>
        <w:t xml:space="preserve">Вероятно, по мере того как завершаются процессы и информация поступает в каждый </w:t>
      </w:r>
      <w:r w:rsidR="00601ED3">
        <w:t>подраздел</w:t>
      </w:r>
      <w:r>
        <w:t xml:space="preserve">, для принятия решений вам потребуется </w:t>
      </w:r>
      <w:r>
        <w:rPr>
          <w:b/>
        </w:rPr>
        <w:t xml:space="preserve">переходить от одного </w:t>
      </w:r>
      <w:r w:rsidR="00601ED3">
        <w:rPr>
          <w:b/>
        </w:rPr>
        <w:t>подраздела</w:t>
      </w:r>
      <w:r>
        <w:rPr>
          <w:b/>
        </w:rPr>
        <w:t xml:space="preserve"> к другому</w:t>
      </w:r>
      <w:r>
        <w:t>.</w:t>
      </w:r>
    </w:p>
    <w:p w:rsidR="005D7F72" w:rsidRDefault="005D7F72" w:rsidP="005255BE">
      <w:r>
        <w:lastRenderedPageBreak/>
        <w:t xml:space="preserve">Если вам потребуется более детальное руководство в вопросах организации и проведения раздачи и обналичивания, обратитесь к справочным документам, перечисленным в конце данной дорожной карты. </w:t>
      </w:r>
    </w:p>
    <w:p w:rsidR="000219B2" w:rsidRPr="00DA703F" w:rsidRDefault="00D27308" w:rsidP="005255BE">
      <w:pPr>
        <w:pStyle w:val="2"/>
      </w:pPr>
      <w:r>
        <w:t>МИНИМАЛЬНЫЕ СТАНДАРТЫ</w:t>
      </w:r>
    </w:p>
    <w:p w:rsidR="000219B2" w:rsidRDefault="00D27308" w:rsidP="005255BE">
      <w:pPr>
        <w:pStyle w:val="Bullet1"/>
      </w:pPr>
      <w:r>
        <w:t>Сотрудники агентства и поставщика услуг должны быть, в соответствии с уровнем их участия в процессе раздач и обналичивания, проинструктированы, проинформированы о работе программы и/или должны пройти соответствующее обучение.</w:t>
      </w:r>
    </w:p>
    <w:p w:rsidR="00E1009C" w:rsidRPr="00F0631E" w:rsidRDefault="00E1009C" w:rsidP="00E1009C">
      <w:pPr>
        <w:pStyle w:val="Bullet1"/>
      </w:pPr>
      <w:r>
        <w:t>Для неденежных раздач методом по умолчанию и предпочтительным методом должны быть прямые раздачи.</w:t>
      </w:r>
    </w:p>
    <w:p w:rsidR="0047237D" w:rsidRDefault="0047237D" w:rsidP="0047237D">
      <w:pPr>
        <w:pStyle w:val="Bullet1"/>
      </w:pPr>
      <w:r>
        <w:t>Проверьте, что места раздачи безопасны, и что при их использовании бенефициары смогут соблюсти своё достоинство.</w:t>
      </w:r>
    </w:p>
    <w:p w:rsidR="00E1009C" w:rsidRPr="00DA703F" w:rsidRDefault="00E1009C" w:rsidP="00E1009C">
      <w:pPr>
        <w:pStyle w:val="Bullet1"/>
      </w:pPr>
      <w:r>
        <w:t>В течение всего цикла раздачи следует следить за тем, чтобы было предусмотрено всё необходимое для людей с особыми потребностями или требующих особого внимания.</w:t>
      </w:r>
    </w:p>
    <w:p w:rsidR="000219B2" w:rsidRDefault="00D27308" w:rsidP="005255BE">
      <w:pPr>
        <w:pStyle w:val="Bullet1"/>
      </w:pPr>
      <w:r>
        <w:t xml:space="preserve">Убедитесь, что план </w:t>
      </w:r>
      <w:r w:rsidR="009C6BDB">
        <w:t xml:space="preserve">проведения </w:t>
      </w:r>
      <w:r>
        <w:t>обналичивания согласуется с местом расположения и возможностями поставщика услуг.</w:t>
      </w:r>
    </w:p>
    <w:p w:rsidR="0047237D" w:rsidRPr="00DA703F" w:rsidRDefault="0047237D" w:rsidP="005255BE">
      <w:pPr>
        <w:pStyle w:val="Bullet1"/>
      </w:pPr>
      <w:r>
        <w:t>Данные для проведения сверок собираются в течение всего времени работы программы и закрываются при окончании работ, предпочтительно, в течение недели после последней раздачи/обналичивания.</w:t>
      </w:r>
    </w:p>
    <w:p w:rsidR="000219B2" w:rsidRPr="00DA703F" w:rsidRDefault="00601ED3" w:rsidP="005255BE">
      <w:pPr>
        <w:pStyle w:val="2"/>
      </w:pPr>
      <w:r>
        <w:t>ПОДРАЗДЕЛЫ</w:t>
      </w:r>
      <w:r w:rsidR="00D27308">
        <w:t xml:space="preserve"> И ИНСТРУМЕНТЫ</w:t>
      </w:r>
    </w:p>
    <w:p w:rsidR="000219B2" w:rsidRPr="002D2351" w:rsidRDefault="00D27308" w:rsidP="005255BE">
      <w:pPr>
        <w:pStyle w:val="3"/>
      </w:pPr>
      <w:r>
        <w:t>Подготовка и информирование</w:t>
      </w:r>
    </w:p>
    <w:p w:rsidR="000219B2" w:rsidRPr="005255BE" w:rsidRDefault="00D27308" w:rsidP="005255BE">
      <w:r>
        <w:t xml:space="preserve">До начала раздач и обналичивания сотрудники на местах должны получить общую информацию о программе. Особо следует остановиться на мероприятиях, в которых они принимают непосредственное участие, </w:t>
      </w:r>
      <w:r w:rsidR="009C6BDB">
        <w:t>однако,</w:t>
      </w:r>
      <w:r>
        <w:t xml:space="preserve"> они должны быть также способны ответить на вопросы, которые бенефициары задают наиболее часто, или, по крайней мере, должны верно переадресовать вопросы бенефициаров. Среди инструментов этого </w:t>
      </w:r>
      <w:r w:rsidR="00601ED3">
        <w:t>подраздела</w:t>
      </w:r>
      <w:r>
        <w:t xml:space="preserve"> вы найдёте шаблон тренинга для персонала ПДП и бланк вопросника для тренинга ПДП.</w:t>
      </w:r>
    </w:p>
    <w:p w:rsidR="000219B2" w:rsidRPr="005255BE" w:rsidRDefault="00D27308" w:rsidP="005255BE">
      <w:r>
        <w:t xml:space="preserve">Если вы работаете с поставщиком финансовых услуг, персонал поставщика также следует проинструктировать и проинформировать о программе. Учтите, что сотрудники с разными обязанностями будут иметь разные потребности в информации. Как минимум, все сотрудники должны быть проинформированы о принципах и мандате Красного Креста и Красного Полумесяца, целях и охвате программы, ролях и зонах ответственности, системах коммуникации с бенефициарами и отчётности (включая механизм подачи жалоб и реагирования). В инструменты данного </w:t>
      </w:r>
      <w:r w:rsidR="00601ED3">
        <w:t>подраздела</w:t>
      </w:r>
      <w:r>
        <w:t xml:space="preserve"> включён шаблон для обучения поставщика услуг ПДП.</w:t>
      </w:r>
    </w:p>
    <w:p w:rsidR="000219B2" w:rsidRPr="005255BE" w:rsidRDefault="00D27308" w:rsidP="005255BE">
      <w:r>
        <w:t xml:space="preserve">Если размер сети агентов превышает ваши возможности для проведения обучения, может быть полезно направить им письмо о программе и об исключениях, которые могут быть сделаны в отношении определённых бенефициаров. Это позволит агентствам лучше подготовиться, повысит уровень прозрачности программы и упростит проведение мониторинга. Для этой цели в инструменты этого </w:t>
      </w:r>
      <w:r w:rsidR="00601ED3">
        <w:t>подраздела</w:t>
      </w:r>
      <w:r>
        <w:t xml:space="preserve"> включён образец письма к предпринимателю. </w:t>
      </w:r>
    </w:p>
    <w:p w:rsidR="000219B2" w:rsidRPr="002D2351" w:rsidRDefault="00D27308" w:rsidP="005255BE">
      <w:pPr>
        <w:pStyle w:val="3"/>
      </w:pPr>
      <w:r>
        <w:t>Планирование и осуществление раздачи</w:t>
      </w:r>
    </w:p>
    <w:p w:rsidR="008E74D1" w:rsidRDefault="008E74D1" w:rsidP="005255BE">
      <w:r>
        <w:t>Существует три основных типа раздачи:  прямая раздача, являющаяся механизмом, используемым по умолчанию, и предпочтительным; непрям</w:t>
      </w:r>
      <w:r w:rsidR="009C6BDB">
        <w:t>ая</w:t>
      </w:r>
      <w:r>
        <w:t xml:space="preserve"> раздач</w:t>
      </w:r>
      <w:r w:rsidR="009C6BDB">
        <w:t>а</w:t>
      </w:r>
      <w:r>
        <w:t xml:space="preserve"> и пожертвования организациям, которые осуществляются тогда, когда осуществление прямой раздачи невозможно. </w:t>
      </w:r>
    </w:p>
    <w:p w:rsidR="008E74D1" w:rsidRDefault="00D27308" w:rsidP="00D00FA4">
      <w:r>
        <w:t>Следу</w:t>
      </w:r>
      <w:r w:rsidR="009C6BDB">
        <w:t>ет тщательно подходить к вопросу</w:t>
      </w:r>
      <w:r>
        <w:t xml:space="preserve"> выбора и организации мест для раздачи, а сами раздачи следует планировать заранее, </w:t>
      </w:r>
      <w:r w:rsidR="009C6BDB">
        <w:t>при участи</w:t>
      </w:r>
      <w:r>
        <w:t xml:space="preserve"> сообществам</w:t>
      </w:r>
      <w:r w:rsidR="009C6BDB">
        <w:t xml:space="preserve"> и участвующих </w:t>
      </w:r>
      <w:r>
        <w:t>в них третьи</w:t>
      </w:r>
      <w:r w:rsidR="009C6BDB">
        <w:t>х</w:t>
      </w:r>
      <w:r>
        <w:t xml:space="preserve"> сторон (например, партнёр</w:t>
      </w:r>
      <w:r w:rsidR="009C6BDB">
        <w:t>ов</w:t>
      </w:r>
      <w:r>
        <w:t xml:space="preserve"> и поставщик</w:t>
      </w:r>
      <w:r w:rsidR="009C6BDB">
        <w:t>ов</w:t>
      </w:r>
      <w:r>
        <w:t xml:space="preserve"> услуг). Важно, чтобы все участники процесса раздачи, включая местные власти и сообщество, понимали свои роли</w:t>
      </w:r>
      <w:r w:rsidR="002B30AB">
        <w:t>,</w:t>
      </w:r>
      <w:r>
        <w:t xml:space="preserve"> и что от них ожидается. </w:t>
      </w:r>
    </w:p>
    <w:p w:rsidR="008E74D1" w:rsidRDefault="008E74D1" w:rsidP="00D00FA4">
      <w:pPr>
        <w:rPr>
          <w:rFonts w:eastAsia="Times New Roman" w:cs="Arial"/>
        </w:rPr>
      </w:pPr>
      <w:r>
        <w:t xml:space="preserve">Не менее важно уважать достоинство бенефициаров, а также </w:t>
      </w:r>
      <w:r w:rsidR="002B30AB">
        <w:t xml:space="preserve">соблюдать </w:t>
      </w:r>
      <w:bookmarkStart w:id="0" w:name="_GoBack"/>
      <w:bookmarkEnd w:id="0"/>
      <w:r>
        <w:t xml:space="preserve">местные традиции и культурные нормы. В течение всего цикла раздачи следует следить за тем, чтобы было предусмотрено всё необходимое для людей с особыми потребностями или требующих особого </w:t>
      </w:r>
      <w:r>
        <w:lastRenderedPageBreak/>
        <w:t>внимания. Это может относиться к тому, каким образом эти люди получают уведомления, к вопросам их безопасности и транспортировки к месту раздачи и обратно, ко времени ожидания, сложностям при раздаче и т.п.</w:t>
      </w:r>
    </w:p>
    <w:p w:rsidR="00676844" w:rsidRPr="00D00FA4" w:rsidRDefault="00D27308" w:rsidP="00D00FA4">
      <w:pPr>
        <w:spacing w:after="0"/>
        <w:jc w:val="left"/>
        <w:rPr>
          <w:rFonts w:eastAsia="Times New Roman" w:cs="Arial"/>
        </w:rPr>
      </w:pPr>
      <w:r>
        <w:t xml:space="preserve">Среди инструментов этого </w:t>
      </w:r>
      <w:r w:rsidR="00601ED3">
        <w:t>подраздела</w:t>
      </w:r>
      <w:r>
        <w:t xml:space="preserve"> вы найдёте контрольный список для оценки места раздачи, руководство по организации места раздачи, бланк листа раздачи и шаблон плана раздачи. Вы также найдёте бланк заявки для раздачи, который следует использовать для запроса внутристрановой мобилизации неденежных товаров, хранящихся на складах и находящихся в ведении департамента логистики, а также бланк накладной, которая должна выписываться для всех товаров, отправляемых со складов в ответ на заявку.</w:t>
      </w:r>
    </w:p>
    <w:p w:rsidR="000219B2" w:rsidRPr="002D2351" w:rsidRDefault="00D27308" w:rsidP="005255BE">
      <w:pPr>
        <w:pStyle w:val="3"/>
      </w:pPr>
      <w:r>
        <w:t>План обналичивания и мобилизация агентов</w:t>
      </w:r>
    </w:p>
    <w:p w:rsidR="000219B2" w:rsidRPr="00DA703F" w:rsidRDefault="00D27308" w:rsidP="005255BE">
      <w:r>
        <w:t>Поставщики финансовых услуг обычно полагаются на независимых агентов, которые проходят «финишную прямую» цепочки раздачи помощи. Этими агентами могут быть владельцы магазинов, операторы сотовой связи или владельцы любого бизнеса, принимающего платежи и производящего выплаты, которы</w:t>
      </w:r>
      <w:r w:rsidR="004B23A0">
        <w:t>е</w:t>
      </w:r>
      <w:r>
        <w:t xml:space="preserve"> жела</w:t>
      </w:r>
      <w:r w:rsidR="004B23A0">
        <w:t>ю</w:t>
      </w:r>
      <w:r>
        <w:t>т оказывать услуги по обналичиванию в дополнение к своей основной деятельности.</w:t>
      </w:r>
    </w:p>
    <w:p w:rsidR="000219B2" w:rsidRPr="00DA703F" w:rsidRDefault="00D27308" w:rsidP="005255BE">
      <w:r>
        <w:t xml:space="preserve">Вам следует попросить поставщика услуг предоставить список агентов с информацией о месте их расположения и дневном потенциале для обналичивания. Это поможет вам разбить бенефициаров на группы относительно разных мест раздачи. Поставщики услуг должны пояснить используемую методологию для калькуляции. </w:t>
      </w:r>
    </w:p>
    <w:p w:rsidR="000219B2" w:rsidRPr="002E478A" w:rsidRDefault="00D27308" w:rsidP="005255BE">
      <w:pPr>
        <w:rPr>
          <w:color w:val="000000"/>
        </w:rPr>
      </w:pPr>
      <w:r>
        <w:t xml:space="preserve">Среди инструментов этого </w:t>
      </w:r>
      <w:r w:rsidR="00601ED3">
        <w:t>подраздела</w:t>
      </w:r>
      <w:r>
        <w:t xml:space="preserve"> вы найдёте инструмент для определения потенциала для обналичивания, который облегчит задачу поставщику услуг и поможет собрать вместе всю необходимую информацию. Кроме того, вы найдёте инструмент для оценки времени</w:t>
      </w:r>
      <w:r w:rsidR="004B23A0">
        <w:t>, требуемого</w:t>
      </w:r>
      <w:r>
        <w:t xml:space="preserve"> на обналичивание, который позволит вам понять, сколько дней потребуется каждому агенту на выдачу наличных денег приписанным к нему бенефициарам. Это позволит вам заполнить шаблон мобилизационного плана каждого агента с указанием дат тренингов и обналичивания, а также шаблон плана для обналичивания с подробной информацией о числе домохозяйств, общей сумме, подлежащей выдаче, а также </w:t>
      </w:r>
      <w:r w:rsidR="004B23A0">
        <w:t xml:space="preserve">с </w:t>
      </w:r>
      <w:r>
        <w:t>график</w:t>
      </w:r>
      <w:r w:rsidR="004B23A0">
        <w:t>ом</w:t>
      </w:r>
      <w:r>
        <w:t xml:space="preserve"> для каждого посёлка.</w:t>
      </w:r>
      <w:r>
        <w:rPr>
          <w:color w:val="000000"/>
        </w:rPr>
        <w:t xml:space="preserve"> Этот подробный план по проведению обналичивания подходит для широкомасштабных раздач, включающих множество пунктов раздачи и несколько сообществ. Вы можете использовать его для координирования работы с департаментами логистики, финансов, кадров, безопасности, и, по возможности, с местными властями.</w:t>
      </w:r>
    </w:p>
    <w:p w:rsidR="000219B2" w:rsidRPr="002D2351" w:rsidRDefault="00D27308" w:rsidP="005255BE">
      <w:pPr>
        <w:pStyle w:val="3"/>
      </w:pPr>
      <w:r>
        <w:t>Осуществление наличных выплат</w:t>
      </w:r>
    </w:p>
    <w:p w:rsidR="000219B2" w:rsidRDefault="00D27308" w:rsidP="005255BE">
      <w:r>
        <w:t>Процесс выдачи наличных может быть разным в зависимости от механизма раздачи. В идеале вы должны найти подробную внутреннюю инструкцию для проведения обналичивания с помощью разных механизмов раздачи и типов поставщиков услуг в СОП вашего агентства.</w:t>
      </w:r>
    </w:p>
    <w:p w:rsidR="000219B2" w:rsidRPr="005255BE" w:rsidRDefault="00D27308" w:rsidP="005255BE">
      <w:r>
        <w:t xml:space="preserve">В общих чертах, любой процесс обналичивания начинается с платёжного поручения на денежный перевод, который сообщает поставщику финансовых услуг о необходимости раздать денежные средства от лица Красного Креста и Красного Полумесяца и даёт ему полномочия это сделать. Если поставщик услуг ожидает получить из данного документа также информацию о процессе планирования, в платёжное поручение может потребоваться включить информацию о месте выдачи наличных или об агенте. Поставщик финансовых услуг может предоставить свой бланк для платёжного поручения на денежный перевод. В противном случае вы можете внести необходимые изменения в шаблон, представленный среди инструментов этого </w:t>
      </w:r>
      <w:r w:rsidR="00601ED3">
        <w:t>подраздела</w:t>
      </w:r>
      <w:r>
        <w:t xml:space="preserve">. </w:t>
      </w:r>
    </w:p>
    <w:p w:rsidR="000219B2" w:rsidRPr="005255BE" w:rsidRDefault="00D27308" w:rsidP="005255BE">
      <w:r>
        <w:t xml:space="preserve">Вы должны ожидать регулярных отчётов от поставщика услуг, иногда даже ежедневных, в которых будет отражаться ситуация с индивидуальными денежными </w:t>
      </w:r>
      <w:r w:rsidR="004B23A0">
        <w:t>выплатами</w:t>
      </w:r>
      <w:r>
        <w:t xml:space="preserve">. Отчёты должны соответствовать формату, установленному в договоре. Среди инструментов данного </w:t>
      </w:r>
      <w:r w:rsidR="00601ED3">
        <w:t>подраздела</w:t>
      </w:r>
      <w:r>
        <w:t xml:space="preserve"> вы найдёте пример отчёта.</w:t>
      </w:r>
    </w:p>
    <w:p w:rsidR="000219B2" w:rsidRPr="005255BE" w:rsidRDefault="00D27308" w:rsidP="005255BE">
      <w:r>
        <w:t>Где это уместно, особенно, когда агентство раздаёт бенефициарам деньги</w:t>
      </w:r>
      <w:r w:rsidR="004B23A0">
        <w:t>напрямую</w:t>
      </w:r>
      <w:r>
        <w:t xml:space="preserve">, вы можете создавать и распространять также внутренние отчёты о раздаче. В инструменты этого </w:t>
      </w:r>
      <w:r w:rsidR="00601ED3">
        <w:t>подраздела</w:t>
      </w:r>
      <w:r>
        <w:t xml:space="preserve"> включён шаблон отчёта о раздаче. Вы можете воспользоваться им, чтобы быстро получить информацию об объёме розданных денежных средств и о числе обслуженных бенефициаров.</w:t>
      </w:r>
    </w:p>
    <w:p w:rsidR="000219B2" w:rsidRPr="002D2351" w:rsidRDefault="00032F39" w:rsidP="005255BE">
      <w:pPr>
        <w:pStyle w:val="3"/>
      </w:pPr>
      <w:r>
        <w:t>Сверка</w:t>
      </w:r>
    </w:p>
    <w:p w:rsidR="00511D00" w:rsidRDefault="00D27308" w:rsidP="00F0631E">
      <w:r>
        <w:t xml:space="preserve">Проведение сверки обязательно и при оказании неденежной помощи, и для ПДП. Целью сверки является сведение сальдо по книгам и прояснение расхождений. Данные для проведения сверок собираются в течение всего времени работы программы и закрываются при окончании работ, предпочтительно, в течение недели после последней раздачи/обналичивания. Для сведения счетов </w:t>
      </w:r>
      <w:r>
        <w:lastRenderedPageBreak/>
        <w:t xml:space="preserve">все движения отслеживаются систематически индивидуально для каждого события на основе оригиналов документов, которые централизованно хранятся в надёжном архиве в течение 3 лет (в зависимости от местных обычаев). Среди инструментов этого </w:t>
      </w:r>
      <w:r w:rsidR="00601ED3">
        <w:t>подраздела</w:t>
      </w:r>
      <w:r>
        <w:t xml:space="preserve"> есть материалы по планированию сверки, включая руководство по процессу</w:t>
      </w:r>
      <w:r w:rsidR="004B23A0">
        <w:t>,</w:t>
      </w:r>
      <w:r>
        <w:t xml:space="preserve"> а также документы, требуемые в ходе процесса сверки. Инструмент для сверки может использоваться как в неденежной программе, так и в программе с использованием денежных выплат. Бланки для учёта денег и для инвентаризации должны бы</w:t>
      </w:r>
      <w:r w:rsidR="004B23A0">
        <w:t>ть</w:t>
      </w:r>
      <w:r>
        <w:t xml:space="preserve"> распечатаны, заполнены после каждой передачи денег или товаро</w:t>
      </w:r>
      <w:r w:rsidR="004B23A0">
        <w:t>в и сданы в архив. Инструмент «О</w:t>
      </w:r>
      <w:r>
        <w:t>тчёт о процессе сверки» поможет задокументировать процесс сверки для упрощения проведения аудита в будущем и изв</w:t>
      </w:r>
      <w:r w:rsidR="004B23A0">
        <w:t>лечения уроков. В инструменте «О</w:t>
      </w:r>
      <w:r>
        <w:t xml:space="preserve">пределение доверенности и процесса» подробно объясняется, как лицо, получающее пособие от лица бенефициара, должно использовать доверенность. В </w:t>
      </w:r>
      <w:r w:rsidR="004B23A0">
        <w:t>«Доверенности»</w:t>
      </w:r>
      <w:r>
        <w:t xml:space="preserve"> представлен формат документа, который следует заполнить, и который должно использовать данное лицо.</w:t>
      </w:r>
    </w:p>
    <w:p w:rsidR="000219B2" w:rsidRDefault="00511D00" w:rsidP="009C3336">
      <w:pPr>
        <w:spacing w:after="0"/>
      </w:pPr>
      <w:r>
        <w:t>В случае ПДП финансовый департамент должен провести итоговую сверку фондов. Баланс и сверка должны быть выполнены для всех счетов, открытых для обналичивания в ходе программы денежных переводов. Поставщик финансовых услуг должен возвратить все неиспользованные средства и закрыть счёт (счета). Все документы, бумажные и электронные, использованные при обработке и осуществлении денежных переводов, должны храниться в соответствии с правилами хранения документов организации.</w:t>
      </w:r>
    </w:p>
    <w:p w:rsidR="004B23A0" w:rsidRDefault="004B23A0" w:rsidP="009C3336">
      <w:pPr>
        <w:spacing w:after="0"/>
      </w:pPr>
    </w:p>
    <w:p w:rsidR="004B23A0" w:rsidRDefault="004B23A0" w:rsidP="009C3336">
      <w:pPr>
        <w:spacing w:after="0"/>
      </w:pPr>
    </w:p>
    <w:p w:rsidR="004B23A0" w:rsidRDefault="004B23A0" w:rsidP="009C3336">
      <w:pPr>
        <w:spacing w:after="0"/>
      </w:pPr>
    </w:p>
    <w:tbl>
      <w:tblPr>
        <w:tblStyle w:val="TableGray"/>
        <w:tblW w:w="0" w:type="auto"/>
        <w:tblLook w:val="04A0"/>
      </w:tblPr>
      <w:tblGrid>
        <w:gridCol w:w="9848"/>
      </w:tblGrid>
      <w:tr w:rsidR="005255BE" w:rsidRPr="00A449C7" w:rsidTr="005255BE">
        <w:tc>
          <w:tcPr>
            <w:tcW w:w="9848" w:type="dxa"/>
          </w:tcPr>
          <w:p w:rsidR="005255BE" w:rsidRPr="00A449C7" w:rsidRDefault="005255BE" w:rsidP="005255BE">
            <w:pPr>
              <w:pStyle w:val="RefTitre"/>
              <w:keepNext/>
              <w:keepLines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ДОКУМЕНТЫ</w:t>
            </w:r>
          </w:p>
          <w:p w:rsidR="009206CD" w:rsidRDefault="009206CD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>МФОККиКП, Пособие по работе на местах для отрядов реагирования при ЧС / IFRC (2008) Relief ERU field</w:t>
            </w:r>
            <w:r w:rsidR="00601ED3">
              <w:t xml:space="preserve"> </w:t>
            </w:r>
            <w:r>
              <w:t xml:space="preserve">manual. </w:t>
            </w:r>
            <w:hyperlink r:id="rId7" w:history="1">
              <w:r>
                <w:rPr>
                  <w:rStyle w:val="af5"/>
                </w:rPr>
                <w:t>https://www-secure.ifrc.org/DMISII/Pages/03_response/0306_eru/030602_eru_relief/146900_relief%20ERU_EN_LR.pdf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>Электронные переводы в условиях чрезвычайных ситуаций:  руководство для реализации программ / E-transfers</w:t>
            </w:r>
            <w:r w:rsidR="00601ED3">
              <w:t xml:space="preserve"> </w:t>
            </w:r>
            <w:r>
              <w:t>in</w:t>
            </w:r>
            <w:r w:rsidR="00601ED3">
              <w:t xml:space="preserve"> </w:t>
            </w:r>
            <w:r>
              <w:t>emergencies: implementation</w:t>
            </w:r>
            <w:r w:rsidR="00601ED3">
              <w:t xml:space="preserve"> </w:t>
            </w:r>
            <w:r>
              <w:t>support</w:t>
            </w:r>
            <w:r w:rsidR="00601ED3">
              <w:t xml:space="preserve"> </w:t>
            </w:r>
            <w:r>
              <w:t>guidelines( 2013 ) CaLP</w:t>
            </w:r>
            <w:hyperlink r:id="rId8" w:history="1">
              <w:r>
                <w:rPr>
                  <w:rStyle w:val="af5"/>
                </w:rPr>
                <w:t>http://www.cashlearning.org/resources/library/390-e-transfers-in-emergencies-implementation-support-guideline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>Раздача денег: Механизмы перевода денежных средств при ЧС / Cash</w:t>
            </w:r>
            <w:r w:rsidR="00601ED3">
              <w:t xml:space="preserve"> </w:t>
            </w:r>
            <w:r>
              <w:t>Transfer</w:t>
            </w:r>
            <w:r w:rsidR="00601ED3">
              <w:t xml:space="preserve"> </w:t>
            </w:r>
            <w:r>
              <w:t>Mechanisms</w:t>
            </w:r>
            <w:r w:rsidR="00601ED3">
              <w:t xml:space="preserve"> </w:t>
            </w:r>
            <w:r>
              <w:t>in</w:t>
            </w:r>
            <w:r w:rsidR="00601ED3">
              <w:t xml:space="preserve"> </w:t>
            </w:r>
            <w:r>
              <w:t>Emergencies (2010) CaLP</w:t>
            </w:r>
            <w:hyperlink r:id="rId9" w:history="1">
              <w:r>
                <w:rPr>
                  <w:rStyle w:val="af5"/>
                </w:rPr>
                <w:t>http://www.cashlearning.org/resources/library/6-delivering-money-cash-transfer-mechanisms-in-emergencies</w:t>
              </w:r>
            </w:hyperlink>
          </w:p>
          <w:p w:rsidR="005255BE" w:rsidRPr="00293A3E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n-US"/>
              </w:rPr>
            </w:pPr>
            <w:r>
              <w:t>CaLP: электронные платежи в ПДП. Краткий информ</w:t>
            </w:r>
            <w:r w:rsidR="004B23A0">
              <w:t xml:space="preserve">ационный листок / </w:t>
            </w:r>
            <w:r w:rsidR="004B23A0" w:rsidRPr="00A449C7">
              <w:rPr>
                <w:rFonts w:cs="Arial"/>
                <w:szCs w:val="20"/>
              </w:rPr>
              <w:t>CaLP e-payments</w:t>
            </w:r>
            <w:r w:rsidR="00601ED3">
              <w:rPr>
                <w:rFonts w:cs="Arial"/>
                <w:szCs w:val="20"/>
              </w:rPr>
              <w:t xml:space="preserve"> </w:t>
            </w:r>
            <w:r w:rsidR="004B23A0" w:rsidRPr="00A449C7">
              <w:rPr>
                <w:rFonts w:cs="Arial"/>
                <w:szCs w:val="20"/>
              </w:rPr>
              <w:t xml:space="preserve">in CTP. </w:t>
            </w:r>
            <w:r w:rsidR="004B23A0" w:rsidRPr="00293A3E">
              <w:rPr>
                <w:rFonts w:cs="Arial"/>
                <w:szCs w:val="20"/>
                <w:lang w:val="en-US"/>
              </w:rPr>
              <w:t>A quick information sheet.</w:t>
            </w:r>
            <w:r w:rsidRPr="00293A3E">
              <w:rPr>
                <w:lang w:val="en-US"/>
              </w:rPr>
              <w:br/>
            </w:r>
            <w:hyperlink r:id="rId10" w:history="1">
              <w:r w:rsidRPr="00293A3E">
                <w:rPr>
                  <w:rStyle w:val="af5"/>
                  <w:lang w:val="en-US"/>
                </w:rPr>
                <w:t>http://www.cashlearning.org/resources/library/287-e-payments-in-cash-transfer-programming-quick-tool</w:t>
              </w:r>
            </w:hyperlink>
          </w:p>
          <w:p w:rsidR="005255BE" w:rsidRPr="00601ED3" w:rsidRDefault="004B23A0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>Краткое</w:t>
            </w:r>
            <w:r w:rsidR="00601ED3" w:rsidRPr="00601ED3">
              <w:t xml:space="preserve"> </w:t>
            </w:r>
            <w:r>
              <w:t>руководство</w:t>
            </w:r>
            <w:r w:rsidR="00601ED3" w:rsidRPr="00601ED3">
              <w:t xml:space="preserve"> </w:t>
            </w:r>
            <w:r>
              <w:t>по</w:t>
            </w:r>
            <w:r w:rsidR="00601ED3">
              <w:t xml:space="preserve"> </w:t>
            </w:r>
            <w:r>
              <w:t>раздаче</w:t>
            </w:r>
            <w:r w:rsidRPr="00601ED3">
              <w:t xml:space="preserve">: </w:t>
            </w:r>
            <w:r>
              <w:t>чеки</w:t>
            </w:r>
            <w:r w:rsidR="005255BE" w:rsidRPr="00601ED3">
              <w:t xml:space="preserve"> / </w:t>
            </w:r>
            <w:r w:rsidR="005255BE" w:rsidRPr="00293A3E">
              <w:rPr>
                <w:lang w:val="en-US"/>
              </w:rPr>
              <w:t>A</w:t>
            </w:r>
            <w:r w:rsidR="005255BE" w:rsidRPr="00601ED3">
              <w:t xml:space="preserve"> </w:t>
            </w:r>
            <w:r w:rsidR="005255BE" w:rsidRPr="00293A3E">
              <w:rPr>
                <w:lang w:val="en-US"/>
              </w:rPr>
              <w:t>quick</w:t>
            </w:r>
            <w:r w:rsidR="005255BE" w:rsidRPr="00601ED3">
              <w:t xml:space="preserve"> </w:t>
            </w:r>
            <w:r w:rsidR="005255BE" w:rsidRPr="00293A3E">
              <w:rPr>
                <w:lang w:val="en-US"/>
              </w:rPr>
              <w:t>delivery</w:t>
            </w:r>
            <w:r w:rsidR="005255BE" w:rsidRPr="00601ED3">
              <w:t xml:space="preserve"> </w:t>
            </w:r>
            <w:r w:rsidR="005255BE" w:rsidRPr="00293A3E">
              <w:rPr>
                <w:lang w:val="en-US"/>
              </w:rPr>
              <w:t>guide</w:t>
            </w:r>
            <w:r w:rsidR="005255BE" w:rsidRPr="00601ED3">
              <w:t xml:space="preserve">: </w:t>
            </w:r>
            <w:r w:rsidRPr="00293A3E">
              <w:rPr>
                <w:rFonts w:cs="Arial"/>
                <w:szCs w:val="20"/>
                <w:lang w:val="en-US"/>
              </w:rPr>
              <w:t>Cheques</w:t>
            </w:r>
            <w:r w:rsidR="005255BE" w:rsidRPr="00601ED3">
              <w:t xml:space="preserve">(2011) </w:t>
            </w:r>
            <w:r w:rsidR="005255BE" w:rsidRPr="00293A3E">
              <w:rPr>
                <w:lang w:val="en-US"/>
              </w:rPr>
              <w:t>CaLP</w:t>
            </w:r>
            <w:r w:rsidR="005255BE" w:rsidRPr="00601ED3">
              <w:br/>
            </w:r>
            <w:hyperlink r:id="rId11" w:history="1">
              <w:r w:rsidR="005255BE" w:rsidRPr="00293A3E">
                <w:rPr>
                  <w:rStyle w:val="af5"/>
                  <w:lang w:val="en-US"/>
                </w:rPr>
                <w:t>http</w:t>
              </w:r>
              <w:r w:rsidR="005255BE" w:rsidRPr="00601ED3">
                <w:rPr>
                  <w:rStyle w:val="af5"/>
                </w:rPr>
                <w:t>://</w:t>
              </w:r>
              <w:r w:rsidR="005255BE" w:rsidRPr="00293A3E">
                <w:rPr>
                  <w:rStyle w:val="af5"/>
                  <w:lang w:val="en-US"/>
                </w:rPr>
                <w:t>www</w:t>
              </w:r>
              <w:r w:rsidR="005255BE" w:rsidRPr="00601ED3">
                <w:rPr>
                  <w:rStyle w:val="af5"/>
                </w:rPr>
                <w:t>.</w:t>
              </w:r>
              <w:r w:rsidR="005255BE" w:rsidRPr="00293A3E">
                <w:rPr>
                  <w:rStyle w:val="af5"/>
                  <w:lang w:val="en-US"/>
                </w:rPr>
                <w:t>cashlearning</w:t>
              </w:r>
              <w:r w:rsidR="005255BE" w:rsidRPr="00601ED3">
                <w:rPr>
                  <w:rStyle w:val="af5"/>
                </w:rPr>
                <w:t>.</w:t>
              </w:r>
              <w:r w:rsidR="005255BE" w:rsidRPr="00293A3E">
                <w:rPr>
                  <w:rStyle w:val="af5"/>
                  <w:lang w:val="en-US"/>
                </w:rPr>
                <w:t>org</w:t>
              </w:r>
              <w:r w:rsidR="005255BE" w:rsidRPr="00601ED3">
                <w:rPr>
                  <w:rStyle w:val="af5"/>
                </w:rPr>
                <w:t>/</w:t>
              </w:r>
              <w:r w:rsidR="005255BE" w:rsidRPr="00293A3E">
                <w:rPr>
                  <w:rStyle w:val="af5"/>
                  <w:lang w:val="en-US"/>
                </w:rPr>
                <w:t>resources</w:t>
              </w:r>
              <w:r w:rsidR="005255BE" w:rsidRPr="00601ED3">
                <w:rPr>
                  <w:rStyle w:val="af5"/>
                </w:rPr>
                <w:t>/</w:t>
              </w:r>
              <w:r w:rsidR="005255BE" w:rsidRPr="00293A3E">
                <w:rPr>
                  <w:rStyle w:val="af5"/>
                  <w:lang w:val="en-US"/>
                </w:rPr>
                <w:t>library</w:t>
              </w:r>
              <w:r w:rsidR="005255BE" w:rsidRPr="00601ED3">
                <w:rPr>
                  <w:rStyle w:val="af5"/>
                </w:rPr>
                <w:t>/22-</w:t>
              </w:r>
              <w:r w:rsidR="005255BE" w:rsidRPr="00293A3E">
                <w:rPr>
                  <w:rStyle w:val="af5"/>
                  <w:lang w:val="en-US"/>
                </w:rPr>
                <w:t>cheques</w:t>
              </w:r>
              <w:r w:rsidR="005255BE" w:rsidRPr="00601ED3">
                <w:rPr>
                  <w:rStyle w:val="af5"/>
                </w:rPr>
                <w:t>---</w:t>
              </w:r>
              <w:r w:rsidR="005255BE" w:rsidRPr="00293A3E">
                <w:rPr>
                  <w:rStyle w:val="af5"/>
                  <w:lang w:val="en-US"/>
                </w:rPr>
                <w:t>a</w:t>
              </w:r>
              <w:r w:rsidR="005255BE" w:rsidRPr="00601ED3">
                <w:rPr>
                  <w:rStyle w:val="af5"/>
                </w:rPr>
                <w:t>-</w:t>
              </w:r>
              <w:r w:rsidR="005255BE" w:rsidRPr="00293A3E">
                <w:rPr>
                  <w:rStyle w:val="af5"/>
                  <w:lang w:val="en-US"/>
                </w:rPr>
                <w:t>quick</w:t>
              </w:r>
              <w:r w:rsidR="005255BE" w:rsidRPr="00601ED3">
                <w:rPr>
                  <w:rStyle w:val="af5"/>
                </w:rPr>
                <w:t>-</w:t>
              </w:r>
              <w:r w:rsidR="005255BE" w:rsidRPr="00293A3E">
                <w:rPr>
                  <w:rStyle w:val="af5"/>
                  <w:lang w:val="en-US"/>
                </w:rPr>
                <w:t>delivery</w:t>
              </w:r>
              <w:r w:rsidR="005255BE" w:rsidRPr="00601ED3">
                <w:rPr>
                  <w:rStyle w:val="af5"/>
                </w:rPr>
                <w:t>-</w:t>
              </w:r>
              <w:r w:rsidR="005255BE" w:rsidRPr="00293A3E">
                <w:rPr>
                  <w:rStyle w:val="af5"/>
                  <w:lang w:val="en-US"/>
                </w:rPr>
                <w:t>guide</w:t>
              </w:r>
              <w:r w:rsidR="005255BE" w:rsidRPr="00601ED3">
                <w:rPr>
                  <w:rStyle w:val="af5"/>
                </w:rPr>
                <w:t>-</w:t>
              </w:r>
              <w:r w:rsidR="005255BE" w:rsidRPr="00293A3E">
                <w:rPr>
                  <w:rStyle w:val="af5"/>
                  <w:lang w:val="en-US"/>
                </w:rPr>
                <w:t>screen</w:t>
              </w:r>
              <w:r w:rsidR="005255BE" w:rsidRPr="00601ED3">
                <w:rPr>
                  <w:rStyle w:val="af5"/>
                </w:rPr>
                <w:t>-</w:t>
              </w:r>
              <w:r w:rsidR="005255BE" w:rsidRPr="00293A3E">
                <w:rPr>
                  <w:rStyle w:val="af5"/>
                  <w:lang w:val="en-US"/>
                </w:rPr>
                <w:t>version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 xml:space="preserve">Краткое руководство по раздаче: </w:t>
            </w:r>
            <w:r w:rsidR="004B23A0">
              <w:t>карточки</w:t>
            </w:r>
            <w:r>
              <w:t xml:space="preserve"> / A quick</w:t>
            </w:r>
            <w:r w:rsidR="00601ED3">
              <w:t xml:space="preserve"> </w:t>
            </w:r>
            <w:r>
              <w:t>delivery</w:t>
            </w:r>
            <w:r w:rsidR="00601ED3">
              <w:t xml:space="preserve"> </w:t>
            </w:r>
            <w:r>
              <w:t>guide: Cards (2011) CaLP</w:t>
            </w:r>
            <w:r>
              <w:br/>
            </w:r>
            <w:hyperlink r:id="rId12" w:history="1">
              <w:r>
                <w:rPr>
                  <w:rStyle w:val="af5"/>
                </w:rPr>
                <w:t>http://www.cashlearning.org/resources/library/235-delivering-cash-through-cards---a-quick-delivery-guide-booklet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 xml:space="preserve">Краткое руководство по раздаче: </w:t>
            </w:r>
            <w:r w:rsidR="004B23A0">
              <w:t>наличные деньги</w:t>
            </w:r>
            <w:r>
              <w:t xml:space="preserve"> / A quick</w:t>
            </w:r>
            <w:r w:rsidR="00601ED3">
              <w:t xml:space="preserve"> </w:t>
            </w:r>
            <w:r>
              <w:t>delivery</w:t>
            </w:r>
            <w:r w:rsidR="00601ED3">
              <w:t xml:space="preserve"> </w:t>
            </w:r>
            <w:r>
              <w:t>guide: DirectCash (2011) CaLP</w:t>
            </w:r>
            <w:r>
              <w:br/>
            </w:r>
            <w:hyperlink r:id="rId13" w:history="1">
              <w:r>
                <w:rPr>
                  <w:rStyle w:val="af5"/>
                </w:rPr>
                <w:t>http://www.cashlearning.org/resources/library/24-direct-cash---a-quick-delivery-guide-screen-version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 xml:space="preserve">Краткое руководство по раздаче: </w:t>
            </w:r>
            <w:r w:rsidR="004B23A0">
              <w:t xml:space="preserve">ваучеры </w:t>
            </w:r>
            <w:r>
              <w:t>/ A quick</w:t>
            </w:r>
            <w:r w:rsidR="00601ED3">
              <w:t xml:space="preserve"> </w:t>
            </w:r>
            <w:r>
              <w:t>delivery</w:t>
            </w:r>
            <w:r w:rsidR="00601ED3">
              <w:t xml:space="preserve"> </w:t>
            </w:r>
            <w:r>
              <w:t>guide: Vouchers (2011) CaLP</w:t>
            </w:r>
            <w:r>
              <w:br/>
            </w:r>
            <w:hyperlink r:id="rId14" w:history="1">
              <w:r>
                <w:rPr>
                  <w:rStyle w:val="af5"/>
                </w:rPr>
                <w:t>http://www.cashlearning.org/resources/library/25-vouchers---a-quick-delivery-guide-booklet-version</w:t>
              </w:r>
            </w:hyperlink>
          </w:p>
          <w:p w:rsidR="005255BE" w:rsidRPr="00A449C7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</w:rPr>
            </w:pPr>
            <w:r>
              <w:t>Краткое руководство по раздаче: ярмарки ваучеров / A quick</w:t>
            </w:r>
            <w:r w:rsidR="00601ED3">
              <w:t xml:space="preserve"> </w:t>
            </w:r>
            <w:r>
              <w:t>delivery</w:t>
            </w:r>
            <w:r w:rsidR="00601ED3">
              <w:t xml:space="preserve"> </w:t>
            </w:r>
            <w:r>
              <w:t>guide: Voucher</w:t>
            </w:r>
            <w:r w:rsidR="00601ED3">
              <w:t xml:space="preserve"> </w:t>
            </w:r>
            <w:r>
              <w:t>fairs (2011) CaLP</w:t>
            </w:r>
            <w:r>
              <w:br/>
            </w:r>
            <w:hyperlink r:id="rId15" w:history="1">
              <w:r>
                <w:rPr>
                  <w:rStyle w:val="af5"/>
                </w:rPr>
                <w:t>http://www.cashlearning.org/resources/library/217-voucher-fairs-a-quick-delivery-guide-booklet-version</w:t>
              </w:r>
            </w:hyperlink>
          </w:p>
        </w:tc>
      </w:tr>
    </w:tbl>
    <w:p w:rsidR="000219B2" w:rsidRPr="00A449C7" w:rsidRDefault="000219B2" w:rsidP="005255BE">
      <w:pPr>
        <w:rPr>
          <w:rFonts w:cs="Arial"/>
        </w:rPr>
      </w:pPr>
    </w:p>
    <w:sectPr w:rsidR="000219B2" w:rsidRPr="00A449C7" w:rsidSect="005255B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F7" w:rsidRDefault="00FF08F7">
      <w:r>
        <w:separator/>
      </w:r>
    </w:p>
  </w:endnote>
  <w:endnote w:type="continuationSeparator" w:id="1">
    <w:p w:rsidR="00FF08F7" w:rsidRDefault="00F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21" w:rsidRDefault="00C439EF" w:rsidP="000219B2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C352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C6BDB">
      <w:rPr>
        <w:rStyle w:val="af4"/>
        <w:noProof/>
      </w:rPr>
      <w:t>0</w:t>
    </w:r>
    <w:r>
      <w:rPr>
        <w:rStyle w:val="af4"/>
      </w:rPr>
      <w:fldChar w:fldCharType="end"/>
    </w:r>
  </w:p>
  <w:p w:rsidR="005C3521" w:rsidRDefault="005C3521" w:rsidP="009364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21" w:rsidRPr="00B45C74" w:rsidRDefault="00C439EF" w:rsidP="000219B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C352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01ED3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C3521" w:rsidRPr="003A3500" w:rsidRDefault="005C3521" w:rsidP="000219B2">
    <w:pPr>
      <w:pStyle w:val="aa"/>
    </w:pPr>
    <w:r>
      <w:rPr>
        <w:b/>
      </w:rPr>
      <w:t>Модуль 4.</w:t>
    </w:r>
    <w:r>
      <w:t xml:space="preserve"> </w:t>
    </w:r>
    <w:r w:rsidR="00601ED3">
      <w:t>Раздел</w:t>
    </w:r>
    <w:r>
      <w:t xml:space="preserve"> 5. </w:t>
    </w:r>
    <w:r w:rsidR="00C439EF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C439EF" w:rsidRPr="00107E15">
      <w:rPr>
        <w:i/>
      </w:rPr>
      <w:fldChar w:fldCharType="end"/>
    </w:r>
    <w:r w:rsidR="00C439EF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C439EF" w:rsidRPr="00107E15">
      <w:rPr>
        <w:i/>
      </w:rPr>
      <w:fldChar w:fldCharType="end"/>
    </w:r>
    <w:r>
      <w:t>Дорожная карта для раздачи и обналичивания</w:t>
    </w:r>
    <w:r w:rsidR="00C439EF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C439EF" w:rsidRPr="00107E15">
      <w:rPr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21" w:rsidRPr="00B45C74" w:rsidRDefault="00C439EF" w:rsidP="000219B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C352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01ED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C3521" w:rsidRPr="003A3500" w:rsidRDefault="005C3521" w:rsidP="000219B2">
    <w:pPr>
      <w:pStyle w:val="aa"/>
    </w:pPr>
    <w:r>
      <w:rPr>
        <w:b/>
      </w:rPr>
      <w:t>Модуль 4.</w:t>
    </w:r>
    <w:r>
      <w:t xml:space="preserve"> </w:t>
    </w:r>
    <w:r w:rsidR="00601ED3">
      <w:t>Раздел</w:t>
    </w:r>
    <w:r>
      <w:t xml:space="preserve"> 5. </w:t>
    </w:r>
    <w:fldSimple w:instr=" STYLEREF  H1 \t  \* MERGEFORMAT ">
      <w:r w:rsidR="00601ED3" w:rsidRPr="00601ED3">
        <w:rPr>
          <w:bCs/>
          <w:noProof/>
        </w:rPr>
        <w:t>Дорожная карта для раздачи и</w:t>
      </w:r>
      <w:r w:rsidR="00601ED3">
        <w:rPr>
          <w:i/>
          <w:noProof/>
        </w:rPr>
        <w:t xml:space="preserve"> обналичивания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F7" w:rsidRDefault="00FF08F7">
      <w:r>
        <w:separator/>
      </w:r>
    </w:p>
  </w:footnote>
  <w:footnote w:type="continuationSeparator" w:id="1">
    <w:p w:rsidR="00FF08F7" w:rsidRDefault="00F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21" w:rsidRPr="00074036" w:rsidRDefault="005C3521" w:rsidP="000219B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f4"/>
        <w:bCs/>
        <w:szCs w:val="16"/>
      </w:rPr>
      <w:t xml:space="preserve"> I</w:t>
    </w:r>
    <w:r w:rsidR="00601ED3">
      <w:rPr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21" w:rsidRDefault="005C3521" w:rsidP="000219B2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521" w:rsidRDefault="005C3521" w:rsidP="000219B2">
    <w:pPr>
      <w:pStyle w:val="Header1"/>
    </w:pPr>
  </w:p>
  <w:p w:rsidR="005C3521" w:rsidRDefault="005C3521" w:rsidP="000219B2">
    <w:pPr>
      <w:pStyle w:val="a8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521" w:rsidRDefault="005C3521" w:rsidP="000219B2">
    <w:pPr>
      <w:pStyle w:val="a8"/>
      <w:spacing w:line="240" w:lineRule="auto"/>
      <w:rPr>
        <w:b/>
        <w:color w:val="DC281E"/>
        <w:sz w:val="24"/>
        <w:szCs w:val="24"/>
      </w:rPr>
    </w:pPr>
  </w:p>
  <w:p w:rsidR="005C3521" w:rsidRDefault="005C3521" w:rsidP="000219B2">
    <w:pPr>
      <w:pStyle w:val="a8"/>
      <w:spacing w:line="240" w:lineRule="auto"/>
      <w:rPr>
        <w:b/>
        <w:color w:val="DC281E"/>
        <w:sz w:val="24"/>
        <w:szCs w:val="24"/>
      </w:rPr>
    </w:pPr>
  </w:p>
  <w:p w:rsidR="005C3521" w:rsidRPr="000B6130" w:rsidRDefault="00601ED3" w:rsidP="000219B2">
    <w:pPr>
      <w:pStyle w:val="Header1"/>
      <w:rPr>
        <w:color w:val="DC281E"/>
      </w:rPr>
    </w:pPr>
    <w:r>
      <w:rPr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3E0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0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0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FE8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8A6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63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F8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A2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C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0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>
    <w:nsid w:val="447205F4"/>
    <w:multiLevelType w:val="hybridMultilevel"/>
    <w:tmpl w:val="444A4B6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33B1"/>
    <w:multiLevelType w:val="hybridMultilevel"/>
    <w:tmpl w:val="90DA872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F6F51"/>
    <w:multiLevelType w:val="hybridMultilevel"/>
    <w:tmpl w:val="6CC42E1A"/>
    <w:lvl w:ilvl="0" w:tplc="3000D490">
      <w:start w:val="1"/>
      <w:numFmt w:val="bullet"/>
      <w:lvlText w:val=""/>
      <w:lvlJc w:val="left"/>
      <w:pPr>
        <w:ind w:left="4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73677DB1"/>
    <w:multiLevelType w:val="hybridMultilevel"/>
    <w:tmpl w:val="988E04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9E5"/>
    <w:rsid w:val="000049E5"/>
    <w:rsid w:val="000219B2"/>
    <w:rsid w:val="00032F39"/>
    <w:rsid w:val="00041BA3"/>
    <w:rsid w:val="00091AE5"/>
    <w:rsid w:val="000B6130"/>
    <w:rsid w:val="000B6BA1"/>
    <w:rsid w:val="000C0B74"/>
    <w:rsid w:val="000C44A0"/>
    <w:rsid w:val="0010453C"/>
    <w:rsid w:val="001B79A0"/>
    <w:rsid w:val="001D2A29"/>
    <w:rsid w:val="001E6D95"/>
    <w:rsid w:val="001F69D1"/>
    <w:rsid w:val="0024645E"/>
    <w:rsid w:val="00285496"/>
    <w:rsid w:val="0028613A"/>
    <w:rsid w:val="00293A3E"/>
    <w:rsid w:val="00294635"/>
    <w:rsid w:val="002B30AB"/>
    <w:rsid w:val="002F700B"/>
    <w:rsid w:val="003236C8"/>
    <w:rsid w:val="00350E36"/>
    <w:rsid w:val="00391808"/>
    <w:rsid w:val="00395ABF"/>
    <w:rsid w:val="003A4752"/>
    <w:rsid w:val="003C6AF5"/>
    <w:rsid w:val="003D6747"/>
    <w:rsid w:val="003F28E4"/>
    <w:rsid w:val="0041209B"/>
    <w:rsid w:val="00432C28"/>
    <w:rsid w:val="00466836"/>
    <w:rsid w:val="0047237D"/>
    <w:rsid w:val="00491177"/>
    <w:rsid w:val="004B23A0"/>
    <w:rsid w:val="004D09A5"/>
    <w:rsid w:val="004E4588"/>
    <w:rsid w:val="00511D00"/>
    <w:rsid w:val="005255BE"/>
    <w:rsid w:val="005A73DE"/>
    <w:rsid w:val="005C3521"/>
    <w:rsid w:val="005D6300"/>
    <w:rsid w:val="005D7F72"/>
    <w:rsid w:val="005E719C"/>
    <w:rsid w:val="005F7533"/>
    <w:rsid w:val="00601ED3"/>
    <w:rsid w:val="006475BB"/>
    <w:rsid w:val="00676844"/>
    <w:rsid w:val="006E095B"/>
    <w:rsid w:val="00702DD8"/>
    <w:rsid w:val="00736A92"/>
    <w:rsid w:val="00741E19"/>
    <w:rsid w:val="007D71F8"/>
    <w:rsid w:val="007F4D5B"/>
    <w:rsid w:val="00803E06"/>
    <w:rsid w:val="00834A54"/>
    <w:rsid w:val="008D6F66"/>
    <w:rsid w:val="008E74D1"/>
    <w:rsid w:val="008F619E"/>
    <w:rsid w:val="009206CD"/>
    <w:rsid w:val="00926F3A"/>
    <w:rsid w:val="00936457"/>
    <w:rsid w:val="009644B0"/>
    <w:rsid w:val="00972252"/>
    <w:rsid w:val="009C3336"/>
    <w:rsid w:val="009C6BDB"/>
    <w:rsid w:val="00A3569D"/>
    <w:rsid w:val="00A449C7"/>
    <w:rsid w:val="00AE62F8"/>
    <w:rsid w:val="00B60D7D"/>
    <w:rsid w:val="00BA04D7"/>
    <w:rsid w:val="00BB6924"/>
    <w:rsid w:val="00BE4084"/>
    <w:rsid w:val="00BF70E8"/>
    <w:rsid w:val="00C372F1"/>
    <w:rsid w:val="00C439EF"/>
    <w:rsid w:val="00C71234"/>
    <w:rsid w:val="00C90A9B"/>
    <w:rsid w:val="00CF2CB2"/>
    <w:rsid w:val="00CF48B2"/>
    <w:rsid w:val="00D00FA4"/>
    <w:rsid w:val="00D01194"/>
    <w:rsid w:val="00D27308"/>
    <w:rsid w:val="00DA6A8A"/>
    <w:rsid w:val="00DB6B28"/>
    <w:rsid w:val="00DF1D0E"/>
    <w:rsid w:val="00E1009C"/>
    <w:rsid w:val="00E26E3D"/>
    <w:rsid w:val="00ED598E"/>
    <w:rsid w:val="00F00103"/>
    <w:rsid w:val="00F0631E"/>
    <w:rsid w:val="00F8151C"/>
    <w:rsid w:val="00FA5088"/>
    <w:rsid w:val="00FF08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unhideWhenUsed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0"/>
    <w:lsdException w:name="List Number 2" w:unhideWhenUsed="1"/>
    <w:lsdException w:name="List Number 3" w:unhideWhenUsed="1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iPriority="99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5255B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255BE"/>
  </w:style>
  <w:style w:type="paragraph" w:styleId="2">
    <w:name w:val="heading 2"/>
    <w:basedOn w:val="a"/>
    <w:next w:val="a"/>
    <w:link w:val="20"/>
    <w:uiPriority w:val="9"/>
    <w:unhideWhenUsed/>
    <w:qFormat/>
    <w:rsid w:val="005255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255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55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basedOn w:val="a"/>
    <w:link w:val="a6"/>
    <w:uiPriority w:val="99"/>
    <w:unhideWhenUsed/>
    <w:rsid w:val="005255BE"/>
    <w:pPr>
      <w:spacing w:after="0"/>
    </w:pPr>
    <w:rPr>
      <w:sz w:val="16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5255BE"/>
    <w:rPr>
      <w:rFonts w:ascii="Arial" w:eastAsiaTheme="minorEastAsia" w:hAnsi="Arial" w:cs="Times New Roman"/>
      <w:sz w:val="16"/>
      <w:szCs w:val="22"/>
    </w:rPr>
  </w:style>
  <w:style w:type="character" w:styleId="a7">
    <w:name w:val="footnote reference"/>
    <w:basedOn w:val="a0"/>
    <w:uiPriority w:val="99"/>
    <w:unhideWhenUsed/>
    <w:rsid w:val="005255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55BE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5255BE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5255BE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5255BE"/>
    <w:rPr>
      <w:rFonts w:ascii="Arial" w:eastAsiaTheme="minorEastAsia" w:hAnsi="Arial" w:cs="Times New Roman"/>
      <w:sz w:val="16"/>
      <w:szCs w:val="18"/>
    </w:rPr>
  </w:style>
  <w:style w:type="table" w:styleId="ac">
    <w:name w:val="Table Grid"/>
    <w:basedOn w:val="a1"/>
    <w:uiPriority w:val="59"/>
    <w:rsid w:val="005255BE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k">
    <w:name w:val="aak"/>
    <w:basedOn w:val="a0"/>
    <w:rsid w:val="00BA4AA5"/>
  </w:style>
  <w:style w:type="character" w:customStyle="1" w:styleId="apple-converted-space">
    <w:name w:val="apple-converted-space"/>
    <w:basedOn w:val="a0"/>
    <w:rsid w:val="00BA4AA5"/>
  </w:style>
  <w:style w:type="character" w:styleId="ad">
    <w:name w:val="annotation reference"/>
    <w:basedOn w:val="a0"/>
    <w:uiPriority w:val="99"/>
    <w:semiHidden/>
    <w:unhideWhenUsed/>
    <w:rsid w:val="005255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0322"/>
  </w:style>
  <w:style w:type="character" w:customStyle="1" w:styleId="af">
    <w:name w:val="Текст примечания Знак"/>
    <w:basedOn w:val="a0"/>
    <w:link w:val="ae"/>
    <w:uiPriority w:val="99"/>
    <w:semiHidden/>
    <w:rsid w:val="00B20322"/>
    <w:rPr>
      <w:rFonts w:asciiTheme="majorHAnsi" w:hAnsiTheme="majorHAnsi"/>
      <w:sz w:val="20"/>
      <w:szCs w:val="20"/>
      <w:lang w:val="ru-RU"/>
    </w:rPr>
  </w:style>
  <w:style w:type="paragraph" w:styleId="af0">
    <w:name w:val="annotation subject"/>
    <w:basedOn w:val="a"/>
    <w:link w:val="af1"/>
    <w:uiPriority w:val="99"/>
    <w:semiHidden/>
    <w:unhideWhenUsed/>
    <w:rsid w:val="005255BE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5255BE"/>
    <w:rPr>
      <w:rFonts w:ascii="Arial" w:eastAsiaTheme="minorEastAsia" w:hAnsi="Arial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255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5BE"/>
    <w:rPr>
      <w:rFonts w:ascii="Lucida Grande" w:eastAsiaTheme="minorEastAsia" w:hAnsi="Lucida Grande" w:cs="Lucida Grande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5255BE"/>
    <w:rPr>
      <w:rFonts w:ascii="Arial" w:hAnsi="Arial"/>
      <w:sz w:val="20"/>
      <w:szCs w:val="22"/>
    </w:rPr>
  </w:style>
  <w:style w:type="character" w:styleId="af4">
    <w:name w:val="page number"/>
    <w:basedOn w:val="a0"/>
    <w:uiPriority w:val="99"/>
    <w:unhideWhenUsed/>
    <w:rsid w:val="005255BE"/>
    <w:rPr>
      <w:b/>
    </w:rPr>
  </w:style>
  <w:style w:type="character" w:customStyle="1" w:styleId="10">
    <w:name w:val="Заголовок 1 Знак"/>
    <w:basedOn w:val="a0"/>
    <w:link w:val="1"/>
    <w:uiPriority w:val="9"/>
    <w:rsid w:val="005255B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255BE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5255BE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5255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5">
    <w:name w:val="Hyperlink"/>
    <w:basedOn w:val="a0"/>
    <w:uiPriority w:val="99"/>
    <w:unhideWhenUsed/>
    <w:rsid w:val="005255B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unhideWhenUsed/>
    <w:rsid w:val="005255BE"/>
    <w:rPr>
      <w:color w:val="800080" w:themeColor="followedHyperlink"/>
      <w:u w:val="single"/>
    </w:rPr>
  </w:style>
  <w:style w:type="paragraph" w:styleId="af7">
    <w:name w:val="Revision"/>
    <w:hidden/>
    <w:uiPriority w:val="99"/>
    <w:rsid w:val="005255B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255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255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255B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255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255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5255B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255B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255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255BE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5255BE"/>
    <w:pPr>
      <w:numPr>
        <w:numId w:val="9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255BE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255BE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5255BE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255B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255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255BE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unhideWhenUsed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0"/>
    <w:lsdException w:name="List Number 2" w:unhideWhenUsed="1"/>
    <w:lsdException w:name="List Number 3" w:unhideWhenUsed="1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iPriority="99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255B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255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5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5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55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55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5BE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25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55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5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55BE"/>
    <w:rPr>
      <w:rFonts w:ascii="Arial" w:eastAsiaTheme="minorEastAsia" w:hAnsi="Arial" w:cs="Times New Roman"/>
      <w:sz w:val="16"/>
      <w:szCs w:val="18"/>
    </w:rPr>
  </w:style>
  <w:style w:type="table" w:styleId="TableGrid">
    <w:name w:val="Table Grid"/>
    <w:basedOn w:val="TableNormal"/>
    <w:uiPriority w:val="59"/>
    <w:rsid w:val="005255BE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k">
    <w:name w:val="aak"/>
    <w:basedOn w:val="DefaultParagraphFont"/>
    <w:rsid w:val="00BA4AA5"/>
  </w:style>
  <w:style w:type="character" w:customStyle="1" w:styleId="apple-converted-space">
    <w:name w:val="apple-converted-space"/>
    <w:basedOn w:val="DefaultParagraphFont"/>
    <w:rsid w:val="00BA4AA5"/>
  </w:style>
  <w:style w:type="character" w:styleId="CommentReference">
    <w:name w:val="annotation reference"/>
    <w:basedOn w:val="DefaultParagraphFont"/>
    <w:uiPriority w:val="99"/>
    <w:semiHidden/>
    <w:unhideWhenUsed/>
    <w:rsid w:val="005255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22"/>
    <w:rPr>
      <w:rFonts w:asciiTheme="majorHAnsi" w:hAnsiTheme="majorHAnsi"/>
      <w:sz w:val="20"/>
      <w:szCs w:val="20"/>
      <w:lang w:val="ru-RU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255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255BE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BE"/>
    <w:rPr>
      <w:rFonts w:ascii="Lucida Grande" w:eastAsiaTheme="minorEastAsia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55BE"/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unhideWhenUsed/>
    <w:rsid w:val="005255B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255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55BE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5BE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5255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255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5BE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5255B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255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255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255B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255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255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255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255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255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255BE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255BE"/>
    <w:pPr>
      <w:numPr>
        <w:numId w:val="9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255BE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255BE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255BE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255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255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255BE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390-e-transfers-in-emergencies-implementation-support-guideline" TargetMode="External"/><Relationship Id="rId13" Type="http://schemas.openxmlformats.org/officeDocument/2006/relationships/hyperlink" Target="http://www.cashlearning.org/resources/library/24-direct-cash---a-quick-delivery-guide-screen-vers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-secure.ifrc.org/DMISII/Pages/03_response/0306_eru/030602_eru_relief/146900_relief%20ERU_EN_LR.pdf" TargetMode="External"/><Relationship Id="rId12" Type="http://schemas.openxmlformats.org/officeDocument/2006/relationships/hyperlink" Target="http://www.cashlearning.org/resources/library/235-delivering-cash-through-cards---a-quick-delivery-guide-bookl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hlearning.org/resources/library/22-cheques---a-quick-delivery-guide-screen-ver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shlearning.org/resources/library/217-voucher-fairs-a-quick-delivery-guide-booklet-versio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ashlearning.org/resources/library/287-e-payments-in-cash-transfer-programming-quick-too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resources/library/6-delivering-money-cash-transfer-mechanisms-in-emergencies" TargetMode="External"/><Relationship Id="rId14" Type="http://schemas.openxmlformats.org/officeDocument/2006/relationships/hyperlink" Target="http://www.cashlearning.org/resources/library/25-vouchers---a-quick-delivery-guide-booklet-versio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175</TotalTime>
  <Pages>4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User</cp:lastModifiedBy>
  <cp:revision>16</cp:revision>
  <cp:lastPrinted>2015-10-11T22:00:00Z</cp:lastPrinted>
  <dcterms:created xsi:type="dcterms:W3CDTF">2016-08-05T08:49:00Z</dcterms:created>
  <dcterms:modified xsi:type="dcterms:W3CDTF">2017-04-20T15:56:00Z</dcterms:modified>
</cp:coreProperties>
</file>