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615" w:rsidRPr="0015239A" w:rsidRDefault="0062030E" w:rsidP="003C1B36">
      <w:pPr>
        <w:pStyle w:val="H1"/>
        <w:rPr>
          <w:rFonts w:cs="Arial"/>
        </w:rPr>
      </w:pPr>
      <w:r>
        <w:t>Дорожная карта для мониторинга и оценки</w:t>
      </w:r>
    </w:p>
    <w:p w:rsidR="00996780" w:rsidRPr="0015239A" w:rsidRDefault="00996780" w:rsidP="00070FC7">
      <w:pPr>
        <w:rPr>
          <w:rFonts w:cs="Arial"/>
        </w:rPr>
      </w:pPr>
    </w:p>
    <w:p w:rsidR="007D1A58" w:rsidRPr="0015239A" w:rsidRDefault="00F703D5" w:rsidP="00070FC7">
      <w:pPr>
        <w:pStyle w:val="2"/>
        <w:rPr>
          <w:rFonts w:cs="Arial"/>
        </w:rPr>
      </w:pPr>
      <w:r>
        <w:t>ВВЕДЕНИЕ</w:t>
      </w:r>
    </w:p>
    <w:p w:rsidR="00074220" w:rsidRPr="0015239A" w:rsidRDefault="003C0EEB" w:rsidP="00070FC7">
      <w:pPr>
        <w:rPr>
          <w:rFonts w:cs="Arial"/>
        </w:rPr>
      </w:pPr>
      <w:r>
        <w:rPr>
          <w:shd w:val="clear" w:color="auto" w:fill="FFFFFF"/>
        </w:rPr>
        <w:t>Данная дорожная карта представляет собой краткое руководство по использованию модуля, посвящённого мониторингу и оценке.</w:t>
      </w:r>
      <w:r>
        <w:t xml:space="preserve"> На самом деле, мониторинг и оценка начинаются на подготовительной стадии при </w:t>
      </w:r>
      <w:r w:rsidR="001D0089">
        <w:t>разработке</w:t>
      </w:r>
      <w:r>
        <w:t xml:space="preserve"> логической структуры и индикаторов для конкретной операции реагирования. </w:t>
      </w:r>
    </w:p>
    <w:p w:rsidR="00EC484B" w:rsidRPr="0015239A" w:rsidRDefault="001D0089" w:rsidP="00070FC7">
      <w:pPr>
        <w:rPr>
          <w:rFonts w:cs="Arial"/>
        </w:rPr>
      </w:pPr>
      <w:r>
        <w:t>Процесс мониторинга</w:t>
      </w:r>
      <w:r w:rsidR="00EC484B">
        <w:t xml:space="preserve"> включает в себя постоянный сбор и анализ информации о программе с целью отслеживания выполнения планов и проверки соответствия установленным стандартам. </w:t>
      </w:r>
      <w:r>
        <w:t>Мониторинг</w:t>
      </w:r>
      <w:r w:rsidR="00EC484B">
        <w:t xml:space="preserve"> позволяет идентифицировать тенденции и повторяющиеся сценарии, адаптировать стратегии и доносить до сведения общественности решения, касающиеся работы проекта. Мониторинг осуществляется с помощью индикаторов, которые </w:t>
      </w:r>
      <w:r>
        <w:t>показывают</w:t>
      </w:r>
      <w:r w:rsidR="00EC484B">
        <w:t>, в какой степени была достигнута та или иная цель.</w:t>
      </w:r>
    </w:p>
    <w:p w:rsidR="006D3A93" w:rsidRPr="0015239A" w:rsidRDefault="00DB7D5D" w:rsidP="00070FC7">
      <w:pPr>
        <w:rPr>
          <w:rFonts w:cs="Arial"/>
        </w:rPr>
      </w:pPr>
      <w:r>
        <w:t xml:space="preserve">Оценка программы включает в себя систематическую и объективную оценку продолжающейся или законченной операции, её структуры, особенностей </w:t>
      </w:r>
      <w:r w:rsidR="001D0089">
        <w:t>проведения</w:t>
      </w:r>
      <w:r>
        <w:t xml:space="preserve"> и результатов. Цель состоит в том, чтобы определить актуальность и степень достижения целей, качество разработки, эффективность, степень воздействия и устойчивость. Информация, полученная в ходе оценки, долж</w:t>
      </w:r>
      <w:r w:rsidR="001D0089">
        <w:t>на</w:t>
      </w:r>
      <w:r>
        <w:t xml:space="preserve"> быть достоверной и полезной, с её помощью получатели услуг и доноры должны иметь возможность использовать извлечённые уроки при принятии решений</w:t>
      </w:r>
      <w:r w:rsidR="001D0089">
        <w:t xml:space="preserve"> в будущем</w:t>
      </w:r>
      <w:r w:rsidRPr="0015239A">
        <w:rPr>
          <w:rStyle w:val="af6"/>
          <w:rFonts w:eastAsia="Times New Roman" w:cs="Arial"/>
        </w:rPr>
        <w:footnoteReference w:id="2"/>
      </w:r>
      <w:r>
        <w:t xml:space="preserve">. </w:t>
      </w:r>
    </w:p>
    <w:p w:rsidR="00527882" w:rsidRPr="0015239A" w:rsidRDefault="00527882" w:rsidP="00070FC7">
      <w:pPr>
        <w:rPr>
          <w:rFonts w:cs="Arial"/>
        </w:rPr>
      </w:pPr>
      <w:r>
        <w:rPr>
          <w:shd w:val="clear" w:color="auto" w:fill="FFFFFF"/>
        </w:rPr>
        <w:t xml:space="preserve">В данном наборе инструментов процесс мониторинга и оценки был разбит на </w:t>
      </w:r>
      <w:r w:rsidR="00984267">
        <w:rPr>
          <w:shd w:val="clear" w:color="auto" w:fill="FFFFFF"/>
        </w:rPr>
        <w:t>разделы</w:t>
      </w:r>
      <w:r>
        <w:rPr>
          <w:shd w:val="clear" w:color="auto" w:fill="FFFFFF"/>
        </w:rPr>
        <w:t xml:space="preserve"> и </w:t>
      </w:r>
      <w:r w:rsidR="00984267">
        <w:rPr>
          <w:shd w:val="clear" w:color="auto" w:fill="FFFFFF"/>
        </w:rPr>
        <w:t>подразделы</w:t>
      </w:r>
      <w:r>
        <w:rPr>
          <w:shd w:val="clear" w:color="auto" w:fill="FFFFFF"/>
        </w:rPr>
        <w:t xml:space="preserve">. Каждый </w:t>
      </w:r>
      <w:r w:rsidR="00984267">
        <w:rPr>
          <w:shd w:val="clear" w:color="auto" w:fill="FFFFFF"/>
        </w:rPr>
        <w:t xml:space="preserve">подраздел </w:t>
      </w:r>
      <w:r>
        <w:t>связан с инструментами, выбранными благодаря тому, что их можно адаптировать, и разные организации могут использовать их в различных условиях.</w:t>
      </w:r>
      <w:r w:rsidR="001D0089">
        <w:t xml:space="preserve">  При внесении изменений в документы соответственно</w:t>
      </w:r>
      <w:r>
        <w:t xml:space="preserve"> вашему контексту и вашим потребностям вы можете </w:t>
      </w:r>
      <w:r w:rsidR="001D0089">
        <w:t>воспользоваться подробным</w:t>
      </w:r>
      <w:r>
        <w:t xml:space="preserve"> руководство</w:t>
      </w:r>
      <w:r w:rsidR="001D0089">
        <w:t>м</w:t>
      </w:r>
      <w:r>
        <w:t xml:space="preserve"> по вопросам мониторинга и оценки в справочных документах, предлагаемых на уровне модулей и на уровне </w:t>
      </w:r>
      <w:r w:rsidR="00984267">
        <w:t>разделов</w:t>
      </w:r>
      <w:r>
        <w:t xml:space="preserve">. </w:t>
      </w:r>
    </w:p>
    <w:p w:rsidR="00527882" w:rsidRPr="0015239A" w:rsidRDefault="00984267" w:rsidP="00070FC7">
      <w:pPr>
        <w:rPr>
          <w:rFonts w:cs="Arial"/>
          <w:shd w:val="clear" w:color="auto" w:fill="FFFFFF"/>
        </w:rPr>
      </w:pPr>
      <w:r>
        <w:t>Разделы</w:t>
      </w:r>
      <w:r w:rsidR="00527882">
        <w:t xml:space="preserve"> и </w:t>
      </w:r>
      <w:r>
        <w:t>подразделы</w:t>
      </w:r>
      <w:r w:rsidR="00527882">
        <w:t xml:space="preserve"> являются ориентировочными и не обязательно должны идти в заявленном порядке. МиО следует адаптировать согласно масштабу программы.</w:t>
      </w:r>
      <w:r>
        <w:t xml:space="preserve">  </w:t>
      </w:r>
      <w:r w:rsidR="00527882">
        <w:t xml:space="preserve">Иногда вам может потребоваться пропустить некоторые из предлагаемых </w:t>
      </w:r>
      <w:r>
        <w:t>разделов</w:t>
      </w:r>
      <w:r w:rsidR="00527882">
        <w:t xml:space="preserve"> или </w:t>
      </w:r>
      <w:r>
        <w:t>подразделов</w:t>
      </w:r>
      <w:r w:rsidR="00527882">
        <w:t xml:space="preserve"> ввиду недостатка времени и ресурсов, что часто бывает в условиях ЧС. В любом случае вам следует по крайней мере соблюсти минимальные стандарты, установленные для модуля мониторинга и оценки. Вы также найдёте минимальные стандарты, установленные для каждого </w:t>
      </w:r>
      <w:r>
        <w:t>раздела</w:t>
      </w:r>
      <w:r w:rsidR="00527882">
        <w:t>.  Они помогут вам решить, на чём сосредоточить своё внимание.</w:t>
      </w:r>
    </w:p>
    <w:p w:rsidR="001B79C9" w:rsidRPr="0015239A" w:rsidRDefault="00333EA9" w:rsidP="00070FC7">
      <w:pPr>
        <w:pStyle w:val="2"/>
        <w:rPr>
          <w:rFonts w:cs="Arial"/>
        </w:rPr>
      </w:pPr>
      <w:r>
        <w:t>МИНИМАЛЬНЫЕ СТАНДАРТЫ</w:t>
      </w:r>
    </w:p>
    <w:p w:rsidR="008C3307" w:rsidRPr="0015239A" w:rsidRDefault="00523E87" w:rsidP="00070FC7">
      <w:pPr>
        <w:pStyle w:val="Bullet1"/>
        <w:rPr>
          <w:rFonts w:cs="Arial"/>
        </w:rPr>
      </w:pPr>
      <w:r>
        <w:t>Мониторинг и оценку следует запланировать в подготовительной фазе.</w:t>
      </w:r>
    </w:p>
    <w:p w:rsidR="008C3307" w:rsidRPr="0015239A" w:rsidRDefault="00603A41" w:rsidP="00070FC7">
      <w:pPr>
        <w:pStyle w:val="Bullet1"/>
        <w:rPr>
          <w:rFonts w:cs="Arial"/>
        </w:rPr>
      </w:pPr>
      <w:r>
        <w:t>Мониторинг и оценка должны проводиться на основе индикаторов, определённых в логической структуре.</w:t>
      </w:r>
    </w:p>
    <w:p w:rsidR="009B241C" w:rsidRPr="0015239A" w:rsidRDefault="00FF4B3A" w:rsidP="00070FC7">
      <w:pPr>
        <w:pStyle w:val="Bullet1"/>
        <w:rPr>
          <w:rFonts w:cs="Arial"/>
        </w:rPr>
      </w:pPr>
      <w:r>
        <w:t>Число индикаторов должно быть ограничено, они должны быть сфокусированы на про</w:t>
      </w:r>
      <w:r w:rsidR="00A7719E">
        <w:t>ц</w:t>
      </w:r>
      <w:r>
        <w:t xml:space="preserve">ессах, результатах, итогах и рынках. </w:t>
      </w:r>
    </w:p>
    <w:p w:rsidR="00FF4B3A" w:rsidRPr="0015239A" w:rsidRDefault="00FF4B3A" w:rsidP="00070FC7">
      <w:pPr>
        <w:pStyle w:val="Bullet1"/>
        <w:rPr>
          <w:rFonts w:cs="Arial"/>
        </w:rPr>
      </w:pPr>
      <w:r>
        <w:lastRenderedPageBreak/>
        <w:t>В случае многоцелевых денежных пособий (ПЦП) индикаторы должны быть достаточно широкими, чтобы захватить вторичное воздействие.</w:t>
      </w:r>
    </w:p>
    <w:p w:rsidR="00853516" w:rsidRPr="0015239A" w:rsidRDefault="004F256F" w:rsidP="00070FC7">
      <w:pPr>
        <w:pStyle w:val="Bullet1"/>
        <w:rPr>
          <w:rFonts w:cs="Arial"/>
        </w:rPr>
      </w:pPr>
      <w:r>
        <w:t>Убедитесь, что сотрудники, осуществляющие мониторинг, прошли подготовку, и инструменты были протестированы.</w:t>
      </w:r>
    </w:p>
    <w:p w:rsidR="003C0EEB" w:rsidRPr="0015239A" w:rsidRDefault="008C3307" w:rsidP="00070FC7">
      <w:pPr>
        <w:pStyle w:val="Bullet1"/>
        <w:rPr>
          <w:rFonts w:cs="Arial"/>
        </w:rPr>
      </w:pPr>
      <w:r>
        <w:t>Соберите исходные данные до или</w:t>
      </w:r>
      <w:r w:rsidR="00A7719E">
        <w:t>в крайнем случае</w:t>
      </w:r>
      <w:r>
        <w:t xml:space="preserve"> во время первого раунда выплаты денег.</w:t>
      </w:r>
    </w:p>
    <w:p w:rsidR="003C0EEB" w:rsidRPr="0015239A" w:rsidRDefault="0011766A" w:rsidP="00070FC7">
      <w:pPr>
        <w:pStyle w:val="Bullet1"/>
        <w:rPr>
          <w:rFonts w:cs="Arial"/>
        </w:rPr>
      </w:pPr>
      <w:r>
        <w:t>Обеспечьте хотя бы в какой-то степени прямой мониторинг со стороны команды КККП, даже если выплата денег производится с помощью третьей стороны.</w:t>
      </w:r>
    </w:p>
    <w:p w:rsidR="00853516" w:rsidRPr="0015239A" w:rsidRDefault="004F256F" w:rsidP="00070FC7">
      <w:pPr>
        <w:pStyle w:val="Bullet1"/>
        <w:rPr>
          <w:rFonts w:cs="Arial"/>
        </w:rPr>
      </w:pPr>
      <w:r>
        <w:t>Объедините количественные и качественные данные, полученные из разных источников, чтобы сделать кросс-проверку.</w:t>
      </w:r>
    </w:p>
    <w:p w:rsidR="00FC22ED" w:rsidRPr="0015239A" w:rsidRDefault="00FC22ED" w:rsidP="00070FC7">
      <w:pPr>
        <w:pStyle w:val="Bullet1"/>
        <w:rPr>
          <w:rFonts w:cs="Arial"/>
        </w:rPr>
      </w:pPr>
      <w:r>
        <w:t>Мониторинг рынка необходимо проводить для всех типов операций по оказанию помощи, будь то неденежная помощь, денежная или ваучеры.</w:t>
      </w:r>
    </w:p>
    <w:p w:rsidR="008617E9" w:rsidRPr="0015239A" w:rsidRDefault="0011766A" w:rsidP="00070FC7">
      <w:pPr>
        <w:pStyle w:val="Bullet1"/>
        <w:rPr>
          <w:rFonts w:cs="Arial"/>
        </w:rPr>
      </w:pPr>
      <w:r>
        <w:t xml:space="preserve">В течение всего программного цикла ведите мониторинг цен, привлекая специалистов из департаментов финансов и логистики. </w:t>
      </w:r>
    </w:p>
    <w:p w:rsidR="00853516" w:rsidRPr="0015239A" w:rsidRDefault="004F256F" w:rsidP="00070FC7">
      <w:pPr>
        <w:pStyle w:val="Bullet1"/>
        <w:rPr>
          <w:rFonts w:cs="Arial"/>
        </w:rPr>
      </w:pPr>
      <w:r>
        <w:t>Убедитесь, что у вас есть план действий на случай непредвиденных обстоятельств, чтобы в программу можно было внести изменения, если цены достигнут пороговых значений, выше которых эффективность системы выплат будет поставлена под угрозу.</w:t>
      </w:r>
    </w:p>
    <w:p w:rsidR="003C0EEB" w:rsidRPr="0015239A" w:rsidRDefault="00865D5F" w:rsidP="00070FC7">
      <w:pPr>
        <w:pStyle w:val="Bullet1"/>
        <w:rPr>
          <w:rFonts w:cs="Arial"/>
        </w:rPr>
      </w:pPr>
      <w:r>
        <w:t>Убедитесь, что программа включает компонент оценки.</w:t>
      </w:r>
    </w:p>
    <w:p w:rsidR="003C0EEB" w:rsidRPr="0015239A" w:rsidRDefault="004F256F" w:rsidP="00070FC7">
      <w:pPr>
        <w:pStyle w:val="Bullet1"/>
        <w:rPr>
          <w:rFonts w:cs="Arial"/>
        </w:rPr>
      </w:pPr>
      <w:r>
        <w:t>Привлекайте к контролю и мониторингу сообщества и местное правительство.</w:t>
      </w:r>
    </w:p>
    <w:p w:rsidR="00D528AB" w:rsidRPr="0015239A" w:rsidRDefault="00984267" w:rsidP="00070FC7">
      <w:pPr>
        <w:pStyle w:val="2"/>
        <w:rPr>
          <w:rFonts w:cs="Arial"/>
        </w:rPr>
      </w:pPr>
      <w:r>
        <w:t>РАЗДЕЛЫ</w:t>
      </w:r>
      <w:r w:rsidR="00996780">
        <w:t xml:space="preserve"> И </w:t>
      </w:r>
      <w:r>
        <w:t>ПОДРАЗДЕЛЫ</w:t>
      </w:r>
    </w:p>
    <w:p w:rsidR="004E5BB5" w:rsidRPr="0015239A" w:rsidRDefault="004E5BB5" w:rsidP="00070FC7">
      <w:pPr>
        <w:rPr>
          <w:rFonts w:cs="Arial"/>
        </w:rPr>
      </w:pPr>
      <w:r>
        <w:t xml:space="preserve">В </w:t>
      </w:r>
      <w:r w:rsidR="00984267">
        <w:t>методических материалах по вопросам предоставления наличных денежных средств в условиях ЧС</w:t>
      </w:r>
      <w:r>
        <w:t xml:space="preserve"> предлагается четыре </w:t>
      </w:r>
      <w:r w:rsidR="00984267">
        <w:t>раздела для</w:t>
      </w:r>
      <w:r>
        <w:t xml:space="preserve"> мониторинга и оценки программы. </w:t>
      </w:r>
      <w:r w:rsidR="00984267">
        <w:t>Методические материалы по вопросам предоставления наличных денежных средств в условиях ЧС представляют</w:t>
      </w:r>
      <w:r>
        <w:t xml:space="preserve"> собой ресурсы, которые могут помочь вам: </w:t>
      </w:r>
    </w:p>
    <w:p w:rsidR="00C71BB7" w:rsidRPr="0015239A" w:rsidRDefault="00C71BB7" w:rsidP="00070FC7">
      <w:pPr>
        <w:rPr>
          <w:rFonts w:cs="Arial"/>
        </w:rPr>
      </w:pPr>
      <w:r>
        <w:rPr>
          <w:b/>
        </w:rPr>
        <w:t xml:space="preserve">Спланировать мониторинг и оценку программы. </w:t>
      </w:r>
      <w:r>
        <w:t xml:space="preserve">Этот процесс включает в себя разработку комплексной стратегии МиО (включая детальный план работ и матрицу МиО с индикаторами и средствами проверки), а также повышение квалификации добровольцев и персонала. </w:t>
      </w:r>
      <w:r w:rsidR="00A7719E">
        <w:t>Эффективная</w:t>
      </w:r>
      <w:r>
        <w:t xml:space="preserve"> система мониторинга должна включать в себя ограниченное число индикаторов и должна фокусироваться на процессах, результатах (были ли розданы/обналичены средства и как), итогах (ощутили ли бенефициары повышение покупатель</w:t>
      </w:r>
      <w:r w:rsidR="00A7719E">
        <w:t>н</w:t>
      </w:r>
      <w:r>
        <w:t>ой способности и как) и рынках.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9848"/>
      </w:tblGrid>
      <w:tr w:rsidR="004A56FA" w:rsidRPr="0015239A" w:rsidTr="00FF4B3A">
        <w:tc>
          <w:tcPr>
            <w:tcW w:w="9848" w:type="dxa"/>
            <w:shd w:val="clear" w:color="auto" w:fill="D9D9D9" w:themeFill="background1" w:themeFillShade="D9"/>
          </w:tcPr>
          <w:p w:rsidR="004A56FA" w:rsidRPr="0015239A" w:rsidRDefault="00FF4B3A" w:rsidP="00FF4B3A">
            <w:pPr>
              <w:spacing w:before="120"/>
              <w:rPr>
                <w:rFonts w:cs="Arial"/>
              </w:rPr>
            </w:pPr>
            <w:r>
              <w:t xml:space="preserve">В случае многоцелевых денежных пособий (МЦП), которые позволяют бенефициарам более гибко использовать денежные средства, важно установить широкую систему мониторинга, чтобы также захватить вторичное воздействие (например, изменения в доступности образования, здравоохранения и т.п.) </w:t>
            </w:r>
          </w:p>
        </w:tc>
      </w:tr>
    </w:tbl>
    <w:p w:rsidR="00044DE7" w:rsidRPr="0015239A" w:rsidRDefault="00C71BB7" w:rsidP="009B241C">
      <w:pPr>
        <w:spacing w:before="120"/>
        <w:rPr>
          <w:rFonts w:cs="Arial"/>
        </w:rPr>
      </w:pPr>
      <w:r>
        <w:rPr>
          <w:b/>
        </w:rPr>
        <w:t xml:space="preserve">Мониторинг программы. </w:t>
      </w:r>
      <w:r>
        <w:t xml:space="preserve">Этот процесс начинается со сбора исходных данных, которые должны соответствовать индикаторам, установленным в логической схеме и в матрице МиО. Исходные данные можно собрать непосредственно перед началом или во время первого раунда раздач (денежной, ваучерной или неденежной). Мониторинг обналичивания или раздачи позволит получить информацию о том, как был проведён процесс, свревременно ли бенефициары получили правильную сумму денежных средств/ваучеры либо товары надлежащего качества в </w:t>
      </w:r>
      <w:r w:rsidR="00A7719E">
        <w:t>соответствующем</w:t>
      </w:r>
      <w:r>
        <w:t xml:space="preserve"> количестве. Одна из основных целей мониторинга после раздачи (МПР) - проверить, использовали ли бенефициары причитающиеся им выплаты, и каким образом. Следовательно, мониторинг следует запланировать таким образом, чтобы у бенефициаров было достаточно времени потратить деньги или воспользоваться полученными товарами. МПР может также помочь своевременно уловить сигналы о негативном эффекте программы и разобраться с возникающими жалобами.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9848"/>
      </w:tblGrid>
      <w:tr w:rsidR="00FF4B3A" w:rsidRPr="0015239A" w:rsidTr="009B241C">
        <w:tc>
          <w:tcPr>
            <w:tcW w:w="9848" w:type="dxa"/>
            <w:shd w:val="clear" w:color="auto" w:fill="D9D9D9" w:themeFill="background1" w:themeFillShade="D9"/>
          </w:tcPr>
          <w:p w:rsidR="00FF4B3A" w:rsidRPr="0015239A" w:rsidRDefault="00F6641B" w:rsidP="009B220B">
            <w:pPr>
              <w:spacing w:before="120"/>
              <w:rPr>
                <w:rFonts w:cs="Arial"/>
              </w:rPr>
            </w:pPr>
            <w:r>
              <w:t>Мониторинг программы может быть полезным инструментом для выявления рисков в отношении безопасности бенефициаров, возникающих в результате их участия в программе.</w:t>
            </w:r>
          </w:p>
        </w:tc>
      </w:tr>
    </w:tbl>
    <w:p w:rsidR="0006711A" w:rsidRPr="0015239A" w:rsidRDefault="000F4CA2" w:rsidP="009B241C">
      <w:pPr>
        <w:spacing w:before="120"/>
        <w:rPr>
          <w:rFonts w:cs="Arial"/>
        </w:rPr>
      </w:pPr>
      <w:r>
        <w:rPr>
          <w:b/>
        </w:rPr>
        <w:t xml:space="preserve">Мониторинг рынка. </w:t>
      </w:r>
      <w:r>
        <w:t xml:space="preserve">Мониторинг рынка необходимо проводить для всех типов операций по оказанию помощи. Важно следить за тем, изменилась ли покупательная способность, и может ли рынок предоставить товары, необходимые бенефициарам. Кроме того, важно предвидеть изменения в </w:t>
      </w:r>
      <w:r>
        <w:lastRenderedPageBreak/>
        <w:t xml:space="preserve">поведении рынка, чтобы соответствующим образом скорректировать программу до того, как будут затронуты бенефициары. </w:t>
      </w:r>
    </w:p>
    <w:p w:rsidR="00044DE7" w:rsidRPr="0015239A" w:rsidRDefault="00CE1055" w:rsidP="009B241C">
      <w:pPr>
        <w:spacing w:before="120"/>
        <w:rPr>
          <w:rFonts w:cs="Arial"/>
        </w:rPr>
      </w:pPr>
      <w:r>
        <w:t xml:space="preserve">В случае программ денежных </w:t>
      </w:r>
      <w:r w:rsidR="00912A83">
        <w:t>переводов</w:t>
      </w:r>
      <w:r>
        <w:t xml:space="preserve"> мониторинг рынка, в особенности, мониторинг цен и торговцев, должен проводиться более регулярно, так как денежные переводы могут влиять на рынки и сами подвергаться их влиянию, а также оказывать многостороннее воздействие на местную экономику. Мониторинг цен может помочь понять, достигает ли проект ожидаемых целей без причинения вреда. Мониторинг торговцев может помочь обнаружить проблемы с поставками, а также выявить потенциальное воздействие программы на рынок. Когда изменения цен влияют на полагающиеся бенефициарам денежные выплаты, следует решить, принимать ли ответные меры и какие. Потенциал организации относительно реагирования на изменения цен будет зависеть от наличия плана действий в непредвиденных обстоятельствах и бюджета.</w:t>
      </w:r>
    </w:p>
    <w:p w:rsidR="0078678C" w:rsidRPr="0015239A" w:rsidRDefault="000F4CA2" w:rsidP="00070FC7">
      <w:pPr>
        <w:spacing w:after="360"/>
        <w:rPr>
          <w:rFonts w:cs="Arial"/>
        </w:rPr>
      </w:pPr>
      <w:r>
        <w:rPr>
          <w:b/>
        </w:rPr>
        <w:t>Оценка программы.</w:t>
      </w:r>
      <w:r>
        <w:t xml:space="preserve"> Оценка может проводиться на разных стадиях программы и может помочь понять, достигнуты ли ожидаемые результаты, итоги и цели, с тем, чтобы использовать полученные знания в будущем. Процесс оценки начинается с формулирования критериев и вопросов, которые помогут разработать удобную систему оценки. Оценка программ денежных переводов может также включать в себя анализ многостороннего воздействия на местную экономику. В идеале, оценка будет проводиться независимой стороной, поэтому в ТЗ должны быть чётко определены цель и охват оценки, представлено подробное руководство по проведению оценки, объяснено, какие результаты ожидаются, и кому о них следует доложить. Отчёты об оценке являются инструментами, с помощью которых можно сообщить о результатах и с пользой использовать эти результаты в дальнейшем.</w:t>
      </w:r>
    </w:p>
    <w:tbl>
      <w:tblPr>
        <w:tblStyle w:val="TableGray"/>
        <w:tblW w:w="0" w:type="auto"/>
        <w:tblLook w:val="04A0"/>
      </w:tblPr>
      <w:tblGrid>
        <w:gridCol w:w="9848"/>
      </w:tblGrid>
      <w:tr w:rsidR="00070FC7" w:rsidRPr="00070FC7" w:rsidTr="00070FC7">
        <w:tc>
          <w:tcPr>
            <w:tcW w:w="9848" w:type="dxa"/>
          </w:tcPr>
          <w:p w:rsidR="00070FC7" w:rsidRPr="0015239A" w:rsidRDefault="00070FC7" w:rsidP="00070FC7">
            <w:pPr>
              <w:pStyle w:val="RefTitre"/>
              <w:rPr>
                <w:rFonts w:cs="Arial"/>
              </w:rPr>
            </w:pPr>
            <w:r>
              <w:t>СПРАВОЧНЫ</w:t>
            </w:r>
            <w:r w:rsidR="00912A83">
              <w:t>Е</w:t>
            </w:r>
            <w:r>
              <w:t xml:space="preserve"> ДОКУМЕНТ</w:t>
            </w:r>
            <w:r w:rsidR="00912A83">
              <w:t>Ы</w:t>
            </w:r>
          </w:p>
          <w:p w:rsidR="00070FC7" w:rsidRPr="007A709D" w:rsidRDefault="00070FC7" w:rsidP="00070FC7">
            <w:pPr>
              <w:pStyle w:val="RefItem1"/>
              <w:rPr>
                <w:rStyle w:val="af2"/>
                <w:rFonts w:cs="Arial"/>
                <w:shd w:val="clear" w:color="auto" w:fill="D9D9D9"/>
                <w:lang w:val="en-US"/>
              </w:rPr>
            </w:pPr>
            <w:r>
              <w:rPr>
                <w:shd w:val="clear" w:color="auto" w:fill="D9D9D9"/>
              </w:rPr>
              <w:t>Мониторинг и оценка. Серия выпусков об уроках, извлечённых из оказания денежной помощи пострадавшим от цунами. Выпуск</w:t>
            </w:r>
            <w:r w:rsidRPr="007A709D">
              <w:rPr>
                <w:shd w:val="clear" w:color="auto" w:fill="D9D9D9"/>
                <w:lang w:val="en-US"/>
              </w:rPr>
              <w:t xml:space="preserve"> 6. </w:t>
            </w:r>
            <w:r w:rsidR="007A709D" w:rsidRPr="007A709D">
              <w:rPr>
                <w:shd w:val="clear" w:color="auto" w:fill="D9D9D9"/>
                <w:lang w:val="en-US"/>
              </w:rPr>
              <w:t xml:space="preserve">/ </w:t>
            </w:r>
            <w:r w:rsidR="007A709D" w:rsidRPr="007A709D">
              <w:rPr>
                <w:rFonts w:cs="Arial"/>
                <w:shd w:val="clear" w:color="auto" w:fill="D9D9D9"/>
                <w:lang w:val="en-US"/>
              </w:rPr>
              <w:t xml:space="preserve">Monitoring and Evaluation. Series on learning from cash responses to the tsunami. Issue paper 6. </w:t>
            </w:r>
            <w:r w:rsidR="007A709D" w:rsidRPr="0015239A">
              <w:rPr>
                <w:rFonts w:cs="Arial"/>
                <w:shd w:val="clear" w:color="auto" w:fill="D9D9D9"/>
                <w:lang w:val="en-CA"/>
              </w:rPr>
              <w:t xml:space="preserve">HPG, ODI </w:t>
            </w:r>
            <w:r w:rsidRPr="007A709D">
              <w:rPr>
                <w:shd w:val="clear" w:color="auto" w:fill="D9D9D9"/>
                <w:lang w:val="en-US"/>
              </w:rPr>
              <w:br/>
            </w:r>
            <w:hyperlink r:id="rId7" w:history="1">
              <w:r w:rsidRPr="007A709D">
                <w:rPr>
                  <w:rStyle w:val="af2"/>
                  <w:shd w:val="clear" w:color="auto" w:fill="D9D9D9"/>
                  <w:lang w:val="en-US"/>
                </w:rPr>
                <w:t>http://www.odi.org/sites/odi.org.uk/files/odi-assets/publications-opinion-files/4893.pdf</w:t>
              </w:r>
            </w:hyperlink>
          </w:p>
          <w:p w:rsidR="00587B76" w:rsidRPr="0015239A" w:rsidRDefault="00587B76" w:rsidP="00587B76">
            <w:pPr>
              <w:jc w:val="left"/>
              <w:rPr>
                <w:color w:val="548DD4" w:themeColor="text2" w:themeTint="99"/>
                <w:u w:val="single"/>
              </w:rPr>
            </w:pPr>
            <w:r>
              <w:t>УВКБООН</w:t>
            </w:r>
            <w:r w:rsidRPr="00984267">
              <w:rPr>
                <w:lang w:val="en-US"/>
              </w:rPr>
              <w:t xml:space="preserve"> (2015) </w:t>
            </w:r>
            <w:r>
              <w:rPr>
                <w:i/>
              </w:rPr>
              <w:t>Оперативное</w:t>
            </w:r>
            <w:r w:rsidRPr="00984267"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руководство</w:t>
            </w:r>
            <w:r w:rsidRPr="00984267"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и</w:t>
            </w:r>
            <w:r w:rsidRPr="00984267"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набор</w:t>
            </w:r>
            <w:r w:rsidRPr="00984267"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инструментов</w:t>
            </w:r>
            <w:r w:rsidRPr="00984267"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для</w:t>
            </w:r>
            <w:r w:rsidRPr="00984267"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многоцелевых</w:t>
            </w:r>
            <w:r w:rsidRPr="00984267"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денежных</w:t>
            </w:r>
            <w:r w:rsidRPr="00984267"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пособий</w:t>
            </w:r>
            <w:r w:rsidRPr="00984267">
              <w:rPr>
                <w:i/>
                <w:lang w:val="en-US"/>
              </w:rPr>
              <w:t xml:space="preserve"> / OperationalGuidanceandToolkitforMultipurposeCashGrants</w:t>
            </w:r>
            <w:r w:rsidRPr="00984267">
              <w:rPr>
                <w:lang w:val="en-US"/>
              </w:rPr>
              <w:t xml:space="preserve">. </w:t>
            </w:r>
            <w:hyperlink r:id="rId8" w:history="1">
              <w:r>
                <w:rPr>
                  <w:rStyle w:val="af2"/>
                  <w:rFonts w:asciiTheme="majorHAnsi" w:hAnsiTheme="majorHAnsi"/>
                  <w:sz w:val="22"/>
                </w:rPr>
                <w:t>http://www.cashlearning.org/mpg-toolkit/</w:t>
              </w:r>
            </w:hyperlink>
          </w:p>
          <w:p w:rsidR="00587B76" w:rsidRPr="0015239A" w:rsidRDefault="00587B76" w:rsidP="00587B76">
            <w:pPr>
              <w:jc w:val="left"/>
            </w:pPr>
            <w:r>
              <w:t xml:space="preserve">ECHO (2015) </w:t>
            </w:r>
            <w:r>
              <w:rPr>
                <w:i/>
              </w:rPr>
              <w:t>Общие принципы оказания помощи с использованием многоцелевых денежных пособий</w:t>
            </w:r>
            <w:r>
              <w:t xml:space="preserve"> / </w:t>
            </w:r>
            <w:r>
              <w:rPr>
                <w:i/>
              </w:rPr>
              <w:t>CommonPrinciplesforMulti-PurposeCash-BasedAssistance</w:t>
            </w:r>
            <w:r>
              <w:t xml:space="preserve">. </w:t>
            </w:r>
          </w:p>
          <w:p w:rsidR="00587B76" w:rsidRPr="0015239A" w:rsidRDefault="003C1A48" w:rsidP="00587B76">
            <w:pPr>
              <w:jc w:val="left"/>
            </w:pPr>
            <w:hyperlink r:id="rId9" w:history="1">
              <w:r w:rsidR="00587B76">
                <w:rPr>
                  <w:rStyle w:val="af2"/>
                  <w:rFonts w:asciiTheme="majorHAnsi" w:hAnsiTheme="majorHAnsi"/>
                  <w:sz w:val="22"/>
                </w:rPr>
                <w:t>http://ec.europa.eu/echo/files/policies/sectoral/concept_paper_common_top_line_principles_en.pdf</w:t>
              </w:r>
            </w:hyperlink>
          </w:p>
          <w:p w:rsidR="00587B76" w:rsidRPr="0015239A" w:rsidRDefault="00587B76" w:rsidP="00587B76">
            <w:pPr>
              <w:jc w:val="left"/>
            </w:pPr>
            <w:r>
              <w:t xml:space="preserve">МККК (2016) </w:t>
            </w:r>
            <w:r>
              <w:rPr>
                <w:i/>
              </w:rPr>
              <w:t xml:space="preserve">Краткое руководство </w:t>
            </w:r>
            <w:bookmarkStart w:id="0" w:name="_GoBack"/>
            <w:bookmarkEnd w:id="0"/>
            <w:r w:rsidR="007A709D">
              <w:rPr>
                <w:i/>
              </w:rPr>
              <w:t xml:space="preserve">ECOSEC </w:t>
            </w:r>
            <w:r>
              <w:rPr>
                <w:i/>
              </w:rPr>
              <w:t>по использованию многоцелевых денежных пособий/ECOSEC ExecutiveBriefonMulti-PurposeCashGrants</w:t>
            </w:r>
            <w:r>
              <w:t>.</w:t>
            </w:r>
          </w:p>
          <w:p w:rsidR="00587B76" w:rsidRPr="005145BC" w:rsidRDefault="00DB7D5D" w:rsidP="005145BC">
            <w:pPr>
              <w:rPr>
                <w:rFonts w:eastAsia="Times New Roman" w:cs="Arial"/>
              </w:rPr>
            </w:pPr>
            <w:r>
              <w:t>МФОККиКП (2011) Руководство по мониторингу и оценке проектов/программ  /  Project/programmemonitoringandevaluation (M&amp;E) guide</w:t>
            </w:r>
          </w:p>
        </w:tc>
      </w:tr>
    </w:tbl>
    <w:p w:rsidR="00D16AA1" w:rsidRPr="001D0089" w:rsidRDefault="00D16AA1" w:rsidP="00070FC7">
      <w:pPr>
        <w:rPr>
          <w:rFonts w:cs="Arial"/>
        </w:rPr>
      </w:pPr>
    </w:p>
    <w:sectPr w:rsidR="00D16AA1" w:rsidRPr="001D0089" w:rsidSect="00070FC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708" w:footer="708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5D5" w:rsidRDefault="003D05D5" w:rsidP="00752615">
      <w:pPr>
        <w:spacing w:after="0"/>
      </w:pPr>
      <w:r>
        <w:separator/>
      </w:r>
    </w:p>
  </w:endnote>
  <w:endnote w:type="continuationSeparator" w:id="1">
    <w:p w:rsidR="003D05D5" w:rsidRDefault="003D05D5" w:rsidP="0075261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"/>
    <w:charset w:val="00"/>
    <w:family w:val="auto"/>
    <w:pitch w:val="variable"/>
    <w:sig w:usb0="00000003" w:usb1="00000000" w:usb2="00000000" w:usb3="00000000" w:csb0="00000001" w:csb1="00000000"/>
  </w:font>
  <w:font w:name="Caecilia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11A" w:rsidRDefault="003C1A48" w:rsidP="00752615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06711A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D0089">
      <w:rPr>
        <w:rStyle w:val="af"/>
        <w:noProof/>
      </w:rPr>
      <w:t>1</w:t>
    </w:r>
    <w:r>
      <w:rPr>
        <w:rStyle w:val="af"/>
      </w:rPr>
      <w:fldChar w:fldCharType="end"/>
    </w:r>
  </w:p>
  <w:p w:rsidR="0006711A" w:rsidRDefault="0006711A" w:rsidP="00752615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11A" w:rsidRPr="00B45C74" w:rsidRDefault="003C1A48" w:rsidP="0009256F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="0006711A"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984267">
      <w:rPr>
        <w:b/>
        <w:noProof/>
        <w:color w:val="808080" w:themeColor="background1" w:themeShade="80"/>
        <w:sz w:val="18"/>
        <w:szCs w:val="18"/>
      </w:rPr>
      <w:t>2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06711A" w:rsidRPr="003A3500" w:rsidRDefault="0006711A" w:rsidP="0009256F">
    <w:pPr>
      <w:pStyle w:val="ad"/>
    </w:pPr>
    <w:r>
      <w:rPr>
        <w:b/>
      </w:rPr>
      <w:t>Модуль 5.</w:t>
    </w:r>
    <w:r>
      <w:t xml:space="preserve"> Этап 1. Дорожная карта для мониторинга и оценки ПДП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11A" w:rsidRPr="00B45C74" w:rsidRDefault="003C1A48" w:rsidP="0009256F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="0006711A"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984267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06711A" w:rsidRPr="00070FC7" w:rsidRDefault="0006711A" w:rsidP="0009256F">
    <w:pPr>
      <w:pStyle w:val="ad"/>
    </w:pPr>
    <w:r>
      <w:rPr>
        <w:b/>
      </w:rPr>
      <w:t>Модуль 5.</w:t>
    </w:r>
    <w:r w:rsidR="00984267">
      <w:rPr>
        <w:b/>
      </w:rPr>
      <w:t xml:space="preserve">  </w:t>
    </w:r>
    <w:fldSimple w:instr=" STYLEREF  H1 \t  \* MERGEFORMAT ">
      <w:r w:rsidR="00984267" w:rsidRPr="00984267">
        <w:rPr>
          <w:bCs/>
          <w:noProof/>
        </w:rPr>
        <w:t>Дорожная карта для мониторинга и</w:t>
      </w:r>
      <w:r w:rsidR="00984267">
        <w:rPr>
          <w:noProof/>
        </w:rPr>
        <w:t xml:space="preserve"> оценки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5D5" w:rsidRDefault="003D05D5" w:rsidP="00752615">
      <w:pPr>
        <w:spacing w:after="0"/>
      </w:pPr>
      <w:r>
        <w:separator/>
      </w:r>
    </w:p>
  </w:footnote>
  <w:footnote w:type="continuationSeparator" w:id="1">
    <w:p w:rsidR="003D05D5" w:rsidRDefault="003D05D5" w:rsidP="00752615">
      <w:pPr>
        <w:spacing w:after="0"/>
      </w:pPr>
      <w:r>
        <w:continuationSeparator/>
      </w:r>
    </w:p>
  </w:footnote>
  <w:footnote w:id="2">
    <w:p w:rsidR="0006711A" w:rsidRPr="005145BC" w:rsidRDefault="0006711A" w:rsidP="005145BC">
      <w:pPr>
        <w:rPr>
          <w:rFonts w:eastAsia="Times New Roman" w:cs="Arial"/>
          <w:sz w:val="16"/>
          <w:szCs w:val="16"/>
        </w:rPr>
      </w:pPr>
      <w:r>
        <w:rPr>
          <w:rStyle w:val="af6"/>
          <w:rFonts w:cs="Arial"/>
          <w:sz w:val="16"/>
          <w:szCs w:val="16"/>
        </w:rPr>
        <w:footnoteRef/>
      </w:r>
      <w:r>
        <w:rPr>
          <w:sz w:val="16"/>
          <w:szCs w:val="16"/>
        </w:rPr>
        <w:t>МФОККиКП (2011) Руководство по мониторингу и оценке проектов/программ  /  IFRC (2011) Project/programme</w:t>
      </w:r>
      <w:r w:rsidR="00984267">
        <w:rPr>
          <w:sz w:val="16"/>
          <w:szCs w:val="16"/>
        </w:rPr>
        <w:t xml:space="preserve"> </w:t>
      </w:r>
      <w:r>
        <w:rPr>
          <w:sz w:val="16"/>
          <w:szCs w:val="16"/>
        </w:rPr>
        <w:t>monitoring</w:t>
      </w:r>
      <w:r w:rsidR="00984267">
        <w:rPr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 w:rsidR="00984267">
        <w:rPr>
          <w:sz w:val="16"/>
          <w:szCs w:val="16"/>
        </w:rPr>
        <w:t xml:space="preserve"> </w:t>
      </w:r>
      <w:r>
        <w:rPr>
          <w:sz w:val="16"/>
          <w:szCs w:val="16"/>
        </w:rPr>
        <w:t>evaluation (M&amp;E) guide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11A" w:rsidRPr="00074036" w:rsidRDefault="0006711A" w:rsidP="0009256F">
    <w:pPr>
      <w:pStyle w:val="af0"/>
      <w:rPr>
        <w:szCs w:val="16"/>
      </w:rPr>
    </w:pPr>
    <w:r>
      <w:rPr>
        <w:rStyle w:val="Pantone485"/>
      </w:rPr>
      <w:t>Международное движение Красного Креста и Красного Полумесяца</w:t>
    </w:r>
    <w:r w:rsidR="00984267">
      <w:rPr>
        <w:rStyle w:val="Pantone485"/>
      </w:rPr>
      <w:t xml:space="preserve"> </w:t>
    </w:r>
    <w:r>
      <w:rPr>
        <w:rStyle w:val="af"/>
        <w:bCs/>
        <w:szCs w:val="16"/>
      </w:rPr>
      <w:t>I</w:t>
    </w:r>
    <w:r w:rsidR="00984267">
      <w:rPr>
        <w:rStyle w:val="af"/>
        <w:bCs/>
        <w:szCs w:val="16"/>
      </w:rPr>
      <w:t xml:space="preserve"> </w:t>
    </w:r>
    <w:r w:rsidR="00984267">
      <w:rPr>
        <w:szCs w:val="16"/>
      </w:rPr>
      <w:t>Методические материалы по вопросам предоставления наличных денежных средств в условиях ЧС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11A" w:rsidRDefault="0006711A" w:rsidP="0009256F">
    <w:pPr>
      <w:pStyle w:val="Header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1080135</wp:posOffset>
          </wp:positionH>
          <wp:positionV relativeFrom="page">
            <wp:posOffset>377825</wp:posOffset>
          </wp:positionV>
          <wp:extent cx="633730" cy="719512"/>
          <wp:effectExtent l="0" t="0" r="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RC_logo_EN-1met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730" cy="7195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6711A" w:rsidRDefault="0006711A" w:rsidP="0009256F">
    <w:pPr>
      <w:pStyle w:val="Header1"/>
    </w:pPr>
  </w:p>
  <w:p w:rsidR="0006711A" w:rsidRDefault="0006711A" w:rsidP="0009256F">
    <w:pPr>
      <w:pStyle w:val="af0"/>
      <w:rPr>
        <w:color w:val="DC281E"/>
        <w:sz w:val="2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3366135</wp:posOffset>
          </wp:positionH>
          <wp:positionV relativeFrom="page">
            <wp:posOffset>784225</wp:posOffset>
          </wp:positionV>
          <wp:extent cx="3200400" cy="299867"/>
          <wp:effectExtent l="0" t="0" r="0" b="508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RC_logo_EN-1metr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2998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6711A" w:rsidRDefault="0006711A" w:rsidP="0009256F">
    <w:pPr>
      <w:pStyle w:val="af0"/>
      <w:spacing w:line="240" w:lineRule="auto"/>
      <w:rPr>
        <w:b/>
        <w:color w:val="DC281E"/>
        <w:sz w:val="24"/>
        <w:szCs w:val="24"/>
      </w:rPr>
    </w:pPr>
  </w:p>
  <w:p w:rsidR="0006711A" w:rsidRDefault="0006711A" w:rsidP="0009256F">
    <w:pPr>
      <w:pStyle w:val="af0"/>
      <w:spacing w:line="240" w:lineRule="auto"/>
      <w:rPr>
        <w:b/>
        <w:color w:val="DC281E"/>
        <w:sz w:val="24"/>
        <w:szCs w:val="24"/>
      </w:rPr>
    </w:pPr>
  </w:p>
  <w:p w:rsidR="0006711A" w:rsidRPr="00070FC7" w:rsidRDefault="00984267" w:rsidP="0009256F">
    <w:pPr>
      <w:pStyle w:val="Header1"/>
      <w:rPr>
        <w:color w:val="DC281E"/>
      </w:rPr>
    </w:pPr>
    <w:r>
      <w:rPr>
        <w:color w:val="DC281E"/>
      </w:rPr>
      <w:t>Методические материалы по вопросам предоставления наличных денежных средств в условиях ЧС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837E4"/>
    <w:multiLevelType w:val="hybridMultilevel"/>
    <w:tmpl w:val="B5B091F0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40825"/>
    <w:multiLevelType w:val="hybridMultilevel"/>
    <w:tmpl w:val="857691E8"/>
    <w:lvl w:ilvl="0" w:tplc="3000D490">
      <w:start w:val="1"/>
      <w:numFmt w:val="bullet"/>
      <w:lvlText w:val=""/>
      <w:lvlJc w:val="left"/>
      <w:pPr>
        <w:ind w:left="10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10302652"/>
    <w:multiLevelType w:val="hybridMultilevel"/>
    <w:tmpl w:val="9CF4AF48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33090"/>
    <w:multiLevelType w:val="hybridMultilevel"/>
    <w:tmpl w:val="62DA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143CF"/>
    <w:multiLevelType w:val="hybridMultilevel"/>
    <w:tmpl w:val="2A8A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77B14"/>
    <w:multiLevelType w:val="hybridMultilevel"/>
    <w:tmpl w:val="F06CEA2E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2202E"/>
    <w:multiLevelType w:val="hybridMultilevel"/>
    <w:tmpl w:val="9F087486"/>
    <w:lvl w:ilvl="0" w:tplc="FFCE2EEA">
      <w:start w:val="1"/>
      <w:numFmt w:val="bullet"/>
      <w:lvlText w:val=""/>
      <w:lvlJc w:val="left"/>
      <w:pPr>
        <w:ind w:left="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9">
    <w:nsid w:val="19DA6745"/>
    <w:multiLevelType w:val="hybridMultilevel"/>
    <w:tmpl w:val="1AE29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5A1BEB"/>
    <w:multiLevelType w:val="hybridMultilevel"/>
    <w:tmpl w:val="5BE6E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1530CB"/>
    <w:multiLevelType w:val="hybridMultilevel"/>
    <w:tmpl w:val="4EEC0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C6641"/>
    <w:multiLevelType w:val="hybridMultilevel"/>
    <w:tmpl w:val="1BB68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FC7C1F"/>
    <w:multiLevelType w:val="hybridMultilevel"/>
    <w:tmpl w:val="0414D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C0427F"/>
    <w:multiLevelType w:val="hybridMultilevel"/>
    <w:tmpl w:val="9878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EB4B7B"/>
    <w:multiLevelType w:val="hybridMultilevel"/>
    <w:tmpl w:val="07CEC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75357B"/>
    <w:multiLevelType w:val="hybridMultilevel"/>
    <w:tmpl w:val="C110226E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4705B4"/>
    <w:multiLevelType w:val="hybridMultilevel"/>
    <w:tmpl w:val="FD6251F6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6B6D97"/>
    <w:multiLevelType w:val="hybridMultilevel"/>
    <w:tmpl w:val="28B29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A017A4"/>
    <w:multiLevelType w:val="hybridMultilevel"/>
    <w:tmpl w:val="5D34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2F0082"/>
    <w:multiLevelType w:val="hybridMultilevel"/>
    <w:tmpl w:val="36F0F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613D32"/>
    <w:multiLevelType w:val="hybridMultilevel"/>
    <w:tmpl w:val="BF78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715D68"/>
    <w:multiLevelType w:val="hybridMultilevel"/>
    <w:tmpl w:val="3B021BC8"/>
    <w:lvl w:ilvl="0" w:tplc="1AE64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4B62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78CB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85CE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DCCD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80A7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1C6B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5F48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2E84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4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AF0C6D"/>
    <w:multiLevelType w:val="hybridMultilevel"/>
    <w:tmpl w:val="A74A58C6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683092"/>
    <w:multiLevelType w:val="hybridMultilevel"/>
    <w:tmpl w:val="2964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BB65D5"/>
    <w:multiLevelType w:val="hybridMultilevel"/>
    <w:tmpl w:val="F1D89208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DB7CBF"/>
    <w:multiLevelType w:val="hybridMultilevel"/>
    <w:tmpl w:val="1714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114D40"/>
    <w:multiLevelType w:val="hybridMultilevel"/>
    <w:tmpl w:val="9DCAC830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630977"/>
    <w:multiLevelType w:val="hybridMultilevel"/>
    <w:tmpl w:val="7B12D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4"/>
  </w:num>
  <w:num w:numId="4">
    <w:abstractNumId w:val="14"/>
  </w:num>
  <w:num w:numId="5">
    <w:abstractNumId w:val="30"/>
  </w:num>
  <w:num w:numId="6">
    <w:abstractNumId w:val="13"/>
  </w:num>
  <w:num w:numId="7">
    <w:abstractNumId w:val="19"/>
  </w:num>
  <w:num w:numId="8">
    <w:abstractNumId w:val="9"/>
  </w:num>
  <w:num w:numId="9">
    <w:abstractNumId w:val="32"/>
  </w:num>
  <w:num w:numId="10">
    <w:abstractNumId w:val="22"/>
  </w:num>
  <w:num w:numId="11">
    <w:abstractNumId w:val="23"/>
  </w:num>
  <w:num w:numId="12">
    <w:abstractNumId w:val="27"/>
  </w:num>
  <w:num w:numId="13">
    <w:abstractNumId w:val="29"/>
  </w:num>
  <w:num w:numId="14">
    <w:abstractNumId w:val="6"/>
  </w:num>
  <w:num w:numId="15">
    <w:abstractNumId w:val="28"/>
  </w:num>
  <w:num w:numId="16">
    <w:abstractNumId w:val="3"/>
  </w:num>
  <w:num w:numId="17">
    <w:abstractNumId w:val="1"/>
  </w:num>
  <w:num w:numId="18">
    <w:abstractNumId w:val="31"/>
  </w:num>
  <w:num w:numId="19">
    <w:abstractNumId w:val="18"/>
  </w:num>
  <w:num w:numId="20">
    <w:abstractNumId w:val="10"/>
  </w:num>
  <w:num w:numId="21">
    <w:abstractNumId w:val="5"/>
  </w:num>
  <w:num w:numId="22">
    <w:abstractNumId w:val="11"/>
  </w:num>
  <w:num w:numId="23">
    <w:abstractNumId w:val="15"/>
  </w:num>
  <w:num w:numId="24">
    <w:abstractNumId w:val="7"/>
  </w:num>
  <w:num w:numId="25">
    <w:abstractNumId w:val="16"/>
  </w:num>
  <w:num w:numId="26">
    <w:abstractNumId w:val="17"/>
  </w:num>
  <w:num w:numId="27">
    <w:abstractNumId w:val="8"/>
  </w:num>
  <w:num w:numId="28">
    <w:abstractNumId w:val="2"/>
  </w:num>
  <w:num w:numId="29">
    <w:abstractNumId w:val="0"/>
  </w:num>
  <w:num w:numId="30">
    <w:abstractNumId w:val="20"/>
  </w:num>
  <w:num w:numId="31">
    <w:abstractNumId w:val="24"/>
  </w:num>
  <w:num w:numId="32">
    <w:abstractNumId w:val="26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linkStyl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43740"/>
    <w:rsid w:val="000065B4"/>
    <w:rsid w:val="00013F7A"/>
    <w:rsid w:val="0004004D"/>
    <w:rsid w:val="00044DE7"/>
    <w:rsid w:val="00046C14"/>
    <w:rsid w:val="00047993"/>
    <w:rsid w:val="0006711A"/>
    <w:rsid w:val="00070FC7"/>
    <w:rsid w:val="00074220"/>
    <w:rsid w:val="0009256F"/>
    <w:rsid w:val="000B1137"/>
    <w:rsid w:val="000B2198"/>
    <w:rsid w:val="000D763F"/>
    <w:rsid w:val="000F0CF2"/>
    <w:rsid w:val="000F441F"/>
    <w:rsid w:val="000F4CA2"/>
    <w:rsid w:val="0011766A"/>
    <w:rsid w:val="00124905"/>
    <w:rsid w:val="00132856"/>
    <w:rsid w:val="0015239A"/>
    <w:rsid w:val="00154DC6"/>
    <w:rsid w:val="00161AD7"/>
    <w:rsid w:val="001A1527"/>
    <w:rsid w:val="001A7CF9"/>
    <w:rsid w:val="001B79C9"/>
    <w:rsid w:val="001C334E"/>
    <w:rsid w:val="001C34F7"/>
    <w:rsid w:val="001D0089"/>
    <w:rsid w:val="001F6441"/>
    <w:rsid w:val="002426CF"/>
    <w:rsid w:val="00256A0A"/>
    <w:rsid w:val="002F0F4A"/>
    <w:rsid w:val="002F689F"/>
    <w:rsid w:val="003011E6"/>
    <w:rsid w:val="00312082"/>
    <w:rsid w:val="00313C10"/>
    <w:rsid w:val="00325F32"/>
    <w:rsid w:val="00333EA9"/>
    <w:rsid w:val="00347951"/>
    <w:rsid w:val="00357105"/>
    <w:rsid w:val="00372297"/>
    <w:rsid w:val="003C0EEB"/>
    <w:rsid w:val="003C1A48"/>
    <w:rsid w:val="003C1B36"/>
    <w:rsid w:val="003D05D5"/>
    <w:rsid w:val="003E77C5"/>
    <w:rsid w:val="003F3116"/>
    <w:rsid w:val="00406778"/>
    <w:rsid w:val="00474D77"/>
    <w:rsid w:val="004A56FA"/>
    <w:rsid w:val="004B75E3"/>
    <w:rsid w:val="004C4C9B"/>
    <w:rsid w:val="004C5B50"/>
    <w:rsid w:val="004E4B9C"/>
    <w:rsid w:val="004E5BB5"/>
    <w:rsid w:val="004F256F"/>
    <w:rsid w:val="004F3661"/>
    <w:rsid w:val="004F54CA"/>
    <w:rsid w:val="005145BC"/>
    <w:rsid w:val="0051795B"/>
    <w:rsid w:val="00523E87"/>
    <w:rsid w:val="00527882"/>
    <w:rsid w:val="00546E54"/>
    <w:rsid w:val="005838FA"/>
    <w:rsid w:val="00587B76"/>
    <w:rsid w:val="005912FA"/>
    <w:rsid w:val="005B33E4"/>
    <w:rsid w:val="005B724A"/>
    <w:rsid w:val="005F10EE"/>
    <w:rsid w:val="005F66E3"/>
    <w:rsid w:val="00603A41"/>
    <w:rsid w:val="0062030E"/>
    <w:rsid w:val="00646696"/>
    <w:rsid w:val="0065753B"/>
    <w:rsid w:val="00661ED8"/>
    <w:rsid w:val="006642BE"/>
    <w:rsid w:val="006C2161"/>
    <w:rsid w:val="006D090F"/>
    <w:rsid w:val="006D3A93"/>
    <w:rsid w:val="006D597B"/>
    <w:rsid w:val="007004AE"/>
    <w:rsid w:val="00752615"/>
    <w:rsid w:val="00773EC4"/>
    <w:rsid w:val="0078678C"/>
    <w:rsid w:val="007A709D"/>
    <w:rsid w:val="007B5515"/>
    <w:rsid w:val="007B6DD9"/>
    <w:rsid w:val="007D1A58"/>
    <w:rsid w:val="007E6CC8"/>
    <w:rsid w:val="0082169E"/>
    <w:rsid w:val="008233E8"/>
    <w:rsid w:val="00843510"/>
    <w:rsid w:val="00853516"/>
    <w:rsid w:val="008617E9"/>
    <w:rsid w:val="00865D5F"/>
    <w:rsid w:val="0088306F"/>
    <w:rsid w:val="008A18CC"/>
    <w:rsid w:val="008C3307"/>
    <w:rsid w:val="008E19BC"/>
    <w:rsid w:val="008F402F"/>
    <w:rsid w:val="00906ED2"/>
    <w:rsid w:val="00912A83"/>
    <w:rsid w:val="00984267"/>
    <w:rsid w:val="00985124"/>
    <w:rsid w:val="00987DE8"/>
    <w:rsid w:val="00992DFF"/>
    <w:rsid w:val="00996780"/>
    <w:rsid w:val="009A0CCC"/>
    <w:rsid w:val="009B03DC"/>
    <w:rsid w:val="009B220B"/>
    <w:rsid w:val="009B241C"/>
    <w:rsid w:val="009B27B1"/>
    <w:rsid w:val="009C2595"/>
    <w:rsid w:val="00A03B75"/>
    <w:rsid w:val="00A11F48"/>
    <w:rsid w:val="00A142B8"/>
    <w:rsid w:val="00A324E8"/>
    <w:rsid w:val="00A336CA"/>
    <w:rsid w:val="00A7719E"/>
    <w:rsid w:val="00A92250"/>
    <w:rsid w:val="00A94FC1"/>
    <w:rsid w:val="00AE5444"/>
    <w:rsid w:val="00B0620E"/>
    <w:rsid w:val="00B30C4C"/>
    <w:rsid w:val="00B43740"/>
    <w:rsid w:val="00B57612"/>
    <w:rsid w:val="00B72355"/>
    <w:rsid w:val="00BA2D89"/>
    <w:rsid w:val="00BB3C49"/>
    <w:rsid w:val="00C316F3"/>
    <w:rsid w:val="00C57D18"/>
    <w:rsid w:val="00C71BB7"/>
    <w:rsid w:val="00C96F23"/>
    <w:rsid w:val="00CB4046"/>
    <w:rsid w:val="00CC068F"/>
    <w:rsid w:val="00CE1055"/>
    <w:rsid w:val="00D00357"/>
    <w:rsid w:val="00D14E9D"/>
    <w:rsid w:val="00D16AA1"/>
    <w:rsid w:val="00D436BF"/>
    <w:rsid w:val="00D44CC7"/>
    <w:rsid w:val="00D528AB"/>
    <w:rsid w:val="00D62AC5"/>
    <w:rsid w:val="00D712BF"/>
    <w:rsid w:val="00DB7D5D"/>
    <w:rsid w:val="00DC1372"/>
    <w:rsid w:val="00DD1804"/>
    <w:rsid w:val="00DD3554"/>
    <w:rsid w:val="00DD4508"/>
    <w:rsid w:val="00DD662A"/>
    <w:rsid w:val="00DE12AC"/>
    <w:rsid w:val="00DE13F0"/>
    <w:rsid w:val="00E01226"/>
    <w:rsid w:val="00E310A8"/>
    <w:rsid w:val="00E74F5E"/>
    <w:rsid w:val="00E77E9D"/>
    <w:rsid w:val="00E82F55"/>
    <w:rsid w:val="00E85EFE"/>
    <w:rsid w:val="00EC484B"/>
    <w:rsid w:val="00EC7696"/>
    <w:rsid w:val="00F6641B"/>
    <w:rsid w:val="00F703D5"/>
    <w:rsid w:val="00F73584"/>
    <w:rsid w:val="00F80A2D"/>
    <w:rsid w:val="00F95301"/>
    <w:rsid w:val="00FA01FD"/>
    <w:rsid w:val="00FA16A0"/>
    <w:rsid w:val="00FC22ED"/>
    <w:rsid w:val="00FD1E67"/>
    <w:rsid w:val="00FF4B3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EastAsia" w:hAnsiTheme="majorHAnsi" w:cs="ArialMT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FF"/>
    <w:pPr>
      <w:spacing w:after="120"/>
      <w:jc w:val="both"/>
    </w:pPr>
    <w:rPr>
      <w:rFonts w:ascii="Arial" w:hAnsi="Arial" w:cs="Times New Roman"/>
    </w:rPr>
  </w:style>
  <w:style w:type="paragraph" w:styleId="1">
    <w:name w:val="heading 1"/>
    <w:basedOn w:val="H1"/>
    <w:next w:val="a"/>
    <w:link w:val="10"/>
    <w:uiPriority w:val="9"/>
    <w:rsid w:val="00992DFF"/>
  </w:style>
  <w:style w:type="paragraph" w:styleId="2">
    <w:name w:val="heading 2"/>
    <w:basedOn w:val="a"/>
    <w:next w:val="a"/>
    <w:link w:val="20"/>
    <w:uiPriority w:val="9"/>
    <w:unhideWhenUsed/>
    <w:qFormat/>
    <w:rsid w:val="00992DFF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992DFF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92DFF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a4">
    <w:name w:val="Абзац списка Знак"/>
    <w:basedOn w:val="a0"/>
    <w:link w:val="a3"/>
    <w:uiPriority w:val="34"/>
    <w:rsid w:val="00992DFF"/>
    <w:rPr>
      <w:rFonts w:ascii="Arial" w:eastAsiaTheme="minorHAnsi" w:hAnsi="Arial" w:cstheme="minorBidi"/>
      <w:szCs w:val="22"/>
    </w:rPr>
  </w:style>
  <w:style w:type="table" w:styleId="a5">
    <w:name w:val="Table Grid"/>
    <w:basedOn w:val="a1"/>
    <w:uiPriority w:val="59"/>
    <w:rsid w:val="00992DFF"/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2DF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992DF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E75DB8"/>
    <w:rPr>
      <w:sz w:val="24"/>
      <w:szCs w:val="24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75DB8"/>
    <w:rPr>
      <w:sz w:val="24"/>
      <w:szCs w:val="24"/>
      <w:lang w:val="ru-RU"/>
    </w:rPr>
  </w:style>
  <w:style w:type="paragraph" w:styleId="a9">
    <w:name w:val="annotation subject"/>
    <w:basedOn w:val="a"/>
    <w:link w:val="aa"/>
    <w:uiPriority w:val="99"/>
    <w:semiHidden/>
    <w:unhideWhenUsed/>
    <w:rsid w:val="00992DFF"/>
    <w:rPr>
      <w:b/>
      <w:bCs/>
    </w:rPr>
  </w:style>
  <w:style w:type="character" w:customStyle="1" w:styleId="aa">
    <w:name w:val="Тема примечания Знак"/>
    <w:basedOn w:val="a0"/>
    <w:link w:val="a9"/>
    <w:uiPriority w:val="99"/>
    <w:semiHidden/>
    <w:rsid w:val="00992DFF"/>
    <w:rPr>
      <w:rFonts w:ascii="Arial" w:hAnsi="Arial" w:cs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92DF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2DFF"/>
    <w:rPr>
      <w:rFonts w:ascii="Lucida Grande" w:hAnsi="Lucida Grande" w:cs="Lucida Grande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992DFF"/>
    <w:pPr>
      <w:spacing w:after="0"/>
      <w:jc w:val="left"/>
    </w:pPr>
    <w:rPr>
      <w:sz w:val="16"/>
      <w:szCs w:val="18"/>
    </w:rPr>
  </w:style>
  <w:style w:type="character" w:customStyle="1" w:styleId="ae">
    <w:name w:val="Нижний колонтитул Знак"/>
    <w:basedOn w:val="a0"/>
    <w:link w:val="ad"/>
    <w:uiPriority w:val="99"/>
    <w:rsid w:val="00992DFF"/>
    <w:rPr>
      <w:rFonts w:ascii="Arial" w:hAnsi="Arial" w:cs="Times New Roman"/>
      <w:sz w:val="16"/>
      <w:szCs w:val="18"/>
    </w:rPr>
  </w:style>
  <w:style w:type="character" w:styleId="af">
    <w:name w:val="page number"/>
    <w:basedOn w:val="a0"/>
    <w:uiPriority w:val="99"/>
    <w:unhideWhenUsed/>
    <w:rsid w:val="00992DFF"/>
    <w:rPr>
      <w:b/>
    </w:rPr>
  </w:style>
  <w:style w:type="paragraph" w:styleId="af0">
    <w:name w:val="header"/>
    <w:basedOn w:val="a"/>
    <w:link w:val="af1"/>
    <w:uiPriority w:val="99"/>
    <w:unhideWhenUsed/>
    <w:rsid w:val="00992DFF"/>
    <w:pPr>
      <w:spacing w:after="0" w:line="288" w:lineRule="auto"/>
      <w:jc w:val="left"/>
    </w:pPr>
    <w:rPr>
      <w:sz w:val="16"/>
    </w:rPr>
  </w:style>
  <w:style w:type="character" w:customStyle="1" w:styleId="af1">
    <w:name w:val="Верхний колонтитул Знак"/>
    <w:basedOn w:val="a0"/>
    <w:link w:val="af0"/>
    <w:uiPriority w:val="99"/>
    <w:rsid w:val="00992DFF"/>
    <w:rPr>
      <w:rFonts w:ascii="Arial" w:hAnsi="Arial" w:cs="Times New Roman"/>
      <w:sz w:val="16"/>
    </w:rPr>
  </w:style>
  <w:style w:type="character" w:styleId="af2">
    <w:name w:val="Hyperlink"/>
    <w:basedOn w:val="a0"/>
    <w:uiPriority w:val="99"/>
    <w:unhideWhenUsed/>
    <w:rsid w:val="00992DFF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992DFF"/>
    <w:rPr>
      <w:color w:val="800080" w:themeColor="followedHyperlink"/>
      <w:u w:val="single"/>
    </w:rPr>
  </w:style>
  <w:style w:type="paragraph" w:styleId="af4">
    <w:name w:val="footnote text"/>
    <w:basedOn w:val="a"/>
    <w:link w:val="af5"/>
    <w:uiPriority w:val="99"/>
    <w:unhideWhenUsed/>
    <w:rsid w:val="00992DFF"/>
    <w:pPr>
      <w:spacing w:after="0"/>
    </w:pPr>
    <w:rPr>
      <w:sz w:val="16"/>
      <w:szCs w:val="22"/>
    </w:rPr>
  </w:style>
  <w:style w:type="character" w:customStyle="1" w:styleId="af5">
    <w:name w:val="Текст сноски Знак"/>
    <w:basedOn w:val="a0"/>
    <w:link w:val="af4"/>
    <w:uiPriority w:val="99"/>
    <w:rsid w:val="00992DFF"/>
    <w:rPr>
      <w:rFonts w:ascii="Arial" w:hAnsi="Arial" w:cs="Times New Roman"/>
      <w:sz w:val="16"/>
      <w:szCs w:val="22"/>
    </w:rPr>
  </w:style>
  <w:style w:type="character" w:styleId="af6">
    <w:name w:val="footnote reference"/>
    <w:basedOn w:val="a0"/>
    <w:uiPriority w:val="99"/>
    <w:unhideWhenUsed/>
    <w:rsid w:val="00992DFF"/>
    <w:rPr>
      <w:vertAlign w:val="superscript"/>
    </w:rPr>
  </w:style>
  <w:style w:type="character" w:customStyle="1" w:styleId="aak">
    <w:name w:val="aak"/>
    <w:basedOn w:val="a0"/>
    <w:rsid w:val="00D16AA1"/>
  </w:style>
  <w:style w:type="character" w:customStyle="1" w:styleId="apple-converted-space">
    <w:name w:val="apple-converted-space"/>
    <w:basedOn w:val="a0"/>
    <w:rsid w:val="00D16AA1"/>
  </w:style>
  <w:style w:type="character" w:customStyle="1" w:styleId="aan">
    <w:name w:val="aan"/>
    <w:basedOn w:val="a0"/>
    <w:rsid w:val="003C0EEB"/>
  </w:style>
  <w:style w:type="character" w:customStyle="1" w:styleId="10">
    <w:name w:val="Заголовок 1 Знак"/>
    <w:basedOn w:val="a0"/>
    <w:link w:val="1"/>
    <w:uiPriority w:val="9"/>
    <w:rsid w:val="00992DFF"/>
    <w:rPr>
      <w:rFonts w:ascii="Arial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992DFF"/>
    <w:rPr>
      <w:rFonts w:ascii="Arial" w:hAnsi="Arial" w:cs="Times New Roman"/>
      <w:b/>
      <w:cap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992DFF"/>
    <w:rPr>
      <w:rFonts w:ascii="Arial" w:hAnsi="Arial" w:cs="Times New Roman"/>
      <w:b/>
      <w:sz w:val="22"/>
      <w:szCs w:val="24"/>
    </w:rPr>
  </w:style>
  <w:style w:type="paragraph" w:styleId="af7">
    <w:name w:val="Revision"/>
    <w:hidden/>
    <w:uiPriority w:val="99"/>
    <w:semiHidden/>
    <w:rsid w:val="00992DFF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992DFF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992DFF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992DFF"/>
    <w:pPr>
      <w:numPr>
        <w:numId w:val="14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992DFF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992DFF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f0"/>
    <w:rsid w:val="00992DFF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992DFF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992DFF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992DFF"/>
    <w:rPr>
      <w:rFonts w:asciiTheme="minorHAnsi" w:hAnsiTheme="minorHAnsi" w:cs="Times New Roman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3"/>
    <w:rsid w:val="00992DFF"/>
    <w:pPr>
      <w:numPr>
        <w:numId w:val="31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a"/>
    <w:rsid w:val="00992DFF"/>
    <w:pPr>
      <w:numPr>
        <w:ilvl w:val="1"/>
        <w:numId w:val="29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992DFF"/>
    <w:pPr>
      <w:numPr>
        <w:numId w:val="30"/>
      </w:numPr>
    </w:pPr>
    <w:rPr>
      <w:rFonts w:eastAsia="MS Mincho"/>
      <w:b/>
      <w:sz w:val="22"/>
    </w:rPr>
  </w:style>
  <w:style w:type="paragraph" w:customStyle="1" w:styleId="Bullet3">
    <w:name w:val="Bullet 3"/>
    <w:basedOn w:val="a3"/>
    <w:qFormat/>
    <w:rsid w:val="00992DFF"/>
    <w:pPr>
      <w:numPr>
        <w:numId w:val="32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992DFF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992DFF"/>
    <w:pPr>
      <w:spacing w:before="120"/>
      <w:jc w:val="center"/>
    </w:pPr>
    <w:rPr>
      <w:rFonts w:cs="Arial"/>
      <w:b/>
      <w:bCs/>
      <w:color w:val="FFFFFF" w:themeColor="background1"/>
    </w:rPr>
  </w:style>
  <w:style w:type="paragraph" w:customStyle="1" w:styleId="BulletTableau">
    <w:name w:val="Bullet Tableau"/>
    <w:basedOn w:val="Bullet2"/>
    <w:qFormat/>
    <w:rsid w:val="00992DFF"/>
    <w:pPr>
      <w:keepNext/>
      <w:keepLines/>
      <w:framePr w:hSpace="141" w:wrap="around" w:vAnchor="text" w:hAnchor="margin" w:y="402"/>
      <w:numPr>
        <w:numId w:val="33"/>
      </w:numPr>
      <w:spacing w:beforeLines="60" w:afterLines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ArialMT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DFF"/>
    <w:pPr>
      <w:spacing w:after="120"/>
      <w:jc w:val="both"/>
    </w:pPr>
    <w:rPr>
      <w:rFonts w:ascii="Arial" w:hAnsi="Arial" w:cs="Times New Roman"/>
    </w:rPr>
  </w:style>
  <w:style w:type="paragraph" w:styleId="Heading1">
    <w:name w:val="heading 1"/>
    <w:basedOn w:val="H1"/>
    <w:next w:val="Normal"/>
    <w:link w:val="Heading1Char"/>
    <w:uiPriority w:val="9"/>
    <w:rsid w:val="00992DF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DFF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DFF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92DFF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DFF"/>
    <w:rPr>
      <w:rFonts w:ascii="Arial" w:eastAsiaTheme="minorHAnsi" w:hAnsi="Arial" w:cstheme="minorBidi"/>
      <w:szCs w:val="22"/>
    </w:rPr>
  </w:style>
  <w:style w:type="table" w:styleId="TableGrid">
    <w:name w:val="Table Grid"/>
    <w:basedOn w:val="TableNormal"/>
    <w:uiPriority w:val="59"/>
    <w:rsid w:val="00992DFF"/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2DF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92DF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5DB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5DB8"/>
    <w:rPr>
      <w:sz w:val="24"/>
      <w:szCs w:val="24"/>
      <w:lang w:val="ru-RU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992DFF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992DFF"/>
    <w:rPr>
      <w:rFonts w:ascii="Arial" w:hAnsi="Arial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DF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DFF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92DFF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92DFF"/>
    <w:rPr>
      <w:rFonts w:ascii="Arial" w:hAnsi="Arial" w:cs="Times New Roman"/>
      <w:sz w:val="16"/>
      <w:szCs w:val="18"/>
    </w:rPr>
  </w:style>
  <w:style w:type="character" w:styleId="PageNumber">
    <w:name w:val="page number"/>
    <w:basedOn w:val="DefaultParagraphFont"/>
    <w:uiPriority w:val="99"/>
    <w:unhideWhenUsed/>
    <w:rsid w:val="00992DFF"/>
    <w:rPr>
      <w:b/>
    </w:rPr>
  </w:style>
  <w:style w:type="paragraph" w:styleId="Header">
    <w:name w:val="header"/>
    <w:basedOn w:val="Normal"/>
    <w:link w:val="HeaderChar"/>
    <w:uiPriority w:val="99"/>
    <w:unhideWhenUsed/>
    <w:rsid w:val="00992DFF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92DFF"/>
    <w:rPr>
      <w:rFonts w:ascii="Arial" w:hAnsi="Arial" w:cs="Times New Roman"/>
      <w:sz w:val="16"/>
    </w:rPr>
  </w:style>
  <w:style w:type="character" w:styleId="Hyperlink">
    <w:name w:val="Hyperlink"/>
    <w:basedOn w:val="DefaultParagraphFont"/>
    <w:uiPriority w:val="99"/>
    <w:unhideWhenUsed/>
    <w:rsid w:val="00992D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2DFF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92DFF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2DFF"/>
    <w:rPr>
      <w:rFonts w:ascii="Arial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992DFF"/>
    <w:rPr>
      <w:vertAlign w:val="superscript"/>
    </w:rPr>
  </w:style>
  <w:style w:type="character" w:customStyle="1" w:styleId="aak">
    <w:name w:val="aak"/>
    <w:basedOn w:val="DefaultParagraphFont"/>
    <w:rsid w:val="00D16AA1"/>
  </w:style>
  <w:style w:type="character" w:customStyle="1" w:styleId="apple-converted-space">
    <w:name w:val="apple-converted-space"/>
    <w:basedOn w:val="DefaultParagraphFont"/>
    <w:rsid w:val="00D16AA1"/>
  </w:style>
  <w:style w:type="character" w:customStyle="1" w:styleId="aan">
    <w:name w:val="aan"/>
    <w:basedOn w:val="DefaultParagraphFont"/>
    <w:rsid w:val="003C0EEB"/>
  </w:style>
  <w:style w:type="character" w:customStyle="1" w:styleId="Heading1Char">
    <w:name w:val="Heading 1 Char"/>
    <w:basedOn w:val="DefaultParagraphFont"/>
    <w:link w:val="Heading1"/>
    <w:uiPriority w:val="9"/>
    <w:rsid w:val="00992DFF"/>
    <w:rPr>
      <w:rFonts w:ascii="Arial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92DFF"/>
    <w:rPr>
      <w:rFonts w:ascii="Arial" w:hAnsi="Arial" w:cs="Times New Roman"/>
      <w:b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2DFF"/>
    <w:rPr>
      <w:rFonts w:ascii="Arial" w:hAnsi="Arial" w:cs="Times New Roman"/>
      <w:b/>
      <w:sz w:val="22"/>
      <w:szCs w:val="24"/>
    </w:rPr>
  </w:style>
  <w:style w:type="paragraph" w:styleId="Revision">
    <w:name w:val="Revision"/>
    <w:hidden/>
    <w:uiPriority w:val="99"/>
    <w:semiHidden/>
    <w:rsid w:val="00992DFF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992DFF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992DFF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992DFF"/>
    <w:pPr>
      <w:numPr>
        <w:numId w:val="14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992DFF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992DFF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992DFF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992DFF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992DFF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992DFF"/>
    <w:rPr>
      <w:rFonts w:asciiTheme="minorHAnsi" w:hAnsiTheme="minorHAnsi" w:cs="Times New Roman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992DFF"/>
    <w:pPr>
      <w:numPr>
        <w:numId w:val="31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Normal"/>
    <w:rsid w:val="00992DFF"/>
    <w:pPr>
      <w:numPr>
        <w:ilvl w:val="1"/>
        <w:numId w:val="29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992DFF"/>
    <w:pPr>
      <w:numPr>
        <w:numId w:val="30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992DFF"/>
    <w:pPr>
      <w:numPr>
        <w:numId w:val="32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992DFF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992DFF"/>
    <w:pPr>
      <w:spacing w:before="120"/>
      <w:jc w:val="center"/>
    </w:pPr>
    <w:rPr>
      <w:rFonts w:cs="Arial"/>
      <w:b/>
      <w:bCs/>
      <w:color w:val="FFFFFF" w:themeColor="background1"/>
    </w:rPr>
  </w:style>
  <w:style w:type="paragraph" w:customStyle="1" w:styleId="BulletTableau">
    <w:name w:val="Bullet Tableau"/>
    <w:basedOn w:val="Bullet2"/>
    <w:qFormat/>
    <w:rsid w:val="00992DFF"/>
    <w:pPr>
      <w:keepNext/>
      <w:keepLines/>
      <w:framePr w:hSpace="141" w:wrap="around" w:vAnchor="text" w:hAnchor="margin" w:y="402"/>
      <w:numPr>
        <w:numId w:val="33"/>
      </w:numPr>
      <w:spacing w:beforeLines="60" w:before="60" w:afterLines="20" w:after="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9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4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7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2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6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hlearning.org/mpg-toolkit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odi.org/sites/odi.org.uk/files/odi-assets/publications-opinion-files/4893.pdf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c.europa.eu/echo/files/policies/sectoral/concept_paper_common_top_line_principles_en.pdf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</Template>
  <TotalTime>41</TotalTime>
  <Pages>3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9426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Pantaleo Creti</dc:creator>
  <cp:lastModifiedBy>User</cp:lastModifiedBy>
  <cp:revision>6</cp:revision>
  <cp:lastPrinted>2015-10-13T14:36:00Z</cp:lastPrinted>
  <dcterms:created xsi:type="dcterms:W3CDTF">2016-08-03T13:07:00Z</dcterms:created>
  <dcterms:modified xsi:type="dcterms:W3CDTF">2017-04-20T13:55:00Z</dcterms:modified>
</cp:coreProperties>
</file>