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7F" w:rsidRPr="00CA21D0" w:rsidRDefault="00F23838" w:rsidP="001C6B1C">
      <w:pPr>
        <w:pStyle w:val="H1"/>
      </w:pPr>
      <w:r>
        <w:t>Дорожная карта для планирования мониторинга и оценки (М&amp;О)</w:t>
      </w:r>
    </w:p>
    <w:tbl>
      <w:tblPr>
        <w:tblStyle w:val="a5"/>
        <w:tblW w:w="0" w:type="auto"/>
        <w:tblInd w:w="108" w:type="dxa"/>
        <w:tblCellMar>
          <w:top w:w="57" w:type="dxa"/>
          <w:bottom w:w="57" w:type="dxa"/>
        </w:tblCellMar>
        <w:tblLook w:val="04A0"/>
      </w:tblPr>
      <w:tblGrid>
        <w:gridCol w:w="2410"/>
        <w:gridCol w:w="2236"/>
        <w:gridCol w:w="2462"/>
        <w:gridCol w:w="2462"/>
      </w:tblGrid>
      <w:tr w:rsidR="007836E8" w:rsidTr="007836E8">
        <w:tc>
          <w:tcPr>
            <w:tcW w:w="9570" w:type="dxa"/>
            <w:gridSpan w:val="4"/>
          </w:tcPr>
          <w:p w:rsidR="007836E8" w:rsidRPr="007836E8" w:rsidRDefault="007836E8" w:rsidP="007836E8">
            <w:pPr>
              <w:jc w:val="center"/>
              <w:rPr>
                <w:b/>
              </w:rPr>
            </w:pPr>
            <w:r w:rsidRPr="007836E8">
              <w:rPr>
                <w:b/>
              </w:rPr>
              <w:t>МОНИТОРИНГ И ОЦЕНКА</w:t>
            </w:r>
          </w:p>
        </w:tc>
      </w:tr>
      <w:tr w:rsidR="007836E8" w:rsidTr="007836E8">
        <w:tc>
          <w:tcPr>
            <w:tcW w:w="2410" w:type="dxa"/>
          </w:tcPr>
          <w:p w:rsidR="007836E8" w:rsidRDefault="007836E8" w:rsidP="007836E8">
            <w:pPr>
              <w:pStyle w:val="a3"/>
              <w:numPr>
                <w:ilvl w:val="0"/>
                <w:numId w:val="49"/>
              </w:numPr>
              <w:tabs>
                <w:tab w:val="left" w:pos="425"/>
                <w:tab w:val="left" w:pos="605"/>
              </w:tabs>
              <w:ind w:left="0" w:firstLine="17"/>
              <w:jc w:val="left"/>
            </w:pPr>
            <w:r>
              <w:t>Планирование МиО ПДП</w:t>
            </w:r>
          </w:p>
        </w:tc>
        <w:tc>
          <w:tcPr>
            <w:tcW w:w="2236" w:type="dxa"/>
          </w:tcPr>
          <w:p w:rsidR="007836E8" w:rsidRDefault="007836E8" w:rsidP="007836E8">
            <w:pPr>
              <w:pStyle w:val="a3"/>
              <w:numPr>
                <w:ilvl w:val="0"/>
                <w:numId w:val="49"/>
              </w:numPr>
              <w:tabs>
                <w:tab w:val="left" w:pos="348"/>
              </w:tabs>
              <w:ind w:left="127" w:hanging="35"/>
              <w:jc w:val="left"/>
            </w:pPr>
            <w:r>
              <w:t>Мониторинг программы</w:t>
            </w:r>
          </w:p>
        </w:tc>
        <w:tc>
          <w:tcPr>
            <w:tcW w:w="2462" w:type="dxa"/>
          </w:tcPr>
          <w:p w:rsidR="007836E8" w:rsidRDefault="007836E8" w:rsidP="007836E8">
            <w:pPr>
              <w:pStyle w:val="a3"/>
              <w:numPr>
                <w:ilvl w:val="0"/>
                <w:numId w:val="49"/>
              </w:numPr>
              <w:tabs>
                <w:tab w:val="left" w:pos="361"/>
              </w:tabs>
              <w:ind w:left="79" w:hanging="87"/>
              <w:jc w:val="left"/>
            </w:pPr>
            <w:r>
              <w:t>Мониторинг рынка</w:t>
            </w:r>
          </w:p>
        </w:tc>
        <w:tc>
          <w:tcPr>
            <w:tcW w:w="2462" w:type="dxa"/>
          </w:tcPr>
          <w:p w:rsidR="007836E8" w:rsidRDefault="007836E8" w:rsidP="007836E8">
            <w:pPr>
              <w:pStyle w:val="a3"/>
              <w:numPr>
                <w:ilvl w:val="0"/>
                <w:numId w:val="49"/>
              </w:numPr>
              <w:tabs>
                <w:tab w:val="left" w:pos="329"/>
              </w:tabs>
              <w:ind w:left="14" w:firstLine="2"/>
              <w:jc w:val="left"/>
            </w:pPr>
            <w:r>
              <w:t>Оценка ПДП</w:t>
            </w:r>
          </w:p>
        </w:tc>
      </w:tr>
      <w:tr w:rsidR="007836E8" w:rsidTr="007836E8">
        <w:tc>
          <w:tcPr>
            <w:tcW w:w="2410" w:type="dxa"/>
            <w:shd w:val="clear" w:color="auto" w:fill="C6D9F1" w:themeFill="text2" w:themeFillTint="33"/>
          </w:tcPr>
          <w:p w:rsidR="007836E8" w:rsidRDefault="007836E8" w:rsidP="007836E8">
            <w:pPr>
              <w:jc w:val="left"/>
            </w:pPr>
            <w:r>
              <w:t>.1 Разработать стратегию МиО</w:t>
            </w:r>
          </w:p>
          <w:p w:rsidR="007836E8" w:rsidRDefault="007836E8" w:rsidP="007836E8">
            <w:pPr>
              <w:jc w:val="left"/>
            </w:pPr>
            <w:r>
              <w:t>.2 Повысить квалификацию персонала</w:t>
            </w:r>
          </w:p>
        </w:tc>
        <w:tc>
          <w:tcPr>
            <w:tcW w:w="2236" w:type="dxa"/>
          </w:tcPr>
          <w:p w:rsidR="007836E8" w:rsidRDefault="007836E8" w:rsidP="007836E8">
            <w:pPr>
              <w:jc w:val="left"/>
            </w:pPr>
            <w:r>
              <w:t>.1 Исходные показатели</w:t>
            </w:r>
          </w:p>
          <w:p w:rsidR="007836E8" w:rsidRDefault="007836E8" w:rsidP="007836E8">
            <w:pPr>
              <w:jc w:val="left"/>
            </w:pPr>
            <w:r>
              <w:t>.2 Мониторинг обналичивания</w:t>
            </w:r>
          </w:p>
          <w:p w:rsidR="007836E8" w:rsidRDefault="007836E8" w:rsidP="007836E8">
            <w:pPr>
              <w:jc w:val="left"/>
            </w:pPr>
            <w:r>
              <w:t>.3 Мониторинг после раздачи</w:t>
            </w:r>
          </w:p>
        </w:tc>
        <w:tc>
          <w:tcPr>
            <w:tcW w:w="2462" w:type="dxa"/>
          </w:tcPr>
          <w:p w:rsidR="007836E8" w:rsidRDefault="007836E8" w:rsidP="007836E8">
            <w:pPr>
              <w:jc w:val="left"/>
            </w:pPr>
            <w:r>
              <w:t>.1 Мониторинг торговцев</w:t>
            </w:r>
          </w:p>
          <w:p w:rsidR="007836E8" w:rsidRDefault="007836E8" w:rsidP="007836E8">
            <w:pPr>
              <w:jc w:val="left"/>
            </w:pPr>
            <w:r>
              <w:t>.2 Мониторинг цен</w:t>
            </w:r>
          </w:p>
          <w:p w:rsidR="007836E8" w:rsidRDefault="007836E8" w:rsidP="007836E8">
            <w:pPr>
              <w:jc w:val="left"/>
            </w:pPr>
            <w:r>
              <w:t>.3 Реагирование на изменения цен</w:t>
            </w:r>
          </w:p>
        </w:tc>
        <w:tc>
          <w:tcPr>
            <w:tcW w:w="2462" w:type="dxa"/>
          </w:tcPr>
          <w:p w:rsidR="007836E8" w:rsidRDefault="007836E8" w:rsidP="007836E8">
            <w:pPr>
              <w:jc w:val="left"/>
            </w:pPr>
            <w:r>
              <w:t>.1 Сформулировать критерии и вопросы для оценки</w:t>
            </w:r>
          </w:p>
          <w:p w:rsidR="007836E8" w:rsidRDefault="007836E8" w:rsidP="007836E8">
            <w:pPr>
              <w:jc w:val="left"/>
            </w:pPr>
            <w:r>
              <w:t>.2 Подготовить ТЗ для оценки</w:t>
            </w:r>
          </w:p>
          <w:p w:rsidR="007836E8" w:rsidRDefault="007836E8" w:rsidP="007836E8">
            <w:pPr>
              <w:jc w:val="left"/>
            </w:pPr>
            <w:r>
              <w:t>.3 Написать отчёты</w:t>
            </w:r>
          </w:p>
        </w:tc>
      </w:tr>
    </w:tbl>
    <w:p w:rsidR="00E66A9A" w:rsidRPr="007E00C6" w:rsidRDefault="00E66A9A" w:rsidP="009A0962">
      <w:pPr>
        <w:pStyle w:val="2"/>
      </w:pPr>
      <w:r>
        <w:t>ВВЕДЕНИЕ</w:t>
      </w:r>
    </w:p>
    <w:p w:rsidR="00A22FB8" w:rsidRDefault="00A22FB8" w:rsidP="004C3287">
      <w:r>
        <w:t>Данная дорожная карта поможет вам в процессе мониторинга и оценки. Этот процесс включает в себя разработку комплексной стратегии МиО (включая детальный план работ и матрицу МиО с индикаторами и средствами проверки), а также повышение квалификации добровольцев и персонала.</w:t>
      </w:r>
    </w:p>
    <w:p w:rsidR="00EE263E" w:rsidRPr="00EB6B84" w:rsidRDefault="00ED59E7" w:rsidP="004C3287">
      <w:r>
        <w:t xml:space="preserve">В данной дорожной карте также выражены предположения о том, какие инструменты </w:t>
      </w:r>
      <w:r w:rsidR="00A02EAE">
        <w:t xml:space="preserve">методических материалов </w:t>
      </w:r>
      <w:r w:rsidR="00E7716D">
        <w:t>по вопросам предоставления наличных денежных средств в условиях ЧС</w:t>
      </w:r>
      <w:r>
        <w:t xml:space="preserve"> наиболее полезны для данного </w:t>
      </w:r>
      <w:r w:rsidR="00E7716D">
        <w:t>раздела</w:t>
      </w:r>
      <w:r>
        <w:t xml:space="preserve"> и </w:t>
      </w:r>
      <w:r w:rsidR="00E7716D">
        <w:t>подразделов</w:t>
      </w:r>
      <w:r>
        <w:t xml:space="preserve">. Эти инструменты будет необходимо скорректировать согласно вашим потребностям и условиям.  </w:t>
      </w:r>
    </w:p>
    <w:p w:rsidR="00EE263E" w:rsidRPr="00EB6B84" w:rsidRDefault="00EE263E" w:rsidP="004C3287">
      <w:r>
        <w:t xml:space="preserve">Вы должны всегда стремиться соблюдать минимальные стандарты, перечисленные </w:t>
      </w:r>
      <w:r w:rsidR="00E7716D">
        <w:t>в</w:t>
      </w:r>
      <w:r>
        <w:t xml:space="preserve"> этом </w:t>
      </w:r>
      <w:r w:rsidR="00E7716D">
        <w:t>разделе</w:t>
      </w:r>
      <w:r>
        <w:t xml:space="preserve">.  Это поможет повысить уровень качества ваших действий. </w:t>
      </w:r>
    </w:p>
    <w:p w:rsidR="00EE263E" w:rsidRPr="00EB6B84" w:rsidRDefault="00EE263E" w:rsidP="004C3287">
      <w:r>
        <w:t xml:space="preserve">Вероятно, по мере того как завершаются процессы и информация поступает в каждый </w:t>
      </w:r>
      <w:r w:rsidR="00E7716D">
        <w:t>подраздел</w:t>
      </w:r>
      <w:r>
        <w:t xml:space="preserve">, для принятия решений вам потребуется </w:t>
      </w:r>
      <w:r>
        <w:rPr>
          <w:b/>
        </w:rPr>
        <w:t xml:space="preserve">переходить от одного </w:t>
      </w:r>
      <w:r w:rsidR="00E7716D">
        <w:rPr>
          <w:b/>
        </w:rPr>
        <w:t>подраздела</w:t>
      </w:r>
      <w:r>
        <w:rPr>
          <w:b/>
        </w:rPr>
        <w:t xml:space="preserve"> к другому</w:t>
      </w:r>
      <w:r>
        <w:t>.</w:t>
      </w:r>
    </w:p>
    <w:p w:rsidR="00EE263E" w:rsidRPr="00447B77" w:rsidRDefault="00EE263E" w:rsidP="004C3287">
      <w:r>
        <w:t xml:space="preserve">Если вам потребуется более детальное руководство в вопросах мониторинга и оценки, обратитесь к справочным документам, перечисленным в конце данной дорожной карты.  </w:t>
      </w:r>
    </w:p>
    <w:p w:rsidR="00E66A9A" w:rsidRPr="007E00C6" w:rsidRDefault="00E66A9A" w:rsidP="009A0962">
      <w:pPr>
        <w:pStyle w:val="2"/>
      </w:pPr>
      <w:r>
        <w:t>МИНИМАЛЬНЫЕ СТАНДАРТЫ</w:t>
      </w:r>
    </w:p>
    <w:p w:rsidR="00A22FB8" w:rsidRPr="002B1145" w:rsidRDefault="00A22FB8" w:rsidP="00447B77">
      <w:pPr>
        <w:pStyle w:val="Bullet1"/>
      </w:pPr>
      <w:r>
        <w:t>Планирование МиО должно осуществляться на стадии разработке программы.</w:t>
      </w:r>
    </w:p>
    <w:p w:rsidR="00A22FB8" w:rsidRDefault="00A22FB8" w:rsidP="00447B77">
      <w:pPr>
        <w:pStyle w:val="Bullet1"/>
      </w:pPr>
      <w:r>
        <w:t>МиО должны основываться на программных индикаторах и проверочных параметрах, определённых в логической структуре.</w:t>
      </w:r>
    </w:p>
    <w:p w:rsidR="00ED59E7" w:rsidRDefault="00ED59E7" w:rsidP="00447B77">
      <w:pPr>
        <w:pStyle w:val="Bullet1"/>
      </w:pPr>
      <w:r>
        <w:t>Число индикаторов должно быть ограничено.  Индикаторы должны характеризовать процессы (были ли причитающиеся выплаты получены вовремя), результаты (как были получены выплаты), итоги (как программа повлияла на бенефициаров и не-бенефициаров) и рынки (в</w:t>
      </w:r>
      <w:r w:rsidR="00E7716D">
        <w:t>л</w:t>
      </w:r>
      <w:r>
        <w:t>ияние на цены и торговцев).</w:t>
      </w:r>
    </w:p>
    <w:p w:rsidR="00FA01BD" w:rsidRPr="002B1145" w:rsidRDefault="00FA01BD" w:rsidP="00FA01BD">
      <w:pPr>
        <w:pStyle w:val="Bullet1"/>
      </w:pPr>
      <w:r>
        <w:t xml:space="preserve">В случае </w:t>
      </w:r>
      <w:r w:rsidR="00A02EAE">
        <w:t>многоцелевых денежных пособий (М</w:t>
      </w:r>
      <w:r>
        <w:t>ЦП) индикаторы должны быть достаточно широкими, чтобы захватить вторичное воздействие.</w:t>
      </w:r>
    </w:p>
    <w:p w:rsidR="00E66A9A" w:rsidRPr="002B1145" w:rsidRDefault="00A22FB8" w:rsidP="00447B77">
      <w:pPr>
        <w:pStyle w:val="Bullet1"/>
      </w:pPr>
      <w:r>
        <w:lastRenderedPageBreak/>
        <w:t>Необходимо заранее провести подготовку членов команды, осуществляющей мониторинг, и протестировать инструменты.</w:t>
      </w:r>
    </w:p>
    <w:p w:rsidR="00A22FB8" w:rsidRPr="007E00C6" w:rsidRDefault="00E7716D" w:rsidP="009A0962">
      <w:pPr>
        <w:pStyle w:val="2"/>
      </w:pPr>
      <w:r>
        <w:t>ПОДРАЗДЕЛЫ</w:t>
      </w:r>
      <w:r w:rsidR="00A22FB8">
        <w:t xml:space="preserve"> И ИНСТРУМЕНТЫ</w:t>
      </w:r>
    </w:p>
    <w:p w:rsidR="00E66A9A" w:rsidRPr="00AE1D59" w:rsidRDefault="007836E8" w:rsidP="002A5262">
      <w:pPr>
        <w:pStyle w:val="3"/>
      </w:pPr>
      <w:r>
        <w:t>Разработайте</w:t>
      </w:r>
      <w:r w:rsidR="00B43B9E">
        <w:t xml:space="preserve"> стратегию МиО</w:t>
      </w:r>
    </w:p>
    <w:p w:rsidR="00A942B0" w:rsidRDefault="00A942B0" w:rsidP="004C3287">
      <w:pPr>
        <w:rPr>
          <w:szCs w:val="22"/>
        </w:rPr>
      </w:pPr>
      <w:r>
        <w:t xml:space="preserve">Индикаторы для каждой конкретной программы реагирования (индикаторы для результатов, для итогов, индикаторы для процесса) будут разработаны на стадии подготовки логической структуры. </w:t>
      </w:r>
      <w:r w:rsidR="007836E8">
        <w:t>Среди инструментов</w:t>
      </w:r>
      <w:r>
        <w:t xml:space="preserve"> этого </w:t>
      </w:r>
      <w:r w:rsidR="00E7716D">
        <w:t>подраздела</w:t>
      </w:r>
      <w:r>
        <w:t xml:space="preserve"> вы найдёте логическую структуру, а также контрольный список ключевых элементов, которые надо принять во внимание при осуществлении мониторинга процесс</w:t>
      </w:r>
      <w:r w:rsidR="007836E8">
        <w:t>а</w:t>
      </w:r>
      <w:r>
        <w:t xml:space="preserve"> и воздействия программы.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848"/>
      </w:tblGrid>
      <w:tr w:rsidR="00FA01BD" w:rsidRPr="00FA01BD" w:rsidTr="00ED59E7">
        <w:tc>
          <w:tcPr>
            <w:tcW w:w="9848" w:type="dxa"/>
            <w:shd w:val="clear" w:color="auto" w:fill="D9D9D9" w:themeFill="background1" w:themeFillShade="D9"/>
          </w:tcPr>
          <w:p w:rsidR="00FA01BD" w:rsidRPr="00FA01BD" w:rsidRDefault="00FA01BD" w:rsidP="00FA01BD">
            <w:pPr>
              <w:spacing w:before="120"/>
            </w:pPr>
            <w:r>
              <w:t xml:space="preserve">В случае многоцелевых денежных пособий (МЦП), которые позволяют бенефициарам более гибко использовать денежные средства, важно установить широкую систему мониторинга, чтобы также захватить вторичное воздействие (например, изменения в доступности образования, здравоохранения и т.п.) </w:t>
            </w:r>
          </w:p>
        </w:tc>
      </w:tr>
    </w:tbl>
    <w:p w:rsidR="00865F32" w:rsidRDefault="00865F32" w:rsidP="004C3287">
      <w:r>
        <w:t>Основываясь на логической структуре, вы должны разработать:</w:t>
      </w:r>
    </w:p>
    <w:p w:rsidR="00E66A9A" w:rsidRPr="00901BDF" w:rsidRDefault="00A9221E" w:rsidP="00AC14EA">
      <w:pPr>
        <w:pStyle w:val="Bullet2"/>
        <w:tabs>
          <w:tab w:val="left" w:pos="284"/>
        </w:tabs>
        <w:ind w:left="284" w:hanging="76"/>
      </w:pPr>
      <w:r>
        <w:t>План работы МиО с подробным описанием мероприятий, необходимых для обеспечения гладкого течения процесса мониторинга и оценки, содержащий чётк</w:t>
      </w:r>
      <w:r w:rsidR="007836E8">
        <w:t>ие</w:t>
      </w:r>
      <w:r>
        <w:t xml:space="preserve"> указани</w:t>
      </w:r>
      <w:r w:rsidR="007836E8">
        <w:t>я</w:t>
      </w:r>
      <w:r>
        <w:t xml:space="preserve">, кто отвечает за каждое мероприятие, с кем должен координировать свои действия ответственный сотрудник, и когда следует проводить каждое мероприятие. </w:t>
      </w:r>
    </w:p>
    <w:p w:rsidR="00E66A9A" w:rsidRDefault="00A9221E" w:rsidP="00AC14EA">
      <w:pPr>
        <w:pStyle w:val="Bullet2"/>
        <w:tabs>
          <w:tab w:val="left" w:pos="284"/>
        </w:tabs>
        <w:ind w:left="284" w:hanging="76"/>
      </w:pPr>
      <w:r>
        <w:t>Матрицу МиО, которая включает все индикаторы, которые будут контролироваться. Для каждого индикатора в матрице должно быть указано:  какие следует использовать источники данных и метод</w:t>
      </w:r>
      <w:r w:rsidR="007836E8">
        <w:t>ы</w:t>
      </w:r>
      <w:r>
        <w:t xml:space="preserve"> их сбора, как часто необходимо собирать данные и кто это должен делать, а также как будут использоваться данные мониторинга. Среди наиболее часто используемых методов</w:t>
      </w:r>
      <w:r w:rsidR="007836E8">
        <w:t xml:space="preserve"> можно назвать</w:t>
      </w:r>
      <w:r>
        <w:t xml:space="preserve"> дискуссии в фокус-группах, </w:t>
      </w:r>
      <w:r w:rsidR="007836E8">
        <w:t>экспертные интервью</w:t>
      </w:r>
      <w:r>
        <w:t xml:space="preserve">, а также опросы домохозяйств. Главное правило - включайте </w:t>
      </w:r>
      <w:r w:rsidR="007836E8">
        <w:t xml:space="preserve">и </w:t>
      </w:r>
      <w:r>
        <w:t>количественные</w:t>
      </w:r>
      <w:r w:rsidR="007836E8">
        <w:t>,</w:t>
      </w:r>
      <w:r>
        <w:t xml:space="preserve"> и качественные компоненты</w:t>
      </w:r>
      <w:r w:rsidR="00E7716D">
        <w:t>,</w:t>
      </w:r>
      <w:r>
        <w:t xml:space="preserve"> чтобы учесть аспекты кросс-проверки. Учтите, что использование </w:t>
      </w:r>
      <w:r w:rsidR="007836E8">
        <w:t>нескольких</w:t>
      </w:r>
      <w:r>
        <w:t xml:space="preserve"> методов и нескольких респондентов (например, бенефициары и не-бенефициары, мужчины и женщины и т.д.) позволит вам провести перекрёстную проверку и даст больше уверенности в результатах.</w:t>
      </w:r>
    </w:p>
    <w:p w:rsidR="00865F32" w:rsidRPr="00865F32" w:rsidRDefault="00865F32" w:rsidP="004C3287">
      <w:r>
        <w:t>Среди инструментов данного</w:t>
      </w:r>
      <w:r w:rsidR="00E7716D">
        <w:t xml:space="preserve"> подраздела</w:t>
      </w:r>
      <w:r>
        <w:t xml:space="preserve"> вы найдёте рабочий план МиО и шаблоны матриц.</w:t>
      </w:r>
    </w:p>
    <w:p w:rsidR="00273676" w:rsidRDefault="00B43B9E" w:rsidP="004C3287">
      <w:r>
        <w:t xml:space="preserve">Определение выборки является ключевой информацией, не включённой в матрицу МиО.  Выборку нужно определить до начала сбора данных. Выборка означает число людей, магазинов, торговцев, агентов поставщиков услуг и т.д., которые нужно будет проконтролировать в месяц, и/или число пунктов раздачи/обналичивания, которые надо посещать каждый месяц с целью мониторинга. Среди инструментов данного </w:t>
      </w:r>
      <w:r w:rsidR="00E7716D">
        <w:t>подраздела</w:t>
      </w:r>
      <w:r>
        <w:t xml:space="preserve"> вы найдёте калькулятор выборки для опроса, а также краткое руководство для определения выборки. Эти инструменты позволят вам установить физические цели для контроля. </w:t>
      </w:r>
    </w:p>
    <w:p w:rsidR="00E66A9A" w:rsidRPr="00AE1D59" w:rsidRDefault="00B43B9E" w:rsidP="002A5262">
      <w:pPr>
        <w:pStyle w:val="3"/>
      </w:pPr>
      <w:r>
        <w:t>Повышение квалификации сотрудников</w:t>
      </w:r>
    </w:p>
    <w:p w:rsidR="00E66A9A" w:rsidRDefault="00B43B9E" w:rsidP="00254669">
      <w:pPr>
        <w:spacing w:after="360"/>
      </w:pPr>
      <w:r>
        <w:t xml:space="preserve">Качество и надёжность результатов мониторинга и рекомендаций будут в большой степени зависеть от квалификации членов команды, осуществляющей МиО. Следовательно, добровольцы и сотрудники, которые будут участвовать в сборе и анализе данных, должны пройти подготовку. Среди инструментов данного </w:t>
      </w:r>
      <w:r w:rsidR="00E7716D">
        <w:t>подраздела</w:t>
      </w:r>
      <w:r>
        <w:t xml:space="preserve"> вы найдёте вводную презентацию, а также заметки для преподавателя, предназначенные для технических сотрудников и руководителей среднего звена. Кроме того, вы найдёте </w:t>
      </w:r>
      <w:bookmarkStart w:id="0" w:name="_GoBack"/>
      <w:bookmarkEnd w:id="0"/>
      <w:r>
        <w:t>краткое руководство по проведению дискуссий в фокус-группах и интервью.</w:t>
      </w:r>
    </w:p>
    <w:tbl>
      <w:tblPr>
        <w:tblStyle w:val="TableGray"/>
        <w:tblW w:w="0" w:type="auto"/>
        <w:tblCellMar>
          <w:top w:w="85" w:type="dxa"/>
          <w:left w:w="113" w:type="dxa"/>
          <w:bottom w:w="85" w:type="dxa"/>
          <w:right w:w="113" w:type="dxa"/>
        </w:tblCellMar>
        <w:tblLook w:val="04A0"/>
      </w:tblPr>
      <w:tblGrid>
        <w:gridCol w:w="9848"/>
      </w:tblGrid>
      <w:tr w:rsidR="00447B77" w:rsidRPr="00E7716D" w:rsidTr="00AC14EA">
        <w:trPr>
          <w:trHeight w:val="2572"/>
        </w:trPr>
        <w:tc>
          <w:tcPr>
            <w:tcW w:w="9848" w:type="dxa"/>
          </w:tcPr>
          <w:p w:rsidR="00447B77" w:rsidRPr="00AC14EA" w:rsidRDefault="00447B77" w:rsidP="002A5262">
            <w:pPr>
              <w:pStyle w:val="RefTitre"/>
              <w:rPr>
                <w:sz w:val="22"/>
              </w:rPr>
            </w:pPr>
            <w:r w:rsidRPr="00AC14EA">
              <w:rPr>
                <w:sz w:val="22"/>
              </w:rPr>
              <w:lastRenderedPageBreak/>
              <w:t>СПРАВОЧНЫЕ МАТЕРИАЛЫ</w:t>
            </w:r>
          </w:p>
          <w:p w:rsidR="00447B77" w:rsidRPr="00AC14EA" w:rsidRDefault="00447B77" w:rsidP="002A5262">
            <w:pPr>
              <w:pStyle w:val="RefItem1"/>
            </w:pPr>
            <w:r w:rsidRPr="00AC14EA">
              <w:t>МФОККиКП, измерение результатов / ICRC measuringresults 2009.</w:t>
            </w:r>
            <w:hyperlink r:id="rId7" w:history="1">
              <w:r w:rsidRPr="00AC14EA">
                <w:rPr>
                  <w:rStyle w:val="af5"/>
                  <w:rFonts w:ascii="Calibri" w:hAnsi="Calibri"/>
                  <w:sz w:val="22"/>
                  <w:szCs w:val="22"/>
                </w:rPr>
                <w:t>http://www.icrc.org/eng/resources/documents/publication/p0995.htm</w:t>
              </w:r>
            </w:hyperlink>
          </w:p>
          <w:p w:rsidR="00447B77" w:rsidRPr="00A02EAE" w:rsidRDefault="00447B77" w:rsidP="002A5262">
            <w:pPr>
              <w:pStyle w:val="RefItem1"/>
              <w:rPr>
                <w:rStyle w:val="af5"/>
                <w:rFonts w:ascii="Calibri" w:eastAsia="Times New Roman" w:hAnsi="Calibri"/>
                <w:sz w:val="22"/>
                <w:szCs w:val="22"/>
                <w:lang w:val="en-US"/>
              </w:rPr>
            </w:pPr>
            <w:r w:rsidRPr="00AC14EA">
              <w:t>Руководство по мониторингу после раздачи непродуктовых товаров и наборов для строительства временных укрытий. МОМ</w:t>
            </w:r>
            <w:r w:rsidRPr="00AC14EA">
              <w:rPr>
                <w:lang w:val="en-US"/>
              </w:rPr>
              <w:t xml:space="preserve"> 2012.</w:t>
            </w:r>
            <w:r w:rsidR="00AC14EA" w:rsidRPr="00AC14EA">
              <w:rPr>
                <w:lang w:val="en-US"/>
              </w:rPr>
              <w:t xml:space="preserve"> / Non-food items and emergency shelter cluster guidelines on post-distribution monitoring. </w:t>
            </w:r>
            <w:r w:rsidR="00AC14EA" w:rsidRPr="00AC14EA">
              <w:rPr>
                <w:lang w:val="fr-CA"/>
              </w:rPr>
              <w:t xml:space="preserve">IOM 2012. </w:t>
            </w:r>
            <w:hyperlink r:id="rId8" w:history="1"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http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://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www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.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foodsecurity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.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nrc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-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handbooks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.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org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/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assets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/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NFI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_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ES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_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cluster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_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PDM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_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guidelines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_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July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_2012-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copy</w:t>
              </w:r>
              <w:r w:rsidRPr="00A02EAE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.</w:t>
              </w:r>
              <w:r w:rsidRPr="00AC14EA">
                <w:rPr>
                  <w:rStyle w:val="af5"/>
                  <w:rFonts w:ascii="Calibri" w:hAnsi="Calibri"/>
                  <w:sz w:val="22"/>
                  <w:szCs w:val="22"/>
                  <w:lang w:val="en-US"/>
                </w:rPr>
                <w:t>pdf</w:t>
              </w:r>
            </w:hyperlink>
          </w:p>
          <w:p w:rsidR="003A799A" w:rsidRPr="00A02EAE" w:rsidRDefault="003A799A" w:rsidP="002A5262">
            <w:pPr>
              <w:pStyle w:val="RefItem1"/>
              <w:rPr>
                <w:lang w:val="en-US"/>
              </w:rPr>
            </w:pPr>
            <w:r w:rsidRPr="00AC14EA">
              <w:t>МФОККиКП</w:t>
            </w:r>
            <w:r w:rsidRPr="00A02EAE">
              <w:rPr>
                <w:lang w:val="en-US"/>
              </w:rPr>
              <w:t xml:space="preserve"> (2011) </w:t>
            </w:r>
            <w:r w:rsidRPr="00AC14EA">
              <w:t>Руководство</w:t>
            </w:r>
            <w:r w:rsidR="00E7716D" w:rsidRPr="00E7716D">
              <w:rPr>
                <w:lang w:val="en-US"/>
              </w:rPr>
              <w:t xml:space="preserve"> </w:t>
            </w:r>
            <w:r w:rsidRPr="00AC14EA">
              <w:t>по</w:t>
            </w:r>
            <w:r w:rsidR="00E7716D" w:rsidRPr="00E7716D">
              <w:rPr>
                <w:lang w:val="en-US"/>
              </w:rPr>
              <w:t xml:space="preserve"> </w:t>
            </w:r>
            <w:r w:rsidRPr="00AC14EA">
              <w:t>мониторингу</w:t>
            </w:r>
            <w:r w:rsidR="00E7716D" w:rsidRPr="00E7716D">
              <w:rPr>
                <w:lang w:val="en-US"/>
              </w:rPr>
              <w:t xml:space="preserve"> </w:t>
            </w:r>
            <w:r w:rsidRPr="00AC14EA">
              <w:t>и</w:t>
            </w:r>
            <w:r w:rsidR="00E7716D" w:rsidRPr="00E7716D">
              <w:rPr>
                <w:lang w:val="en-US"/>
              </w:rPr>
              <w:t xml:space="preserve"> </w:t>
            </w:r>
            <w:r w:rsidRPr="00AC14EA">
              <w:t>оценке</w:t>
            </w:r>
            <w:r w:rsidR="00E7716D" w:rsidRPr="00E7716D">
              <w:rPr>
                <w:lang w:val="en-US"/>
              </w:rPr>
              <w:t xml:space="preserve"> </w:t>
            </w:r>
            <w:r w:rsidRPr="00AC14EA">
              <w:t>проектов</w:t>
            </w:r>
            <w:r w:rsidRPr="00A02EAE">
              <w:rPr>
                <w:lang w:val="en-US"/>
              </w:rPr>
              <w:t>/</w:t>
            </w:r>
            <w:r w:rsidRPr="00AC14EA">
              <w:t>программ</w:t>
            </w:r>
            <w:r w:rsidRPr="00A02EAE">
              <w:rPr>
                <w:lang w:val="en-US"/>
              </w:rPr>
              <w:t xml:space="preserve">  /  Project/programme monitoring and evaluation (M&amp;E) guide</w:t>
            </w:r>
          </w:p>
        </w:tc>
      </w:tr>
    </w:tbl>
    <w:p w:rsidR="00B23B74" w:rsidRPr="00A02EAE" w:rsidRDefault="00B23B74" w:rsidP="004C3287">
      <w:pPr>
        <w:rPr>
          <w:lang w:val="en-US"/>
        </w:rPr>
      </w:pPr>
    </w:p>
    <w:sectPr w:rsidR="00B23B74" w:rsidRPr="00A02EAE" w:rsidSect="001C6B1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AD" w:rsidRDefault="00882DAD">
      <w:r>
        <w:separator/>
      </w:r>
    </w:p>
  </w:endnote>
  <w:endnote w:type="continuationSeparator" w:id="1">
    <w:p w:rsidR="00882DAD" w:rsidRDefault="00882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E7" w:rsidRPr="00B45C74" w:rsidRDefault="00B850A2" w:rsidP="00ED59E7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D59E7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E7716D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D59E7" w:rsidRPr="003A3500" w:rsidRDefault="00ED59E7" w:rsidP="00ED59E7">
    <w:pPr>
      <w:pStyle w:val="ad"/>
    </w:pPr>
    <w:r>
      <w:rPr>
        <w:b/>
      </w:rPr>
      <w:t>Модуль 5.</w:t>
    </w:r>
    <w:r>
      <w:t xml:space="preserve"> </w:t>
    </w:r>
    <w:r w:rsidR="00E7716D">
      <w:t>Раздел</w:t>
    </w:r>
    <w:r>
      <w:t xml:space="preserve"> 1. </w:t>
    </w:r>
    <w:fldSimple w:instr=" STYLEREF  H1 \t  \* MERGEFORMAT ">
      <w:r w:rsidR="00E7716D" w:rsidRPr="00E7716D">
        <w:rPr>
          <w:bCs/>
          <w:noProof/>
        </w:rPr>
        <w:t>Дорожная карта для планирования мониторинга и оценки (М&amp;</w:t>
      </w:r>
      <w:r w:rsidR="00E7716D">
        <w:rPr>
          <w:i/>
          <w:noProof/>
        </w:rPr>
        <w:t>О)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E7" w:rsidRPr="00B45C74" w:rsidRDefault="00B850A2" w:rsidP="00ED59E7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D59E7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E7716D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D59E7" w:rsidRPr="001C6B1C" w:rsidRDefault="00ED59E7" w:rsidP="00ED59E7">
    <w:pPr>
      <w:pStyle w:val="ad"/>
      <w:rPr>
        <w:b/>
      </w:rPr>
    </w:pPr>
    <w:r>
      <w:rPr>
        <w:b/>
      </w:rPr>
      <w:t>Модуль 5.</w:t>
    </w:r>
    <w:r>
      <w:t xml:space="preserve"> </w:t>
    </w:r>
    <w:r w:rsidR="00E7716D">
      <w:t>Раздел</w:t>
    </w:r>
    <w:r>
      <w:t xml:space="preserve"> 1. </w:t>
    </w:r>
    <w:fldSimple w:instr=" STYLEREF  H1 \t  \* MERGEFORMAT ">
      <w:r w:rsidR="00E7716D" w:rsidRPr="00E7716D">
        <w:rPr>
          <w:bCs/>
          <w:noProof/>
        </w:rPr>
        <w:t>Дорожная карта для планирования мониторинга и оценки (М&amp;</w:t>
      </w:r>
      <w:r w:rsidR="00E7716D">
        <w:rPr>
          <w:noProof/>
        </w:rPr>
        <w:t>О)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AD" w:rsidRDefault="00882DAD">
      <w:r>
        <w:separator/>
      </w:r>
    </w:p>
  </w:footnote>
  <w:footnote w:type="continuationSeparator" w:id="1">
    <w:p w:rsidR="00882DAD" w:rsidRDefault="00882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E7" w:rsidRPr="00074036" w:rsidRDefault="00ED59E7" w:rsidP="00ED59E7">
    <w:pPr>
      <w:pStyle w:val="ab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E7716D">
      <w:rPr>
        <w:rStyle w:val="Pantone485"/>
      </w:rPr>
      <w:t xml:space="preserve"> </w:t>
    </w:r>
    <w:r>
      <w:rPr>
        <w:rStyle w:val="af4"/>
        <w:bCs/>
        <w:szCs w:val="16"/>
      </w:rPr>
      <w:t>I</w:t>
    </w:r>
    <w:r w:rsidR="00E7716D">
      <w:rPr>
        <w:rStyle w:val="af4"/>
        <w:bCs/>
        <w:szCs w:val="16"/>
      </w:rPr>
      <w:t xml:space="preserve"> Методические материалы по вопросам предоставления наличных денежных средств в условиях ЧС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E7" w:rsidRDefault="00ED59E7" w:rsidP="00ED59E7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59E7" w:rsidRDefault="00ED59E7" w:rsidP="00ED59E7">
    <w:pPr>
      <w:pStyle w:val="Header1"/>
    </w:pPr>
  </w:p>
  <w:p w:rsidR="00ED59E7" w:rsidRDefault="00ED59E7" w:rsidP="00ED59E7">
    <w:pPr>
      <w:pStyle w:val="ab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59E7" w:rsidRDefault="00ED59E7" w:rsidP="00ED59E7">
    <w:pPr>
      <w:pStyle w:val="ab"/>
      <w:spacing w:line="240" w:lineRule="auto"/>
      <w:rPr>
        <w:b/>
        <w:color w:val="DC281E"/>
        <w:sz w:val="24"/>
        <w:szCs w:val="24"/>
      </w:rPr>
    </w:pPr>
  </w:p>
  <w:p w:rsidR="00ED59E7" w:rsidRDefault="00ED59E7" w:rsidP="00ED59E7">
    <w:pPr>
      <w:pStyle w:val="ab"/>
      <w:spacing w:line="240" w:lineRule="auto"/>
      <w:rPr>
        <w:b/>
        <w:color w:val="DC281E"/>
        <w:sz w:val="24"/>
        <w:szCs w:val="24"/>
      </w:rPr>
    </w:pPr>
  </w:p>
  <w:p w:rsidR="00ED59E7" w:rsidRPr="00CE53D1" w:rsidRDefault="00E7716D" w:rsidP="00ED59E7">
    <w:pPr>
      <w:pStyle w:val="Header1"/>
      <w:rPr>
        <w:color w:val="DC281E"/>
      </w:rPr>
    </w:pPr>
    <w:r>
      <w:rPr>
        <w:color w:val="DC281E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C4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A61C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A437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52A4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923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7C8F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527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65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167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6A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C61D7"/>
    <w:multiLevelType w:val="hybridMultilevel"/>
    <w:tmpl w:val="7A78EDE6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1751EC"/>
    <w:multiLevelType w:val="hybridMultilevel"/>
    <w:tmpl w:val="D4A2DDAC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656F75"/>
    <w:multiLevelType w:val="hybridMultilevel"/>
    <w:tmpl w:val="5FEC3BEE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553F03"/>
    <w:multiLevelType w:val="hybridMultilevel"/>
    <w:tmpl w:val="2B62B312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F735E8"/>
    <w:multiLevelType w:val="hybridMultilevel"/>
    <w:tmpl w:val="A8A435C2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832A81"/>
    <w:multiLevelType w:val="hybridMultilevel"/>
    <w:tmpl w:val="8C70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A952B4"/>
    <w:multiLevelType w:val="hybridMultilevel"/>
    <w:tmpl w:val="22E0685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71477B"/>
    <w:multiLevelType w:val="hybridMultilevel"/>
    <w:tmpl w:val="7D688CB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817A36"/>
    <w:multiLevelType w:val="hybridMultilevel"/>
    <w:tmpl w:val="9B32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5B14FD"/>
    <w:multiLevelType w:val="hybridMultilevel"/>
    <w:tmpl w:val="A06CDB8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226C8E"/>
    <w:multiLevelType w:val="hybridMultilevel"/>
    <w:tmpl w:val="B6D8F0D4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4C36C6"/>
    <w:multiLevelType w:val="hybridMultilevel"/>
    <w:tmpl w:val="8D5C82F2"/>
    <w:lvl w:ilvl="0" w:tplc="AF5CCA7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A0A0B08"/>
    <w:multiLevelType w:val="hybridMultilevel"/>
    <w:tmpl w:val="CA3E531A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146E76"/>
    <w:multiLevelType w:val="hybridMultilevel"/>
    <w:tmpl w:val="F796D27A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2D1CE0"/>
    <w:multiLevelType w:val="hybridMultilevel"/>
    <w:tmpl w:val="CAD6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2B6393"/>
    <w:multiLevelType w:val="hybridMultilevel"/>
    <w:tmpl w:val="A8A435C2"/>
    <w:lvl w:ilvl="0" w:tplc="AF5CCA70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3A2DD8"/>
    <w:multiLevelType w:val="hybridMultilevel"/>
    <w:tmpl w:val="5FEC3BEE"/>
    <w:lvl w:ilvl="0" w:tplc="AF5CCA7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0F10D53"/>
    <w:multiLevelType w:val="hybridMultilevel"/>
    <w:tmpl w:val="A8A435C2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8F4509"/>
    <w:multiLevelType w:val="hybridMultilevel"/>
    <w:tmpl w:val="C050411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B74F19"/>
    <w:multiLevelType w:val="hybridMultilevel"/>
    <w:tmpl w:val="8D5C82F2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7442C"/>
    <w:multiLevelType w:val="hybridMultilevel"/>
    <w:tmpl w:val="3E18AA5C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04900"/>
    <w:multiLevelType w:val="hybridMultilevel"/>
    <w:tmpl w:val="B6D8F0D4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02CD1"/>
    <w:multiLevelType w:val="hybridMultilevel"/>
    <w:tmpl w:val="CA3E531A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E06E8"/>
    <w:multiLevelType w:val="hybridMultilevel"/>
    <w:tmpl w:val="A742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FD54C4F"/>
    <w:multiLevelType w:val="hybridMultilevel"/>
    <w:tmpl w:val="7D688CB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5A3B98"/>
    <w:multiLevelType w:val="hybridMultilevel"/>
    <w:tmpl w:val="D4A2DDAC"/>
    <w:lvl w:ilvl="0" w:tplc="E54290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4D1867"/>
    <w:multiLevelType w:val="hybridMultilevel"/>
    <w:tmpl w:val="C050411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3A580E"/>
    <w:multiLevelType w:val="hybridMultilevel"/>
    <w:tmpl w:val="A06CDB80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474815"/>
    <w:multiLevelType w:val="hybridMultilevel"/>
    <w:tmpl w:val="1FCC5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917F87"/>
    <w:multiLevelType w:val="hybridMultilevel"/>
    <w:tmpl w:val="3E18AA5C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CB4014"/>
    <w:multiLevelType w:val="hybridMultilevel"/>
    <w:tmpl w:val="F796D27A"/>
    <w:lvl w:ilvl="0" w:tplc="AF5CC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F50707"/>
    <w:multiLevelType w:val="hybridMultilevel"/>
    <w:tmpl w:val="7A78EDE6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3"/>
  </w:num>
  <w:num w:numId="3">
    <w:abstractNumId w:val="35"/>
  </w:num>
  <w:num w:numId="4">
    <w:abstractNumId w:val="31"/>
  </w:num>
  <w:num w:numId="5">
    <w:abstractNumId w:val="41"/>
  </w:num>
  <w:num w:numId="6">
    <w:abstractNumId w:val="11"/>
  </w:num>
  <w:num w:numId="7">
    <w:abstractNumId w:val="32"/>
  </w:num>
  <w:num w:numId="8">
    <w:abstractNumId w:val="24"/>
  </w:num>
  <w:num w:numId="9">
    <w:abstractNumId w:val="15"/>
  </w:num>
  <w:num w:numId="10">
    <w:abstractNumId w:val="28"/>
  </w:num>
  <w:num w:numId="11">
    <w:abstractNumId w:val="30"/>
  </w:num>
  <w:num w:numId="12">
    <w:abstractNumId w:val="13"/>
  </w:num>
  <w:num w:numId="13">
    <w:abstractNumId w:val="29"/>
  </w:num>
  <w:num w:numId="14">
    <w:abstractNumId w:val="10"/>
  </w:num>
  <w:num w:numId="15">
    <w:abstractNumId w:val="48"/>
  </w:num>
  <w:num w:numId="16">
    <w:abstractNumId w:val="34"/>
  </w:num>
  <w:num w:numId="17">
    <w:abstractNumId w:val="46"/>
  </w:num>
  <w:num w:numId="18">
    <w:abstractNumId w:val="25"/>
  </w:num>
  <w:num w:numId="19">
    <w:abstractNumId w:val="36"/>
  </w:num>
  <w:num w:numId="20">
    <w:abstractNumId w:val="21"/>
  </w:num>
  <w:num w:numId="21">
    <w:abstractNumId w:val="47"/>
  </w:num>
  <w:num w:numId="22">
    <w:abstractNumId w:val="26"/>
  </w:num>
  <w:num w:numId="23">
    <w:abstractNumId w:val="44"/>
  </w:num>
  <w:num w:numId="24">
    <w:abstractNumId w:val="22"/>
  </w:num>
  <w:num w:numId="25">
    <w:abstractNumId w:val="40"/>
  </w:num>
  <w:num w:numId="26">
    <w:abstractNumId w:val="20"/>
  </w:num>
  <w:num w:numId="27">
    <w:abstractNumId w:val="14"/>
  </w:num>
  <w:num w:numId="28">
    <w:abstractNumId w:val="19"/>
  </w:num>
  <w:num w:numId="29">
    <w:abstractNumId w:val="16"/>
  </w:num>
  <w:num w:numId="30">
    <w:abstractNumId w:val="17"/>
  </w:num>
  <w:num w:numId="31">
    <w:abstractNumId w:val="27"/>
  </w:num>
  <w:num w:numId="32">
    <w:abstractNumId w:val="12"/>
  </w:num>
  <w:num w:numId="33">
    <w:abstractNumId w:val="33"/>
  </w:num>
  <w:num w:numId="34">
    <w:abstractNumId w:val="18"/>
  </w:num>
  <w:num w:numId="35">
    <w:abstractNumId w:val="37"/>
  </w:num>
  <w:num w:numId="36">
    <w:abstractNumId w:val="42"/>
  </w:num>
  <w:num w:numId="37">
    <w:abstractNumId w:val="39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5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0F7F"/>
    <w:rsid w:val="00022FBE"/>
    <w:rsid w:val="000E3FD4"/>
    <w:rsid w:val="00136C29"/>
    <w:rsid w:val="00156089"/>
    <w:rsid w:val="001603B0"/>
    <w:rsid w:val="00197804"/>
    <w:rsid w:val="001C6B1C"/>
    <w:rsid w:val="00254669"/>
    <w:rsid w:val="00273676"/>
    <w:rsid w:val="002A5262"/>
    <w:rsid w:val="002B1145"/>
    <w:rsid w:val="002C223B"/>
    <w:rsid w:val="002E0557"/>
    <w:rsid w:val="00310F7F"/>
    <w:rsid w:val="0037391C"/>
    <w:rsid w:val="00375E03"/>
    <w:rsid w:val="003A799A"/>
    <w:rsid w:val="00447B77"/>
    <w:rsid w:val="004652A5"/>
    <w:rsid w:val="004C3287"/>
    <w:rsid w:val="004F2AC8"/>
    <w:rsid w:val="004F5983"/>
    <w:rsid w:val="00587F53"/>
    <w:rsid w:val="00592EE1"/>
    <w:rsid w:val="005D40B5"/>
    <w:rsid w:val="00637299"/>
    <w:rsid w:val="00684255"/>
    <w:rsid w:val="006E099E"/>
    <w:rsid w:val="006E73ED"/>
    <w:rsid w:val="00756A6A"/>
    <w:rsid w:val="007836E8"/>
    <w:rsid w:val="007E0454"/>
    <w:rsid w:val="00856E0A"/>
    <w:rsid w:val="00865F32"/>
    <w:rsid w:val="00882DAD"/>
    <w:rsid w:val="00901BDF"/>
    <w:rsid w:val="009A0962"/>
    <w:rsid w:val="009D600D"/>
    <w:rsid w:val="009E4609"/>
    <w:rsid w:val="00A02EAE"/>
    <w:rsid w:val="00A22FB8"/>
    <w:rsid w:val="00A668E9"/>
    <w:rsid w:val="00A9221E"/>
    <w:rsid w:val="00A942B0"/>
    <w:rsid w:val="00AC14EA"/>
    <w:rsid w:val="00B23B74"/>
    <w:rsid w:val="00B30398"/>
    <w:rsid w:val="00B43B9E"/>
    <w:rsid w:val="00B850A2"/>
    <w:rsid w:val="00C6084E"/>
    <w:rsid w:val="00C9455F"/>
    <w:rsid w:val="00CA4178"/>
    <w:rsid w:val="00CC1211"/>
    <w:rsid w:val="00CE53D1"/>
    <w:rsid w:val="00D90668"/>
    <w:rsid w:val="00DA6754"/>
    <w:rsid w:val="00E66A9A"/>
    <w:rsid w:val="00E7716D"/>
    <w:rsid w:val="00EA6307"/>
    <w:rsid w:val="00ED59E7"/>
    <w:rsid w:val="00EE263E"/>
    <w:rsid w:val="00F067F8"/>
    <w:rsid w:val="00F23838"/>
    <w:rsid w:val="00F7028E"/>
    <w:rsid w:val="00FA01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unhideWhenUsed="1"/>
    <w:lsdException w:name="index 1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semiHidden="0"/>
    <w:lsdException w:name="List Number 2" w:unhideWhenUsed="1"/>
    <w:lsdException w:name="List Number 3" w:unhideWhenUsed="1"/>
    <w:lsdException w:name="List Number 4" w:semiHidden="0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 w:uiPriority="99"/>
    <w:lsdException w:name="FollowedHyperlink" w:uiPriority="99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156089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156089"/>
  </w:style>
  <w:style w:type="paragraph" w:styleId="2">
    <w:name w:val="heading 2"/>
    <w:basedOn w:val="a"/>
    <w:next w:val="a"/>
    <w:link w:val="20"/>
    <w:uiPriority w:val="9"/>
    <w:unhideWhenUsed/>
    <w:qFormat/>
    <w:rsid w:val="0015608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15608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6089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156089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156089"/>
    <w:pPr>
      <w:spacing w:after="0"/>
    </w:pPr>
    <w:rPr>
      <w:sz w:val="16"/>
      <w:szCs w:val="22"/>
    </w:rPr>
  </w:style>
  <w:style w:type="character" w:customStyle="1" w:styleId="a7">
    <w:name w:val="Текст сноски Знак"/>
    <w:basedOn w:val="a0"/>
    <w:link w:val="a6"/>
    <w:uiPriority w:val="99"/>
    <w:rsid w:val="00156089"/>
    <w:rPr>
      <w:rFonts w:ascii="Arial" w:eastAsiaTheme="minorEastAsia" w:hAnsi="Arial" w:cs="Times New Roman"/>
      <w:sz w:val="16"/>
      <w:szCs w:val="22"/>
    </w:rPr>
  </w:style>
  <w:style w:type="character" w:styleId="a8">
    <w:name w:val="footnote reference"/>
    <w:basedOn w:val="a0"/>
    <w:uiPriority w:val="99"/>
    <w:unhideWhenUsed/>
    <w:rsid w:val="00156089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156089"/>
    <w:rPr>
      <w:rFonts w:ascii="Arial" w:hAnsi="Arial"/>
      <w:sz w:val="20"/>
      <w:szCs w:val="22"/>
    </w:rPr>
  </w:style>
  <w:style w:type="paragraph" w:styleId="a9">
    <w:name w:val="Balloon Text"/>
    <w:basedOn w:val="a"/>
    <w:link w:val="aa"/>
    <w:uiPriority w:val="99"/>
    <w:unhideWhenUsed/>
    <w:rsid w:val="0015608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156089"/>
    <w:rPr>
      <w:rFonts w:ascii="Lucida Grande" w:eastAsiaTheme="minorEastAsia" w:hAnsi="Lucida Grande" w:cs="Lucida Grande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6089"/>
    <w:pPr>
      <w:spacing w:after="0" w:line="288" w:lineRule="auto"/>
      <w:jc w:val="left"/>
    </w:pPr>
    <w:rPr>
      <w:sz w:val="16"/>
    </w:rPr>
  </w:style>
  <w:style w:type="character" w:customStyle="1" w:styleId="ac">
    <w:name w:val="Верхний колонтитул Знак"/>
    <w:basedOn w:val="a0"/>
    <w:link w:val="ab"/>
    <w:uiPriority w:val="99"/>
    <w:rsid w:val="00156089"/>
    <w:rPr>
      <w:rFonts w:ascii="Arial" w:eastAsiaTheme="minorEastAsia" w:hAnsi="Arial" w:cs="Times New Roman"/>
      <w:sz w:val="16"/>
      <w:szCs w:val="20"/>
    </w:rPr>
  </w:style>
  <w:style w:type="paragraph" w:styleId="ad">
    <w:name w:val="footer"/>
    <w:basedOn w:val="a"/>
    <w:link w:val="ae"/>
    <w:uiPriority w:val="99"/>
    <w:unhideWhenUsed/>
    <w:rsid w:val="00156089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156089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15608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6089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156089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156089"/>
    <w:rPr>
      <w:rFonts w:ascii="Arial" w:eastAsiaTheme="minorEastAsia" w:hAnsi="Arial" w:cs="Times New Roman"/>
      <w:b/>
      <w:sz w:val="22"/>
    </w:rPr>
  </w:style>
  <w:style w:type="character" w:styleId="af">
    <w:name w:val="annotation reference"/>
    <w:basedOn w:val="a0"/>
    <w:uiPriority w:val="99"/>
    <w:unhideWhenUsed/>
    <w:rsid w:val="00156089"/>
    <w:rPr>
      <w:sz w:val="18"/>
      <w:szCs w:val="18"/>
    </w:rPr>
  </w:style>
  <w:style w:type="paragraph" w:styleId="af0">
    <w:name w:val="annotation text"/>
    <w:basedOn w:val="a"/>
    <w:link w:val="af1"/>
    <w:rsid w:val="001C6B1C"/>
  </w:style>
  <w:style w:type="character" w:customStyle="1" w:styleId="af1">
    <w:name w:val="Текст примечания Знак"/>
    <w:basedOn w:val="a0"/>
    <w:link w:val="af0"/>
    <w:rsid w:val="001C6B1C"/>
    <w:rPr>
      <w:rFonts w:ascii="Arial" w:eastAsiaTheme="minorEastAsia" w:hAnsi="Arial" w:cs="Times New Roman"/>
      <w:sz w:val="20"/>
      <w:szCs w:val="20"/>
    </w:rPr>
  </w:style>
  <w:style w:type="paragraph" w:styleId="af2">
    <w:name w:val="annotation subject"/>
    <w:basedOn w:val="a"/>
    <w:link w:val="af3"/>
    <w:uiPriority w:val="99"/>
    <w:unhideWhenUsed/>
    <w:rsid w:val="00156089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rsid w:val="00156089"/>
    <w:rPr>
      <w:rFonts w:ascii="Arial" w:eastAsiaTheme="minorEastAsia" w:hAnsi="Arial" w:cs="Times New Roman"/>
      <w:b/>
      <w:bCs/>
      <w:sz w:val="20"/>
      <w:szCs w:val="20"/>
    </w:rPr>
  </w:style>
  <w:style w:type="character" w:styleId="af4">
    <w:name w:val="page number"/>
    <w:basedOn w:val="a0"/>
    <w:uiPriority w:val="99"/>
    <w:unhideWhenUsed/>
    <w:rsid w:val="00156089"/>
    <w:rPr>
      <w:b/>
    </w:rPr>
  </w:style>
  <w:style w:type="character" w:styleId="af5">
    <w:name w:val="Hyperlink"/>
    <w:basedOn w:val="a0"/>
    <w:uiPriority w:val="99"/>
    <w:unhideWhenUsed/>
    <w:rsid w:val="00156089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unhideWhenUsed/>
    <w:rsid w:val="00156089"/>
    <w:rPr>
      <w:color w:val="800080" w:themeColor="followedHyperlink"/>
      <w:u w:val="single"/>
    </w:rPr>
  </w:style>
  <w:style w:type="paragraph" w:styleId="af7">
    <w:name w:val="Revision"/>
    <w:hidden/>
    <w:uiPriority w:val="99"/>
    <w:rsid w:val="00156089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15608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15608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156089"/>
    <w:pPr>
      <w:numPr>
        <w:numId w:val="3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15608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15608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b"/>
    <w:rsid w:val="00156089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156089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156089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156089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156089"/>
    <w:pPr>
      <w:numPr>
        <w:numId w:val="3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156089"/>
    <w:pPr>
      <w:numPr>
        <w:ilvl w:val="1"/>
        <w:numId w:val="3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156089"/>
    <w:pPr>
      <w:numPr>
        <w:numId w:val="33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156089"/>
    <w:pPr>
      <w:numPr>
        <w:numId w:val="3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156089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156089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156089"/>
    <w:pPr>
      <w:keepNext/>
      <w:keepLines/>
      <w:framePr w:hSpace="141" w:wrap="around" w:vAnchor="text" w:hAnchor="margin" w:y="402"/>
      <w:numPr>
        <w:numId w:val="37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/>
    <w:lsdException w:name="heading 2" w:semiHidden="0" w:uiPriority="9" w:qFormat="1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unhideWhenUsed="1"/>
    <w:lsdException w:name="index 1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iPriority="99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semiHidden="0"/>
    <w:lsdException w:name="List Number 2" w:unhideWhenUsed="1"/>
    <w:lsdException w:name="List Number 3" w:unhideWhenUsed="1"/>
    <w:lsdException w:name="List Number 4" w:semiHidden="0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 w:uiPriority="99"/>
    <w:lsdException w:name="FollowedHyperlink" w:uiPriority="99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Revision" w:uiPriority="99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156089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1560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08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08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6089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156089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56089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6089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156089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6089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15608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6089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6089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56089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156089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56089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15608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56089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56089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6089"/>
    <w:rPr>
      <w:rFonts w:ascii="Arial" w:eastAsiaTheme="minorEastAsia" w:hAnsi="Arial" w:cs="Times New Roman"/>
      <w:b/>
      <w:sz w:val="22"/>
    </w:rPr>
  </w:style>
  <w:style w:type="character" w:styleId="CommentReference">
    <w:name w:val="annotation reference"/>
    <w:basedOn w:val="DefaultParagraphFont"/>
    <w:uiPriority w:val="99"/>
    <w:unhideWhenUsed/>
    <w:rsid w:val="00156089"/>
    <w:rPr>
      <w:sz w:val="18"/>
      <w:szCs w:val="18"/>
    </w:rPr>
  </w:style>
  <w:style w:type="paragraph" w:styleId="CommentText">
    <w:name w:val="annotation text"/>
    <w:basedOn w:val="Normal"/>
    <w:link w:val="CommentTextChar"/>
    <w:rsid w:val="001C6B1C"/>
  </w:style>
  <w:style w:type="character" w:customStyle="1" w:styleId="CommentTextChar">
    <w:name w:val="Comment Text Char"/>
    <w:basedOn w:val="DefaultParagraphFont"/>
    <w:link w:val="CommentText"/>
    <w:rsid w:val="001C6B1C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unhideWhenUsed/>
    <w:rsid w:val="0015608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56089"/>
    <w:rPr>
      <w:rFonts w:ascii="Arial" w:eastAsiaTheme="minorEastAsia" w:hAnsi="Arial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156089"/>
    <w:rPr>
      <w:b/>
    </w:rPr>
  </w:style>
  <w:style w:type="character" w:styleId="Hyperlink">
    <w:name w:val="Hyperlink"/>
    <w:basedOn w:val="DefaultParagraphFont"/>
    <w:uiPriority w:val="99"/>
    <w:unhideWhenUsed/>
    <w:rsid w:val="001560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56089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156089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5608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5608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56089"/>
    <w:pPr>
      <w:numPr>
        <w:numId w:val="3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5608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5608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56089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56089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56089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156089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56089"/>
    <w:pPr>
      <w:numPr>
        <w:numId w:val="3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156089"/>
    <w:pPr>
      <w:numPr>
        <w:ilvl w:val="1"/>
        <w:numId w:val="3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56089"/>
    <w:pPr>
      <w:numPr>
        <w:numId w:val="3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56089"/>
    <w:pPr>
      <w:numPr>
        <w:numId w:val="3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5608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56089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156089"/>
    <w:pPr>
      <w:keepNext/>
      <w:keepLines/>
      <w:framePr w:hSpace="141" w:wrap="around" w:vAnchor="text" w:hAnchor="margin" w:y="402"/>
      <w:numPr>
        <w:numId w:val="37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security.nrc-handbooks.org/assets/NFI_ES_cluster_PDM_guidelines_July_2012-cop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rc.org/eng/resources/documents/publication/p0995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22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User</cp:lastModifiedBy>
  <cp:revision>8</cp:revision>
  <cp:lastPrinted>2015-10-13T14:57:00Z</cp:lastPrinted>
  <dcterms:created xsi:type="dcterms:W3CDTF">2016-08-03T13:07:00Z</dcterms:created>
  <dcterms:modified xsi:type="dcterms:W3CDTF">2017-04-20T13:44:00Z</dcterms:modified>
</cp:coreProperties>
</file>