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72" w:rsidRPr="00A7051E" w:rsidRDefault="00B20E72" w:rsidP="00777F8F">
      <w:pPr>
        <w:pStyle w:val="H1"/>
      </w:pPr>
      <w:r>
        <w:t xml:space="preserve">Дорожная карта для мониторинга программы </w:t>
      </w:r>
    </w:p>
    <w:tbl>
      <w:tblPr>
        <w:tblStyle w:val="a5"/>
        <w:tblW w:w="0" w:type="auto"/>
        <w:tblInd w:w="108" w:type="dxa"/>
        <w:tblCellMar>
          <w:top w:w="57" w:type="dxa"/>
          <w:bottom w:w="57" w:type="dxa"/>
        </w:tblCellMar>
        <w:tblLook w:val="04A0"/>
      </w:tblPr>
      <w:tblGrid>
        <w:gridCol w:w="2410"/>
        <w:gridCol w:w="2236"/>
        <w:gridCol w:w="2462"/>
        <w:gridCol w:w="2462"/>
      </w:tblGrid>
      <w:tr w:rsidR="002B35B6" w:rsidTr="00E652A3">
        <w:tc>
          <w:tcPr>
            <w:tcW w:w="9570" w:type="dxa"/>
            <w:gridSpan w:val="4"/>
          </w:tcPr>
          <w:p w:rsidR="002B35B6" w:rsidRPr="007836E8" w:rsidRDefault="002B35B6" w:rsidP="00E652A3">
            <w:pPr>
              <w:jc w:val="center"/>
              <w:rPr>
                <w:b/>
              </w:rPr>
            </w:pPr>
            <w:r w:rsidRPr="007836E8">
              <w:rPr>
                <w:b/>
              </w:rPr>
              <w:t>МОНИТОРИНГ И ОЦЕНКА</w:t>
            </w:r>
          </w:p>
        </w:tc>
      </w:tr>
      <w:tr w:rsidR="002B35B6" w:rsidTr="00E652A3">
        <w:tc>
          <w:tcPr>
            <w:tcW w:w="2410" w:type="dxa"/>
          </w:tcPr>
          <w:p w:rsidR="002B35B6" w:rsidRDefault="002B35B6" w:rsidP="002B35B6">
            <w:pPr>
              <w:pStyle w:val="a3"/>
              <w:numPr>
                <w:ilvl w:val="0"/>
                <w:numId w:val="17"/>
              </w:numPr>
              <w:tabs>
                <w:tab w:val="left" w:pos="425"/>
                <w:tab w:val="left" w:pos="605"/>
              </w:tabs>
              <w:ind w:left="0" w:firstLine="17"/>
              <w:jc w:val="left"/>
            </w:pPr>
            <w:r>
              <w:t>Планирование МиО ПДП</w:t>
            </w:r>
          </w:p>
        </w:tc>
        <w:tc>
          <w:tcPr>
            <w:tcW w:w="2236" w:type="dxa"/>
          </w:tcPr>
          <w:p w:rsidR="002B35B6" w:rsidRDefault="002B35B6" w:rsidP="002B35B6">
            <w:pPr>
              <w:pStyle w:val="a3"/>
              <w:numPr>
                <w:ilvl w:val="0"/>
                <w:numId w:val="17"/>
              </w:numPr>
              <w:tabs>
                <w:tab w:val="left" w:pos="348"/>
              </w:tabs>
              <w:ind w:left="127" w:hanging="35"/>
              <w:jc w:val="left"/>
            </w:pPr>
            <w:r>
              <w:t>Мониторинг программы</w:t>
            </w:r>
          </w:p>
        </w:tc>
        <w:tc>
          <w:tcPr>
            <w:tcW w:w="2462" w:type="dxa"/>
          </w:tcPr>
          <w:p w:rsidR="002B35B6" w:rsidRDefault="002B35B6" w:rsidP="002B35B6">
            <w:pPr>
              <w:pStyle w:val="a3"/>
              <w:numPr>
                <w:ilvl w:val="0"/>
                <w:numId w:val="17"/>
              </w:numPr>
              <w:tabs>
                <w:tab w:val="left" w:pos="361"/>
              </w:tabs>
              <w:ind w:left="79" w:hanging="87"/>
              <w:jc w:val="left"/>
            </w:pPr>
            <w:r>
              <w:t>Мониторинг рынка</w:t>
            </w:r>
          </w:p>
        </w:tc>
        <w:tc>
          <w:tcPr>
            <w:tcW w:w="2462" w:type="dxa"/>
          </w:tcPr>
          <w:p w:rsidR="002B35B6" w:rsidRDefault="002B35B6" w:rsidP="002B35B6">
            <w:pPr>
              <w:pStyle w:val="a3"/>
              <w:numPr>
                <w:ilvl w:val="0"/>
                <w:numId w:val="17"/>
              </w:numPr>
              <w:tabs>
                <w:tab w:val="left" w:pos="329"/>
              </w:tabs>
              <w:ind w:left="14" w:firstLine="2"/>
              <w:jc w:val="left"/>
            </w:pPr>
            <w:r>
              <w:t>Оценка ПДП</w:t>
            </w:r>
          </w:p>
        </w:tc>
      </w:tr>
      <w:tr w:rsidR="002B35B6" w:rsidTr="002B35B6">
        <w:tc>
          <w:tcPr>
            <w:tcW w:w="2410" w:type="dxa"/>
            <w:shd w:val="clear" w:color="auto" w:fill="auto"/>
          </w:tcPr>
          <w:p w:rsidR="002B35B6" w:rsidRDefault="002B35B6" w:rsidP="00E652A3">
            <w:pPr>
              <w:jc w:val="left"/>
            </w:pPr>
            <w:r>
              <w:t>.1 Разработать стратегию МиО</w:t>
            </w:r>
          </w:p>
          <w:p w:rsidR="002B35B6" w:rsidRDefault="002B35B6" w:rsidP="00E652A3">
            <w:pPr>
              <w:jc w:val="left"/>
            </w:pPr>
            <w:r>
              <w:t>.2 Повысить квалификацию персонала</w:t>
            </w:r>
          </w:p>
        </w:tc>
        <w:tc>
          <w:tcPr>
            <w:tcW w:w="2236" w:type="dxa"/>
            <w:shd w:val="clear" w:color="auto" w:fill="B8CCE4" w:themeFill="accent1" w:themeFillTint="66"/>
          </w:tcPr>
          <w:p w:rsidR="002B35B6" w:rsidRDefault="002B35B6" w:rsidP="00E652A3">
            <w:pPr>
              <w:jc w:val="left"/>
            </w:pPr>
            <w:r>
              <w:t>.1 Исходные показатели</w:t>
            </w:r>
          </w:p>
          <w:p w:rsidR="002B35B6" w:rsidRDefault="002B35B6" w:rsidP="00E652A3">
            <w:pPr>
              <w:jc w:val="left"/>
            </w:pPr>
            <w:r>
              <w:t>.2 Мониторинг обналичивания</w:t>
            </w:r>
          </w:p>
          <w:p w:rsidR="002B35B6" w:rsidRDefault="002B35B6" w:rsidP="00E652A3">
            <w:pPr>
              <w:jc w:val="left"/>
            </w:pPr>
            <w:r>
              <w:t>.3 Мониторинг после раздачи</w:t>
            </w:r>
          </w:p>
        </w:tc>
        <w:tc>
          <w:tcPr>
            <w:tcW w:w="2462" w:type="dxa"/>
          </w:tcPr>
          <w:p w:rsidR="002B35B6" w:rsidRDefault="002B35B6" w:rsidP="00E652A3">
            <w:pPr>
              <w:jc w:val="left"/>
            </w:pPr>
            <w:r>
              <w:t>.1 Мониторинг торговцев</w:t>
            </w:r>
          </w:p>
          <w:p w:rsidR="002B35B6" w:rsidRDefault="002B35B6" w:rsidP="00E652A3">
            <w:pPr>
              <w:jc w:val="left"/>
            </w:pPr>
            <w:r>
              <w:t>.2 Мониторинг цен</w:t>
            </w:r>
          </w:p>
          <w:p w:rsidR="002B35B6" w:rsidRDefault="002B35B6" w:rsidP="00E652A3">
            <w:pPr>
              <w:jc w:val="left"/>
            </w:pPr>
            <w:r>
              <w:t>.3 Реагирование на изменения цен</w:t>
            </w:r>
          </w:p>
        </w:tc>
        <w:tc>
          <w:tcPr>
            <w:tcW w:w="2462" w:type="dxa"/>
          </w:tcPr>
          <w:p w:rsidR="002B35B6" w:rsidRDefault="002B35B6" w:rsidP="00E652A3">
            <w:pPr>
              <w:jc w:val="left"/>
            </w:pPr>
            <w:r>
              <w:t>.1 Сформулировать критерии и вопросы для оценки</w:t>
            </w:r>
          </w:p>
          <w:p w:rsidR="002B35B6" w:rsidRDefault="002B35B6" w:rsidP="00E652A3">
            <w:pPr>
              <w:jc w:val="left"/>
            </w:pPr>
            <w:r>
              <w:t>.2 Подготовить ТЗ для оценки</w:t>
            </w:r>
          </w:p>
          <w:p w:rsidR="002B35B6" w:rsidRDefault="002B35B6" w:rsidP="00E652A3">
            <w:pPr>
              <w:jc w:val="left"/>
            </w:pPr>
            <w:r>
              <w:t>.3 Написать отчёты</w:t>
            </w:r>
          </w:p>
        </w:tc>
      </w:tr>
    </w:tbl>
    <w:p w:rsidR="000A3581" w:rsidRPr="00A7051E" w:rsidRDefault="000A3581" w:rsidP="00AB121E">
      <w:pPr>
        <w:pStyle w:val="2"/>
        <w:spacing w:before="480"/>
      </w:pPr>
      <w:r>
        <w:t>ВВЕДЕНИЕ</w:t>
      </w:r>
    </w:p>
    <w:p w:rsidR="000A3581" w:rsidRPr="00A7051E" w:rsidRDefault="000A3581" w:rsidP="005B622B">
      <w:r>
        <w:t>Данная дорожная карта поможет вам разобраться с различными элементами мониторинга программы, включая исходные показатели, обналичивание и раздачи, а также мониторинг после осуществления раздачи.</w:t>
      </w:r>
    </w:p>
    <w:p w:rsidR="00DA6833" w:rsidRPr="00A7051E" w:rsidRDefault="00C63FE5" w:rsidP="005B622B">
      <w:pPr>
        <w:rPr>
          <w:rFonts w:cs="O¯øœ!Ÿ"/>
        </w:rPr>
      </w:pPr>
      <w:r>
        <w:t xml:space="preserve">Кроме того, в данной дорожной карте также выражены предположения о том, какие инструменты Денежных переводов в чрезвычайных ситуациях наиболее полезны для данного </w:t>
      </w:r>
      <w:r w:rsidR="00DE25E0">
        <w:t>раздела</w:t>
      </w:r>
      <w:r>
        <w:t xml:space="preserve"> и </w:t>
      </w:r>
      <w:r w:rsidR="00DE25E0">
        <w:t>подразделов</w:t>
      </w:r>
      <w:r>
        <w:t>.</w:t>
      </w:r>
      <w:r w:rsidR="00AF69BB">
        <w:t xml:space="preserve"> </w:t>
      </w:r>
      <w:r>
        <w:t>Эти инструменты будет необходимо скорректировать согласно вашим потребностям и условиям.</w:t>
      </w:r>
    </w:p>
    <w:p w:rsidR="00DA6833" w:rsidRPr="00A7051E" w:rsidRDefault="00DA6833" w:rsidP="005B622B">
      <w:pPr>
        <w:rPr>
          <w:rFonts w:cs="O¯øœ!Ÿ"/>
        </w:rPr>
      </w:pPr>
      <w:r>
        <w:t xml:space="preserve">Вы должны всегда стремиться соблюдать минимальные стандарты, перечисленные </w:t>
      </w:r>
      <w:r w:rsidR="00DE25E0">
        <w:t>в этом разделе</w:t>
      </w:r>
      <w:r>
        <w:t xml:space="preserve">.  Это поможет повысить уровень </w:t>
      </w:r>
      <w:r w:rsidR="002B35B6">
        <w:t>эффективности</w:t>
      </w:r>
      <w:r>
        <w:t xml:space="preserve"> ваших действий.</w:t>
      </w:r>
    </w:p>
    <w:p w:rsidR="00DA6833" w:rsidRPr="00A7051E" w:rsidRDefault="00DA6833" w:rsidP="005B622B">
      <w:pPr>
        <w:rPr>
          <w:rFonts w:cs="O¯øœ!Ÿ"/>
        </w:rPr>
      </w:pPr>
      <w:r>
        <w:t xml:space="preserve">Вероятно, по мере того как завершаются процессы и информация поступает в каждый </w:t>
      </w:r>
      <w:r w:rsidR="00DE25E0">
        <w:t>подраздел</w:t>
      </w:r>
      <w:r>
        <w:t xml:space="preserve">, для принятия решений вам потребуется </w:t>
      </w:r>
      <w:r>
        <w:rPr>
          <w:b/>
        </w:rPr>
        <w:t xml:space="preserve">переходить от одного </w:t>
      </w:r>
      <w:r w:rsidR="00DE25E0">
        <w:rPr>
          <w:b/>
        </w:rPr>
        <w:t>подраздела</w:t>
      </w:r>
      <w:r>
        <w:rPr>
          <w:b/>
        </w:rPr>
        <w:t xml:space="preserve"> к другому</w:t>
      </w:r>
      <w:r>
        <w:t>.</w:t>
      </w:r>
    </w:p>
    <w:p w:rsidR="00DA6833" w:rsidRPr="00A7051E" w:rsidRDefault="00DA6833" w:rsidP="005B622B">
      <w:r>
        <w:t>Если вам потребуется более детальное руководство в вопросах мониторинга программы, обратитесь к справочным документам, предложенным в конце данной дорожной карты.</w:t>
      </w:r>
    </w:p>
    <w:p w:rsidR="000A3581" w:rsidRPr="00A7051E" w:rsidRDefault="000A3581" w:rsidP="0047617F">
      <w:pPr>
        <w:pStyle w:val="2"/>
      </w:pPr>
      <w:r>
        <w:t>МИНИМАЛЬНЫЕ СТАНДАРТЫ</w:t>
      </w:r>
    </w:p>
    <w:p w:rsidR="00DB624D" w:rsidRPr="00A7051E" w:rsidRDefault="00C63FE5" w:rsidP="0047617F">
      <w:pPr>
        <w:pStyle w:val="Bullet1"/>
      </w:pPr>
      <w:r>
        <w:t>В идеале, исходные данные следует собрать до или по крайней мере во время первого раунда выплаты денег.</w:t>
      </w:r>
    </w:p>
    <w:p w:rsidR="00DB624D" w:rsidRPr="00A7051E" w:rsidRDefault="00636EB7" w:rsidP="0047617F">
      <w:pPr>
        <w:pStyle w:val="Bullet1"/>
      </w:pPr>
      <w:r>
        <w:t>Раздачу и обналичивание необходимо контролировать непосредственно, даже если они осуществляются с помощью третьей стороны.</w:t>
      </w:r>
    </w:p>
    <w:p w:rsidR="00DB624D" w:rsidRPr="00A7051E" w:rsidRDefault="00C63FE5" w:rsidP="0047617F">
      <w:pPr>
        <w:pStyle w:val="Bullet1"/>
      </w:pPr>
      <w:r>
        <w:t>Мониторинг после осуществления раздачи (МПР) следует запланировать так, чтобы дать бенефициарам время воспользоваться полученными средствами.</w:t>
      </w:r>
    </w:p>
    <w:p w:rsidR="00470DA6" w:rsidRPr="00A7051E" w:rsidRDefault="00470DA6" w:rsidP="0047617F">
      <w:pPr>
        <w:pStyle w:val="Bullet1"/>
      </w:pPr>
      <w:r>
        <w:t>В особенности при работе с многоцелевыми денежными пособиями при проведении МПР следует учитывать многосекторное использование денежных средств и их потенциальное вторичное воздействие.</w:t>
      </w:r>
    </w:p>
    <w:p w:rsidR="00DB624D" w:rsidRPr="00A7051E" w:rsidRDefault="00DB624D" w:rsidP="0047617F">
      <w:pPr>
        <w:pStyle w:val="Bullet1"/>
      </w:pPr>
      <w:r>
        <w:t>В МПР следует объединить количественные и качественные данные, полученные из разных источников, чтобы иметь возможность провести кросс-проверку</w:t>
      </w:r>
    </w:p>
    <w:p w:rsidR="00D77A5A" w:rsidRPr="00A7051E" w:rsidRDefault="00DE25E0" w:rsidP="0047617F">
      <w:pPr>
        <w:pStyle w:val="2"/>
      </w:pPr>
      <w:r>
        <w:lastRenderedPageBreak/>
        <w:t>ПОДРАЗДЕЛЫ</w:t>
      </w:r>
      <w:r w:rsidR="00D77A5A">
        <w:t xml:space="preserve"> И ИНСТРУМЕНТЫ</w:t>
      </w:r>
    </w:p>
    <w:p w:rsidR="00047584" w:rsidRPr="00A7051E" w:rsidRDefault="00225E6F" w:rsidP="0047617F">
      <w:pPr>
        <w:pStyle w:val="3"/>
      </w:pPr>
      <w:r>
        <w:t>Исходные условия</w:t>
      </w:r>
    </w:p>
    <w:p w:rsidR="004E51B4" w:rsidRPr="00A7051E" w:rsidRDefault="00047584" w:rsidP="005B622B">
      <w:r>
        <w:t>Данные об исходных условиях чрезвычайно важны для мониторинга изменений, вызванных работой программы.</w:t>
      </w:r>
      <w:r w:rsidR="002B35B6">
        <w:t xml:space="preserve">  </w:t>
      </w:r>
      <w:r>
        <w:t xml:space="preserve">Базовые показатели, отражающие ситуацию до наступления шока, можно получить из вторичных источников, таких как системы раннего предупреждения и мониторинга продовольственной безопасности, или </w:t>
      </w:r>
      <w:r w:rsidR="002B35B6">
        <w:t xml:space="preserve">на </w:t>
      </w:r>
      <w:r>
        <w:t>подготовительной стадии.</w:t>
      </w:r>
      <w:r w:rsidR="002B35B6">
        <w:t xml:space="preserve">  </w:t>
      </w:r>
      <w:r>
        <w:t>Как вариант, при оценке потребностей можно провести исследование исходных условий, чтобы зафиксировать ситуацию сразу же после наступления шока.</w:t>
      </w:r>
      <w:r w:rsidR="00AF69BB">
        <w:t xml:space="preserve"> </w:t>
      </w:r>
      <w:r>
        <w:t>Примеры вопросников, которые следует использовать в соответствующих фазах, можно найти в модулях, посвящённых готовности и оценке.</w:t>
      </w:r>
    </w:p>
    <w:p w:rsidR="00047584" w:rsidRPr="00A7051E" w:rsidRDefault="00DB4488" w:rsidP="005B622B">
      <w:r>
        <w:t>Чтобы составить набор базовых показателей для индикаторов программы, установленных в логической структуре и матрице МиО, вам следует собрать данные у выборки, составленной из членов целевой группы.</w:t>
      </w:r>
      <w:r w:rsidR="00AF69BB">
        <w:t xml:space="preserve"> </w:t>
      </w:r>
      <w:r>
        <w:t>Это можно сделать до или во время первого раунда выплаты денег или обналичивания.</w:t>
      </w:r>
      <w:r w:rsidR="00AF69BB">
        <w:t xml:space="preserve"> </w:t>
      </w:r>
      <w:r>
        <w:t xml:space="preserve">Для этого задания вы можете адаптировать или использовать опросники для определения исходных условий, имеющиеся среди инструментов этого </w:t>
      </w:r>
      <w:r w:rsidR="00DE25E0">
        <w:t>подраздела</w:t>
      </w:r>
      <w:r>
        <w:t>.</w:t>
      </w:r>
    </w:p>
    <w:p w:rsidR="00047584" w:rsidRPr="00A7051E" w:rsidRDefault="00CF5580" w:rsidP="005B622B">
      <w:pPr>
        <w:pStyle w:val="3"/>
        <w:keepLines/>
      </w:pPr>
      <w:r>
        <w:t>Мониторинг раздачи и обналичивания</w:t>
      </w:r>
    </w:p>
    <w:p w:rsidR="00047584" w:rsidRPr="00A7051E" w:rsidRDefault="00047584" w:rsidP="005B622B">
      <w:pPr>
        <w:keepNext/>
        <w:keepLines/>
      </w:pPr>
      <w:r>
        <w:t>Вам следует следить за процессами раздачи и обналичивания, чтобы убедиться, что бенефициары получили всё, что было запланировано (деньги, ваучеры, карточки, неденежную помощь и т.п.), своевременно, и что процесс был проведён правильно.</w:t>
      </w:r>
      <w:r w:rsidR="00AF69BB">
        <w:t xml:space="preserve"> </w:t>
      </w:r>
      <w:r>
        <w:t>Раздачу и обналичивание следует контролировать и когда они осуществляются непосредственно Красным Крестом и Красным Полумесяцем, и когда осуществляются через третьи стороны (партнёры по реализации проекта, поставщики услуг и т.д.)</w:t>
      </w:r>
      <w:r w:rsidR="002B35B6">
        <w:t xml:space="preserve">  </w:t>
      </w:r>
      <w:r>
        <w:t xml:space="preserve">В любом случае, для обеспечения гладкости течения процесса в пунктах раздачи/обналичивания должны присутствовать сотрудники Красного Креста и Красного </w:t>
      </w:r>
      <w:r w:rsidR="002B35B6">
        <w:t>Полумесяца</w:t>
      </w:r>
      <w:r>
        <w:t>.</w:t>
      </w:r>
      <w:r w:rsidR="00AF69BB">
        <w:t xml:space="preserve"> </w:t>
      </w:r>
      <w:r>
        <w:t>Мониторинг раздачи и обналичивания следует осуществлять в нескольких выбранных пунктах раздачи, при каждой существенной раздаче.</w:t>
      </w:r>
      <w:r w:rsidR="00AF69BB">
        <w:t xml:space="preserve"> </w:t>
      </w:r>
      <w:r>
        <w:t>Этот метод позволяет вам моментально выявлять любые проблемы, так что вы можете их исправить, прежде чем программа продвинется дальше.</w:t>
      </w:r>
    </w:p>
    <w:p w:rsidR="00047584" w:rsidRPr="00A7051E" w:rsidRDefault="00047584" w:rsidP="005B622B">
      <w:r>
        <w:t>Самые типовые методы мониторинга раздачи/обналичивания:</w:t>
      </w:r>
    </w:p>
    <w:p w:rsidR="00047584" w:rsidRPr="00A7051E" w:rsidRDefault="00CF5580" w:rsidP="00AB121E">
      <w:pPr>
        <w:pStyle w:val="Bullet2"/>
      </w:pPr>
      <w:r>
        <w:rPr>
          <w:i/>
        </w:rPr>
        <w:t>Наблюдение за местом</w:t>
      </w:r>
      <w:r w:rsidR="002B35B6">
        <w:t>.  Целью наблюдения</w:t>
      </w:r>
      <w:r>
        <w:t xml:space="preserve"> является убедиться, что агенты следуют соответствующим правилам в отношении контроля толпы и безопасности, и что их возможности описаны точно и являются приемлемыми.</w:t>
      </w:r>
    </w:p>
    <w:p w:rsidR="00080E80" w:rsidRPr="00A7051E" w:rsidRDefault="00047584" w:rsidP="00AB121E">
      <w:pPr>
        <w:pStyle w:val="Bullet2"/>
      </w:pPr>
      <w:r>
        <w:rPr>
          <w:i/>
        </w:rPr>
        <w:t>Опросы на выходе</w:t>
      </w:r>
      <w:r>
        <w:t>, когда определённую часть бенефициаров просят о</w:t>
      </w:r>
      <w:r w:rsidR="002B35B6">
        <w:t xml:space="preserve">тветить на вопросы при выходе из пункта </w:t>
      </w:r>
      <w:r>
        <w:t>раздачи/обналичивания.  Целью такого опроса является получить общее понимание того, какой им видится программа, качество и количество того, что они получили, а также, как они планируют использовать полученное.</w:t>
      </w:r>
    </w:p>
    <w:p w:rsidR="00080E80" w:rsidRPr="00A7051E" w:rsidRDefault="00080E80" w:rsidP="00A06E88">
      <w:pPr>
        <w:spacing w:after="480"/>
      </w:pPr>
      <w:r>
        <w:t xml:space="preserve">Среди инструментов данного </w:t>
      </w:r>
      <w:r w:rsidR="00DE25E0">
        <w:t>подраздела</w:t>
      </w:r>
      <w:r>
        <w:t xml:space="preserve"> вы найдёте бланк записи наблюдений в месте обналичивания, бланк опросника для опросов не выходе </w:t>
      </w:r>
      <w:r w:rsidR="002B35B6">
        <w:t>из пункта</w:t>
      </w:r>
      <w:r>
        <w:t xml:space="preserve"> обналичивания и соответствующую базу данных.</w:t>
      </w:r>
    </w:p>
    <w:tbl>
      <w:tblPr>
        <w:tblStyle w:val="a5"/>
        <w:tblW w:w="0" w:type="auto"/>
        <w:jc w:val="center"/>
        <w:tblLook w:val="00A0"/>
      </w:tblPr>
      <w:tblGrid>
        <w:gridCol w:w="6946"/>
      </w:tblGrid>
      <w:tr w:rsidR="00047584" w:rsidRPr="00A7051E" w:rsidTr="00AB121E">
        <w:trPr>
          <w:jc w:val="center"/>
        </w:trPr>
        <w:tc>
          <w:tcPr>
            <w:tcW w:w="6946" w:type="dxa"/>
            <w:shd w:val="solid" w:color="F2F2F2" w:themeColor="background1" w:themeShade="F2" w:fill="auto"/>
          </w:tcPr>
          <w:p w:rsidR="00047584" w:rsidRPr="00A7051E" w:rsidRDefault="004854C5" w:rsidP="00AB121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Новые технологии</w:t>
            </w:r>
          </w:p>
          <w:p w:rsidR="00047584" w:rsidRPr="00A7051E" w:rsidRDefault="00047584" w:rsidP="00AB121E">
            <w:pPr>
              <w:pStyle w:val="Bullet2"/>
              <w:ind w:left="499" w:hanging="357"/>
            </w:pPr>
            <w:r>
              <w:t>Когда доставка денег происходит электронн</w:t>
            </w:r>
            <w:r w:rsidR="002B35B6">
              <w:t>ым путём</w:t>
            </w:r>
            <w:r>
              <w:t>, мониторинг можно осуществлять с помощью электронных отчётов, например, технологии, используемые в банкоматах, позволяют вести мониторинг с помощью записей транзакций.</w:t>
            </w:r>
          </w:p>
          <w:p w:rsidR="00047584" w:rsidRPr="00A7051E" w:rsidRDefault="00047584" w:rsidP="00AB121E">
            <w:pPr>
              <w:pStyle w:val="Bullet2"/>
              <w:ind w:left="499" w:hanging="357"/>
            </w:pPr>
            <w:r>
              <w:t>Электронная раздача может включать процессы, осуществляемые вручную, и бумажный документооборот, который не отслеживается электронно.</w:t>
            </w:r>
            <w:r w:rsidR="00AF69BB">
              <w:t xml:space="preserve"> </w:t>
            </w:r>
            <w:r>
              <w:t xml:space="preserve">Для проведения аудита важно, чтобы электронные и бумажные процессы можно было синхронизировать.  </w:t>
            </w:r>
          </w:p>
          <w:p w:rsidR="00047584" w:rsidRPr="00A7051E" w:rsidRDefault="00047584" w:rsidP="00AB121E">
            <w:pPr>
              <w:pStyle w:val="Bullet2"/>
              <w:ind w:left="499" w:hanging="357"/>
            </w:pPr>
            <w:r>
              <w:t>Мониторинг текстовых сообщений - ещё одна возможность, предоставленная нам технологическим прогрессом.</w:t>
            </w:r>
            <w:r w:rsidR="00AF69BB">
              <w:t xml:space="preserve"> </w:t>
            </w:r>
            <w:r>
              <w:t>Часто это подразумевает отправку простого вопроса</w:t>
            </w:r>
            <w:r w:rsidR="002B35B6">
              <w:t>,</w:t>
            </w:r>
            <w:r>
              <w:t xml:space="preserve"> чтобы подтвердить, получил ли бенефициар денежный перевод.</w:t>
            </w:r>
          </w:p>
        </w:tc>
      </w:tr>
    </w:tbl>
    <w:p w:rsidR="00C152DD" w:rsidRPr="00A7051E" w:rsidRDefault="00C152DD" w:rsidP="00047584">
      <w:pPr>
        <w:rPr>
          <w:b/>
          <w:sz w:val="22"/>
          <w:szCs w:val="22"/>
        </w:rPr>
      </w:pPr>
    </w:p>
    <w:p w:rsidR="004C52E9" w:rsidRPr="00A7051E" w:rsidRDefault="004C52E9" w:rsidP="0047617F">
      <w:pPr>
        <w:pStyle w:val="3"/>
      </w:pPr>
      <w:r>
        <w:t>Мониторинг после осуществления раздачи (МПР)</w:t>
      </w:r>
    </w:p>
    <w:p w:rsidR="00901411" w:rsidRPr="00A7051E" w:rsidRDefault="000B7D0A" w:rsidP="00901411">
      <w:pPr>
        <w:rPr>
          <w:rFonts w:cs="Helvetica"/>
          <w:color w:val="141413"/>
          <w:szCs w:val="21"/>
        </w:rPr>
      </w:pPr>
      <w:r>
        <w:t>МПР обычно основывается на дискуссиях с бенефициарами в фокус-группах (ДФГ), а также на интервью с домохозяйствами.  Целью МПР является оценить качество и количество помощи, оказанной бенефициарам.</w:t>
      </w:r>
      <w:r w:rsidR="002B35B6">
        <w:t xml:space="preserve">  </w:t>
      </w:r>
      <w:r>
        <w:rPr>
          <w:color w:val="141413"/>
          <w:szCs w:val="21"/>
        </w:rPr>
        <w:t>МПР может также помочь своевременно уловить сигналы о негативном эффекте программы и разобраться с возникающими жалобами.</w:t>
      </w:r>
      <w:r w:rsidR="00AF69BB">
        <w:rPr>
          <w:color w:val="141413"/>
          <w:szCs w:val="21"/>
        </w:rPr>
        <w:t xml:space="preserve"> </w:t>
      </w:r>
      <w:r>
        <w:t>Прежде чем осуществлять МПР, бенефициарам следует дать время воспользоваться полученной помощью.</w:t>
      </w:r>
      <w:r w:rsidR="00AF69BB">
        <w:t xml:space="preserve"> </w:t>
      </w:r>
      <w:r>
        <w:t>Следовательно, если целью оказания помощи является удовлетворить неотложные потребности, МПР следует проводить спустя две или три недели после раздачи/обналичивания.</w:t>
      </w:r>
      <w:r w:rsidR="00AF69BB">
        <w:t xml:space="preserve"> </w:t>
      </w:r>
      <w:r>
        <w:t>Если целью оказания помощи является помочь бенефициарам восстановить источники средств к существованию, МПР можно отложить.</w:t>
      </w:r>
    </w:p>
    <w:p w:rsidR="000B7D0A" w:rsidRPr="00A7051E" w:rsidRDefault="000B7D0A" w:rsidP="005B622B"/>
    <w:p w:rsidR="00A06E88" w:rsidRPr="00A7051E" w:rsidRDefault="00047584" w:rsidP="005B622B">
      <w:pPr>
        <w:spacing w:after="240"/>
      </w:pPr>
      <w:r>
        <w:t xml:space="preserve">Среди инструментов данного </w:t>
      </w:r>
      <w:r w:rsidR="00DE25E0">
        <w:t>подраздела</w:t>
      </w:r>
      <w:r>
        <w:t xml:space="preserve"> вы найдёте бланк опросника МПР ДФГ.</w:t>
      </w:r>
      <w:r w:rsidR="00AF69BB">
        <w:t xml:space="preserve"> </w:t>
      </w:r>
      <w:r>
        <w:t>Кроме того, вы найдёте шаблоны для условного и безусловного опроса, а также шаблон базы данных МПР.</w:t>
      </w:r>
    </w:p>
    <w:tbl>
      <w:tblPr>
        <w:tblStyle w:val="a5"/>
        <w:tblW w:w="0" w:type="auto"/>
        <w:jc w:val="center"/>
        <w:shd w:val="solid" w:color="F2F2F2" w:themeColor="background1" w:themeShade="F2" w:fill="auto"/>
        <w:tblLook w:val="00A0"/>
      </w:tblPr>
      <w:tblGrid>
        <w:gridCol w:w="6967"/>
      </w:tblGrid>
      <w:tr w:rsidR="00047584" w:rsidRPr="00A7051E" w:rsidTr="00AB121E">
        <w:trPr>
          <w:trHeight w:val="416"/>
          <w:jc w:val="center"/>
        </w:trPr>
        <w:tc>
          <w:tcPr>
            <w:tcW w:w="6967" w:type="dxa"/>
            <w:shd w:val="solid" w:color="F2F2F2" w:themeColor="background1" w:themeShade="F2" w:fill="auto"/>
          </w:tcPr>
          <w:p w:rsidR="00047584" w:rsidRPr="00A7051E" w:rsidRDefault="004854C5" w:rsidP="00AB121E">
            <w:pPr>
              <w:keepNext/>
              <w:keepLines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Качественные данные и кросс-проверка</w:t>
            </w:r>
          </w:p>
          <w:p w:rsidR="00047584" w:rsidRPr="00A7051E" w:rsidRDefault="00047584" w:rsidP="00AB121E">
            <w:pPr>
              <w:keepNext/>
              <w:keepLines/>
              <w:spacing w:after="60"/>
            </w:pPr>
            <w:r>
              <w:t>Собираемые данные о том, как используются денежные средства, в основном, являются качественными, но должны включать и количественную составляющую, чтобы объяснить причины соответствующего поведения домохозяйств.</w:t>
            </w:r>
          </w:p>
          <w:p w:rsidR="00047584" w:rsidRPr="00A7051E" w:rsidRDefault="00047584" w:rsidP="00AB121E">
            <w:pPr>
              <w:keepNext/>
              <w:keepLines/>
              <w:spacing w:before="240" w:after="60"/>
            </w:pPr>
            <w:r>
              <w:t>Для выявления несоответствий полезно провести кросс-проверку информации, полученной от бенефициаров, с информацией, собранной в ходе экспертных интервью, например, с торговцами.</w:t>
            </w:r>
            <w:r w:rsidR="00AF69BB">
              <w:t xml:space="preserve"> </w:t>
            </w:r>
            <w:r>
              <w:t>Понять, кто контролирует расходы, и как тратятся деньги, можно, поговорив отдельно с мужчинами и с женщинами.</w:t>
            </w:r>
          </w:p>
        </w:tc>
      </w:tr>
    </w:tbl>
    <w:p w:rsidR="00047584" w:rsidRPr="00A7051E" w:rsidRDefault="00047584" w:rsidP="00AB121E">
      <w:pPr>
        <w:spacing w:after="360"/>
        <w:rPr>
          <w:sz w:val="22"/>
        </w:rPr>
      </w:pPr>
    </w:p>
    <w:tbl>
      <w:tblPr>
        <w:tblStyle w:val="TableGray"/>
        <w:tblW w:w="0" w:type="auto"/>
        <w:shd w:val="clear" w:color="auto" w:fill="D9D9D9"/>
        <w:tblLook w:val="04A0"/>
      </w:tblPr>
      <w:tblGrid>
        <w:gridCol w:w="9848"/>
      </w:tblGrid>
      <w:tr w:rsidR="0047617F" w:rsidTr="0047617F">
        <w:tc>
          <w:tcPr>
            <w:tcW w:w="9848" w:type="dxa"/>
            <w:shd w:val="clear" w:color="auto" w:fill="D9D9D9"/>
          </w:tcPr>
          <w:p w:rsidR="0047617F" w:rsidRPr="00A7051E" w:rsidRDefault="0047617F" w:rsidP="0047617F">
            <w:pPr>
              <w:pStyle w:val="RefTitre"/>
            </w:pPr>
            <w:r>
              <w:t>СПРАВОЧНЫЕ ДОКУМЕНТЫ</w:t>
            </w:r>
          </w:p>
          <w:p w:rsidR="00940F51" w:rsidRPr="00A64591" w:rsidRDefault="0047617F" w:rsidP="0047617F">
            <w:pPr>
              <w:pStyle w:val="RefItem1"/>
              <w:rPr>
                <w:rStyle w:val="af5"/>
              </w:rPr>
            </w:pPr>
            <w:r>
              <w:t>Анализ продовольственного потребления - техническое руководство Всемирной продовольственной программы / Food Consumption Analysis - Technical Guidance Sheet WFP.</w:t>
            </w:r>
            <w:r>
              <w:rPr>
                <w:rStyle w:val="af5"/>
              </w:rPr>
              <w:t>documents.wfp.org/stellent/groups/public/documents/manual_guide_proced/wfp197216.pdf</w:t>
            </w:r>
          </w:p>
          <w:p w:rsidR="0047617F" w:rsidRPr="00A7051E" w:rsidRDefault="0047617F" w:rsidP="0047617F">
            <w:pPr>
              <w:pStyle w:val="RefItem1"/>
              <w:rPr>
                <w:rStyle w:val="af5"/>
              </w:rPr>
            </w:pPr>
            <w:r>
              <w:t>Руководство по измерению продовольственного разнообразия домохозяйств и отдельных людей. / Guidelines for measuring Household and individual Dietary Diversity.ФАО 2011.</w:t>
            </w:r>
            <w:hyperlink r:id="rId7" w:history="1">
              <w:r>
                <w:rPr>
                  <w:rStyle w:val="af5"/>
                </w:rPr>
                <w:t>http://www.fao.org/fileadmin/user_upload/wa_workshop/docs/FAO-guidelines-dietary-diversity2011.pdf</w:t>
              </w:r>
            </w:hyperlink>
          </w:p>
          <w:p w:rsidR="00F82E6B" w:rsidRDefault="00F82E6B" w:rsidP="0047617F">
            <w:pPr>
              <w:pStyle w:val="RefItem1"/>
              <w:rPr>
                <w:sz w:val="22"/>
              </w:rPr>
            </w:pPr>
            <w:r>
              <w:t>МФОККиКП (2011) Руководство по мониторингу и оценке проектов/программ  /  Project/programme monitoring and evaluation (M&amp;E) guide</w:t>
            </w:r>
          </w:p>
        </w:tc>
      </w:tr>
    </w:tbl>
    <w:p w:rsidR="00D77A5A" w:rsidRPr="00836FB2" w:rsidRDefault="00D77A5A" w:rsidP="0047617F">
      <w:pPr>
        <w:rPr>
          <w:sz w:val="22"/>
        </w:rPr>
      </w:pPr>
    </w:p>
    <w:sectPr w:rsidR="00D77A5A" w:rsidRPr="00836FB2" w:rsidSect="00777F8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102" w:rsidRDefault="008A0102" w:rsidP="00856359">
      <w:r>
        <w:separator/>
      </w:r>
    </w:p>
  </w:endnote>
  <w:endnote w:type="continuationSeparator" w:id="1">
    <w:p w:rsidR="008A0102" w:rsidRDefault="008A0102" w:rsidP="00856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O¯øœ!Ÿ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0A" w:rsidRPr="00B45C74" w:rsidRDefault="005851CA" w:rsidP="00CE561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0B7D0A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DE25E0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0B7D0A" w:rsidRPr="00777F8F" w:rsidRDefault="000B7D0A" w:rsidP="00CE5614">
    <w:pPr>
      <w:pStyle w:val="af2"/>
    </w:pPr>
    <w:r>
      <w:rPr>
        <w:b/>
      </w:rPr>
      <w:t>Модуль 5.</w:t>
    </w:r>
    <w:r w:rsidR="00DE25E0">
      <w:t xml:space="preserve"> Раздел</w:t>
    </w:r>
    <w:r>
      <w:t xml:space="preserve"> 2.Дорожная карта для мониторинга программы ПДП</w:t>
    </w:r>
    <w:r w:rsidR="00DE25E0">
      <w:t xml:space="preserve"> </w:t>
    </w:r>
    <w:fldSimple w:instr=" STYLEREF  H1 \t  \* MERGEFORMAT ">
      <w:r w:rsidR="00DE25E0">
        <w:rPr>
          <w:noProof/>
        </w:rPr>
        <w:t>Дорожная карта для мониторинга программы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0A" w:rsidRPr="00B45C74" w:rsidRDefault="005851CA" w:rsidP="00CE561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0B7D0A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DE25E0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0B7D0A" w:rsidRPr="00777F8F" w:rsidRDefault="000B7D0A" w:rsidP="00CE5614">
    <w:pPr>
      <w:pStyle w:val="af2"/>
    </w:pPr>
    <w:r>
      <w:rPr>
        <w:b/>
      </w:rPr>
      <w:t>Модуль 5.</w:t>
    </w:r>
    <w:r w:rsidR="00DE25E0">
      <w:t xml:space="preserve"> Раздел</w:t>
    </w:r>
    <w:r>
      <w:t xml:space="preserve"> 2. </w:t>
    </w:r>
    <w:fldSimple w:instr=" STYLEREF  H1 \t  \* MERGEFORMAT ">
      <w:r w:rsidR="00DE25E0" w:rsidRPr="00DE25E0">
        <w:rPr>
          <w:bCs/>
          <w:noProof/>
        </w:rPr>
        <w:t>Дорожная карта для мониторинга</w:t>
      </w:r>
      <w:r w:rsidR="00DE25E0">
        <w:rPr>
          <w:noProof/>
        </w:rPr>
        <w:t xml:space="preserve"> программы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102" w:rsidRDefault="008A0102" w:rsidP="00856359">
      <w:r>
        <w:separator/>
      </w:r>
    </w:p>
  </w:footnote>
  <w:footnote w:type="continuationSeparator" w:id="1">
    <w:p w:rsidR="008A0102" w:rsidRDefault="008A0102" w:rsidP="00856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0A" w:rsidRPr="00074036" w:rsidRDefault="000B7D0A" w:rsidP="00CE5614">
    <w:pPr>
      <w:pStyle w:val="af0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2B35B6">
      <w:rPr>
        <w:rStyle w:val="Pantone485"/>
      </w:rPr>
      <w:t xml:space="preserve"> </w:t>
    </w:r>
    <w:r>
      <w:rPr>
        <w:rStyle w:val="af4"/>
        <w:bCs/>
        <w:szCs w:val="16"/>
      </w:rPr>
      <w:t>I</w:t>
    </w:r>
    <w:r w:rsidR="002B35B6">
      <w:rPr>
        <w:rStyle w:val="af4"/>
        <w:bCs/>
        <w:szCs w:val="16"/>
      </w:rPr>
      <w:t xml:space="preserve"> </w:t>
    </w:r>
    <w:r w:rsidR="00DE25E0">
      <w:rPr>
        <w:szCs w:val="16"/>
      </w:rPr>
      <w:t>Методические материалы по вопросам предоставления наличных денежных средств в условиях ЧС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0A" w:rsidRDefault="000B7D0A" w:rsidP="00CE5614">
    <w:pPr>
      <w:pStyle w:val="Header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1080135</wp:posOffset>
          </wp:positionH>
          <wp:positionV relativeFrom="page">
            <wp:posOffset>377825</wp:posOffset>
          </wp:positionV>
          <wp:extent cx="633730" cy="719512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719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7D0A" w:rsidRDefault="000B7D0A" w:rsidP="00CE5614">
    <w:pPr>
      <w:pStyle w:val="Header1"/>
    </w:pPr>
  </w:p>
  <w:p w:rsidR="000B7D0A" w:rsidRDefault="000B7D0A" w:rsidP="00CE5614">
    <w:pPr>
      <w:pStyle w:val="af0"/>
      <w:rPr>
        <w:color w:val="DC281E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3366135</wp:posOffset>
          </wp:positionH>
          <wp:positionV relativeFrom="page">
            <wp:posOffset>784225</wp:posOffset>
          </wp:positionV>
          <wp:extent cx="3200400" cy="299867"/>
          <wp:effectExtent l="0" t="0" r="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299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7D0A" w:rsidRDefault="000B7D0A" w:rsidP="00CE5614">
    <w:pPr>
      <w:pStyle w:val="af0"/>
      <w:spacing w:line="240" w:lineRule="auto"/>
      <w:rPr>
        <w:b/>
        <w:color w:val="DC281E"/>
        <w:sz w:val="24"/>
        <w:szCs w:val="24"/>
      </w:rPr>
    </w:pPr>
  </w:p>
  <w:p w:rsidR="000B7D0A" w:rsidRDefault="000B7D0A" w:rsidP="00CE5614">
    <w:pPr>
      <w:pStyle w:val="af0"/>
      <w:spacing w:line="240" w:lineRule="auto"/>
      <w:rPr>
        <w:b/>
        <w:color w:val="DC281E"/>
        <w:sz w:val="24"/>
        <w:szCs w:val="24"/>
      </w:rPr>
    </w:pPr>
  </w:p>
  <w:p w:rsidR="000B7D0A" w:rsidRPr="0047617F" w:rsidRDefault="00DE25E0" w:rsidP="00CE5614">
    <w:pPr>
      <w:pStyle w:val="Header1"/>
      <w:rPr>
        <w:rFonts w:ascii="Arial Bold" w:hAnsi="Arial Bold"/>
        <w:color w:val="DC281E"/>
      </w:rPr>
    </w:pPr>
    <w:r>
      <w:rPr>
        <w:rFonts w:ascii="Arial Bold" w:hAnsi="Arial Bold"/>
        <w:color w:val="DC281E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2A81"/>
    <w:multiLevelType w:val="hybridMultilevel"/>
    <w:tmpl w:val="8C70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C3F96"/>
    <w:multiLevelType w:val="hybridMultilevel"/>
    <w:tmpl w:val="6342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52778"/>
    <w:multiLevelType w:val="hybridMultilevel"/>
    <w:tmpl w:val="E3885B70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9749F"/>
    <w:multiLevelType w:val="hybridMultilevel"/>
    <w:tmpl w:val="86D4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B0B"/>
    <w:multiLevelType w:val="hybridMultilevel"/>
    <w:tmpl w:val="6BDAFA3A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5357B"/>
    <w:multiLevelType w:val="hybridMultilevel"/>
    <w:tmpl w:val="C110226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E06E8"/>
    <w:multiLevelType w:val="hybridMultilevel"/>
    <w:tmpl w:val="A742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DE34A0"/>
    <w:multiLevelType w:val="hybridMultilevel"/>
    <w:tmpl w:val="36BE8BD8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D2C1B"/>
    <w:multiLevelType w:val="hybridMultilevel"/>
    <w:tmpl w:val="739C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F60DA"/>
    <w:multiLevelType w:val="hybridMultilevel"/>
    <w:tmpl w:val="B342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E4C26"/>
    <w:multiLevelType w:val="hybridMultilevel"/>
    <w:tmpl w:val="2DD0E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4"/>
  </w:num>
  <w:num w:numId="5">
    <w:abstractNumId w:val="6"/>
  </w:num>
  <w:num w:numId="6">
    <w:abstractNumId w:val="1"/>
  </w:num>
  <w:num w:numId="7">
    <w:abstractNumId w:val="15"/>
  </w:num>
  <w:num w:numId="8">
    <w:abstractNumId w:val="12"/>
  </w:num>
  <w:num w:numId="9">
    <w:abstractNumId w:val="7"/>
  </w:num>
  <w:num w:numId="10">
    <w:abstractNumId w:val="16"/>
  </w:num>
  <w:num w:numId="11">
    <w:abstractNumId w:val="0"/>
  </w:num>
  <w:num w:numId="12">
    <w:abstractNumId w:val="8"/>
  </w:num>
  <w:num w:numId="13">
    <w:abstractNumId w:val="2"/>
  </w:num>
  <w:num w:numId="14">
    <w:abstractNumId w:val="9"/>
  </w:num>
  <w:num w:numId="15">
    <w:abstractNumId w:val="14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linkStyl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52E9"/>
    <w:rsid w:val="00047584"/>
    <w:rsid w:val="00080E80"/>
    <w:rsid w:val="00096260"/>
    <w:rsid w:val="000A3581"/>
    <w:rsid w:val="000A52DE"/>
    <w:rsid w:val="000B7D0A"/>
    <w:rsid w:val="000C4838"/>
    <w:rsid w:val="000D28A3"/>
    <w:rsid w:val="00120D3D"/>
    <w:rsid w:val="001528FF"/>
    <w:rsid w:val="00163084"/>
    <w:rsid w:val="001D47AC"/>
    <w:rsid w:val="00203424"/>
    <w:rsid w:val="00224E5D"/>
    <w:rsid w:val="00225E6F"/>
    <w:rsid w:val="00231451"/>
    <w:rsid w:val="00240388"/>
    <w:rsid w:val="00244EF1"/>
    <w:rsid w:val="002B35B6"/>
    <w:rsid w:val="00302997"/>
    <w:rsid w:val="00337FD9"/>
    <w:rsid w:val="00342368"/>
    <w:rsid w:val="00344B00"/>
    <w:rsid w:val="00380258"/>
    <w:rsid w:val="00396E85"/>
    <w:rsid w:val="003E18BA"/>
    <w:rsid w:val="004365D4"/>
    <w:rsid w:val="00450B02"/>
    <w:rsid w:val="00470DA6"/>
    <w:rsid w:val="0047617F"/>
    <w:rsid w:val="004854C5"/>
    <w:rsid w:val="004C2085"/>
    <w:rsid w:val="004C52E9"/>
    <w:rsid w:val="004E32BA"/>
    <w:rsid w:val="004E51B4"/>
    <w:rsid w:val="005022E2"/>
    <w:rsid w:val="0050497D"/>
    <w:rsid w:val="00516128"/>
    <w:rsid w:val="005556BC"/>
    <w:rsid w:val="005851CA"/>
    <w:rsid w:val="005B622B"/>
    <w:rsid w:val="00636EB7"/>
    <w:rsid w:val="006A4BE4"/>
    <w:rsid w:val="007252A3"/>
    <w:rsid w:val="00777F8F"/>
    <w:rsid w:val="007E3A2D"/>
    <w:rsid w:val="00817D9D"/>
    <w:rsid w:val="00821DEB"/>
    <w:rsid w:val="00852B7E"/>
    <w:rsid w:val="00856359"/>
    <w:rsid w:val="00875277"/>
    <w:rsid w:val="00877580"/>
    <w:rsid w:val="008A0102"/>
    <w:rsid w:val="008C25AC"/>
    <w:rsid w:val="008E6C72"/>
    <w:rsid w:val="00901411"/>
    <w:rsid w:val="00905303"/>
    <w:rsid w:val="00911F5B"/>
    <w:rsid w:val="00940F51"/>
    <w:rsid w:val="00981F30"/>
    <w:rsid w:val="0099744D"/>
    <w:rsid w:val="009A30DE"/>
    <w:rsid w:val="009F0D7B"/>
    <w:rsid w:val="00A06E88"/>
    <w:rsid w:val="00A64591"/>
    <w:rsid w:val="00A7051E"/>
    <w:rsid w:val="00A81216"/>
    <w:rsid w:val="00A90EFE"/>
    <w:rsid w:val="00AB121E"/>
    <w:rsid w:val="00AC6B12"/>
    <w:rsid w:val="00AF69BB"/>
    <w:rsid w:val="00AF6C8D"/>
    <w:rsid w:val="00B20E72"/>
    <w:rsid w:val="00B25C68"/>
    <w:rsid w:val="00B5241C"/>
    <w:rsid w:val="00B52CEB"/>
    <w:rsid w:val="00C152DD"/>
    <w:rsid w:val="00C63FE5"/>
    <w:rsid w:val="00C9482C"/>
    <w:rsid w:val="00CB0622"/>
    <w:rsid w:val="00CB359C"/>
    <w:rsid w:val="00CE5614"/>
    <w:rsid w:val="00CF5580"/>
    <w:rsid w:val="00D20B0F"/>
    <w:rsid w:val="00D350EB"/>
    <w:rsid w:val="00D52366"/>
    <w:rsid w:val="00D77A5A"/>
    <w:rsid w:val="00DA6833"/>
    <w:rsid w:val="00DB07A9"/>
    <w:rsid w:val="00DB443D"/>
    <w:rsid w:val="00DB4488"/>
    <w:rsid w:val="00DB624D"/>
    <w:rsid w:val="00DE25E0"/>
    <w:rsid w:val="00DE614B"/>
    <w:rsid w:val="00DE62EA"/>
    <w:rsid w:val="00DF5890"/>
    <w:rsid w:val="00E03537"/>
    <w:rsid w:val="00E0766A"/>
    <w:rsid w:val="00E96EDD"/>
    <w:rsid w:val="00EB3851"/>
    <w:rsid w:val="00EC4890"/>
    <w:rsid w:val="00EC6148"/>
    <w:rsid w:val="00EE1DEE"/>
    <w:rsid w:val="00EE7871"/>
    <w:rsid w:val="00F50562"/>
    <w:rsid w:val="00F82E6B"/>
    <w:rsid w:val="00FA289C"/>
    <w:rsid w:val="00FE1B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="ArialMT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60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096260"/>
  </w:style>
  <w:style w:type="paragraph" w:styleId="2">
    <w:name w:val="heading 2"/>
    <w:basedOn w:val="a"/>
    <w:next w:val="a"/>
    <w:link w:val="20"/>
    <w:uiPriority w:val="9"/>
    <w:unhideWhenUsed/>
    <w:qFormat/>
    <w:rsid w:val="00096260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096260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96260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5">
    <w:name w:val="Table Grid"/>
    <w:basedOn w:val="a1"/>
    <w:uiPriority w:val="59"/>
    <w:rsid w:val="00096260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626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6260"/>
    <w:rPr>
      <w:rFonts w:ascii="Lucida Grande" w:hAnsi="Lucida Grande" w:cs="Lucida Grande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9626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81216"/>
  </w:style>
  <w:style w:type="character" w:customStyle="1" w:styleId="aa">
    <w:name w:val="Текст примечания Знак"/>
    <w:basedOn w:val="a0"/>
    <w:link w:val="a9"/>
    <w:uiPriority w:val="99"/>
    <w:semiHidden/>
    <w:rsid w:val="00A81216"/>
    <w:rPr>
      <w:lang w:val="ru-RU"/>
    </w:rPr>
  </w:style>
  <w:style w:type="paragraph" w:styleId="ab">
    <w:name w:val="annotation subject"/>
    <w:basedOn w:val="a"/>
    <w:link w:val="ac"/>
    <w:uiPriority w:val="99"/>
    <w:semiHidden/>
    <w:unhideWhenUsed/>
    <w:rsid w:val="00096260"/>
    <w:rPr>
      <w:b/>
      <w:bCs/>
    </w:rPr>
  </w:style>
  <w:style w:type="character" w:customStyle="1" w:styleId="ac">
    <w:name w:val="Тема примечания Знак"/>
    <w:basedOn w:val="a0"/>
    <w:link w:val="ab"/>
    <w:uiPriority w:val="99"/>
    <w:semiHidden/>
    <w:rsid w:val="00096260"/>
    <w:rPr>
      <w:rFonts w:ascii="Arial" w:hAnsi="Arial" w:cs="Times New Roman"/>
      <w:b/>
      <w:bCs/>
    </w:rPr>
  </w:style>
  <w:style w:type="paragraph" w:customStyle="1" w:styleId="Default">
    <w:name w:val="Default"/>
    <w:rsid w:val="0009626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96260"/>
    <w:pPr>
      <w:spacing w:after="0"/>
    </w:pPr>
    <w:rPr>
      <w:sz w:val="16"/>
      <w:szCs w:val="22"/>
    </w:rPr>
  </w:style>
  <w:style w:type="character" w:customStyle="1" w:styleId="ae">
    <w:name w:val="Текст сноски Знак"/>
    <w:basedOn w:val="a0"/>
    <w:link w:val="ad"/>
    <w:uiPriority w:val="99"/>
    <w:rsid w:val="00096260"/>
    <w:rPr>
      <w:rFonts w:ascii="Arial" w:hAnsi="Arial" w:cs="Times New Roman"/>
      <w:sz w:val="16"/>
      <w:szCs w:val="22"/>
    </w:rPr>
  </w:style>
  <w:style w:type="character" w:styleId="af">
    <w:name w:val="footnote reference"/>
    <w:basedOn w:val="a0"/>
    <w:uiPriority w:val="99"/>
    <w:unhideWhenUsed/>
    <w:rsid w:val="00096260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096260"/>
    <w:rPr>
      <w:rFonts w:ascii="Arial" w:eastAsiaTheme="minorHAnsi" w:hAnsi="Arial" w:cstheme="minorBidi"/>
      <w:szCs w:val="22"/>
    </w:rPr>
  </w:style>
  <w:style w:type="paragraph" w:styleId="af0">
    <w:name w:val="header"/>
    <w:basedOn w:val="a"/>
    <w:link w:val="af1"/>
    <w:uiPriority w:val="99"/>
    <w:unhideWhenUsed/>
    <w:rsid w:val="00096260"/>
    <w:pPr>
      <w:spacing w:after="0" w:line="288" w:lineRule="auto"/>
      <w:jc w:val="left"/>
    </w:pPr>
    <w:rPr>
      <w:sz w:val="16"/>
    </w:rPr>
  </w:style>
  <w:style w:type="character" w:customStyle="1" w:styleId="af1">
    <w:name w:val="Верхний колонтитул Знак"/>
    <w:basedOn w:val="a0"/>
    <w:link w:val="af0"/>
    <w:uiPriority w:val="99"/>
    <w:rsid w:val="00096260"/>
    <w:rPr>
      <w:rFonts w:ascii="Arial" w:hAnsi="Arial" w:cs="Times New Roman"/>
      <w:sz w:val="16"/>
    </w:rPr>
  </w:style>
  <w:style w:type="paragraph" w:styleId="af2">
    <w:name w:val="footer"/>
    <w:basedOn w:val="a"/>
    <w:link w:val="af3"/>
    <w:uiPriority w:val="99"/>
    <w:unhideWhenUsed/>
    <w:rsid w:val="00096260"/>
    <w:pPr>
      <w:spacing w:after="0"/>
      <w:jc w:val="left"/>
    </w:pPr>
    <w:rPr>
      <w:sz w:val="16"/>
      <w:szCs w:val="18"/>
    </w:rPr>
  </w:style>
  <w:style w:type="character" w:customStyle="1" w:styleId="af3">
    <w:name w:val="Нижний колонтитул Знак"/>
    <w:basedOn w:val="a0"/>
    <w:link w:val="af2"/>
    <w:uiPriority w:val="99"/>
    <w:rsid w:val="00096260"/>
    <w:rPr>
      <w:rFonts w:ascii="Arial" w:hAnsi="Arial" w:cs="Times New Roman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096260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096260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096260"/>
    <w:rPr>
      <w:rFonts w:ascii="Arial" w:hAnsi="Arial" w:cs="Times New Roman"/>
      <w:b/>
      <w:sz w:val="22"/>
      <w:szCs w:val="24"/>
    </w:rPr>
  </w:style>
  <w:style w:type="character" w:styleId="af4">
    <w:name w:val="page number"/>
    <w:basedOn w:val="a0"/>
    <w:uiPriority w:val="99"/>
    <w:unhideWhenUsed/>
    <w:rsid w:val="00096260"/>
    <w:rPr>
      <w:b/>
    </w:rPr>
  </w:style>
  <w:style w:type="character" w:styleId="af5">
    <w:name w:val="Hyperlink"/>
    <w:basedOn w:val="a0"/>
    <w:uiPriority w:val="99"/>
    <w:unhideWhenUsed/>
    <w:rsid w:val="00096260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096260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096260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096260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096260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096260"/>
    <w:pPr>
      <w:numPr>
        <w:numId w:val="1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096260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096260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f0"/>
    <w:rsid w:val="00096260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096260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096260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096260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096260"/>
    <w:pPr>
      <w:numPr>
        <w:numId w:val="1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096260"/>
    <w:pPr>
      <w:numPr>
        <w:ilvl w:val="1"/>
        <w:numId w:val="1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096260"/>
    <w:pPr>
      <w:numPr>
        <w:numId w:val="12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096260"/>
    <w:pPr>
      <w:numPr>
        <w:numId w:val="1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096260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096260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096260"/>
    <w:pPr>
      <w:keepNext/>
      <w:keepLines/>
      <w:framePr w:hSpace="141" w:wrap="around" w:vAnchor="text" w:hAnchor="margin" w:y="402"/>
      <w:numPr>
        <w:numId w:val="16"/>
      </w:numPr>
      <w:spacing w:beforeLines="60" w:afterLines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o.org/fileadmin/user_upload/wa_workshop/docs/FAO-guidelines-dietary-diversity201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29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User</cp:lastModifiedBy>
  <cp:revision>8</cp:revision>
  <cp:lastPrinted>2015-10-13T16:04:00Z</cp:lastPrinted>
  <dcterms:created xsi:type="dcterms:W3CDTF">2016-08-03T13:49:00Z</dcterms:created>
  <dcterms:modified xsi:type="dcterms:W3CDTF">2017-04-20T13:06:00Z</dcterms:modified>
</cp:coreProperties>
</file>