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EA1" w:rsidRPr="009446FA" w:rsidRDefault="00E670E7" w:rsidP="00A5369B">
      <w:pPr>
        <w:pStyle w:val="H1"/>
      </w:pPr>
      <w:r>
        <w:t>Дорожная карта для мониторинга рынка</w:t>
      </w:r>
      <w:r w:rsidR="00277EA1" w:rsidRPr="009446FA">
        <w:rPr>
          <w:rStyle w:val="a7"/>
          <w:szCs w:val="40"/>
        </w:rPr>
        <w:footnoteReference w:id="2"/>
      </w:r>
    </w:p>
    <w:tbl>
      <w:tblPr>
        <w:tblStyle w:val="af3"/>
        <w:tblW w:w="0" w:type="auto"/>
        <w:tblInd w:w="108" w:type="dxa"/>
        <w:tblCellMar>
          <w:top w:w="57" w:type="dxa"/>
          <w:bottom w:w="57" w:type="dxa"/>
        </w:tblCellMar>
        <w:tblLook w:val="04A0"/>
      </w:tblPr>
      <w:tblGrid>
        <w:gridCol w:w="2410"/>
        <w:gridCol w:w="2236"/>
        <w:gridCol w:w="2462"/>
        <w:gridCol w:w="2462"/>
      </w:tblGrid>
      <w:tr w:rsidR="007F63CB" w:rsidTr="00E652A3">
        <w:tc>
          <w:tcPr>
            <w:tcW w:w="9570" w:type="dxa"/>
            <w:gridSpan w:val="4"/>
          </w:tcPr>
          <w:p w:rsidR="007F63CB" w:rsidRPr="007836E8" w:rsidRDefault="007F63CB" w:rsidP="00E652A3">
            <w:pPr>
              <w:jc w:val="center"/>
              <w:rPr>
                <w:b/>
              </w:rPr>
            </w:pPr>
            <w:r w:rsidRPr="007836E8">
              <w:rPr>
                <w:b/>
              </w:rPr>
              <w:t>МОНИТОРИНГ И ОЦЕНКА</w:t>
            </w:r>
          </w:p>
        </w:tc>
      </w:tr>
      <w:tr w:rsidR="007F63CB" w:rsidTr="00E652A3">
        <w:tc>
          <w:tcPr>
            <w:tcW w:w="2410" w:type="dxa"/>
          </w:tcPr>
          <w:p w:rsidR="007F63CB" w:rsidRDefault="007F63CB" w:rsidP="007F63CB">
            <w:pPr>
              <w:pStyle w:val="a3"/>
              <w:numPr>
                <w:ilvl w:val="0"/>
                <w:numId w:val="13"/>
              </w:numPr>
              <w:tabs>
                <w:tab w:val="left" w:pos="425"/>
                <w:tab w:val="left" w:pos="605"/>
              </w:tabs>
              <w:ind w:left="0" w:firstLine="17"/>
              <w:jc w:val="left"/>
            </w:pPr>
            <w:r>
              <w:t>Планирование МиО ПДП</w:t>
            </w:r>
          </w:p>
        </w:tc>
        <w:tc>
          <w:tcPr>
            <w:tcW w:w="2236" w:type="dxa"/>
          </w:tcPr>
          <w:p w:rsidR="007F63CB" w:rsidRDefault="007F63CB" w:rsidP="007F63CB">
            <w:pPr>
              <w:pStyle w:val="a3"/>
              <w:numPr>
                <w:ilvl w:val="0"/>
                <w:numId w:val="13"/>
              </w:numPr>
              <w:tabs>
                <w:tab w:val="left" w:pos="348"/>
              </w:tabs>
              <w:ind w:left="127" w:hanging="35"/>
              <w:jc w:val="left"/>
            </w:pPr>
            <w:r>
              <w:t>Мониторинг программы</w:t>
            </w:r>
          </w:p>
        </w:tc>
        <w:tc>
          <w:tcPr>
            <w:tcW w:w="2462" w:type="dxa"/>
          </w:tcPr>
          <w:p w:rsidR="007F63CB" w:rsidRDefault="007F63CB" w:rsidP="007F63CB">
            <w:pPr>
              <w:pStyle w:val="a3"/>
              <w:numPr>
                <w:ilvl w:val="0"/>
                <w:numId w:val="13"/>
              </w:numPr>
              <w:tabs>
                <w:tab w:val="left" w:pos="361"/>
              </w:tabs>
              <w:ind w:left="79" w:hanging="87"/>
              <w:jc w:val="left"/>
            </w:pPr>
            <w:r>
              <w:t>Мониторинг рынка</w:t>
            </w:r>
          </w:p>
        </w:tc>
        <w:tc>
          <w:tcPr>
            <w:tcW w:w="2462" w:type="dxa"/>
          </w:tcPr>
          <w:p w:rsidR="007F63CB" w:rsidRDefault="007F63CB" w:rsidP="007F63CB">
            <w:pPr>
              <w:pStyle w:val="a3"/>
              <w:numPr>
                <w:ilvl w:val="0"/>
                <w:numId w:val="13"/>
              </w:numPr>
              <w:tabs>
                <w:tab w:val="left" w:pos="329"/>
              </w:tabs>
              <w:ind w:left="14" w:firstLine="2"/>
              <w:jc w:val="left"/>
            </w:pPr>
            <w:r>
              <w:t>Оценка ПДП</w:t>
            </w:r>
          </w:p>
        </w:tc>
      </w:tr>
      <w:tr w:rsidR="007F63CB" w:rsidTr="007F63CB">
        <w:tc>
          <w:tcPr>
            <w:tcW w:w="2410" w:type="dxa"/>
            <w:shd w:val="clear" w:color="auto" w:fill="auto"/>
          </w:tcPr>
          <w:p w:rsidR="007F63CB" w:rsidRDefault="007F63CB" w:rsidP="00E652A3">
            <w:pPr>
              <w:jc w:val="left"/>
            </w:pPr>
            <w:r>
              <w:t>.1 Разработать стратегию МиО</w:t>
            </w:r>
          </w:p>
          <w:p w:rsidR="007F63CB" w:rsidRDefault="007F63CB" w:rsidP="00E652A3">
            <w:pPr>
              <w:jc w:val="left"/>
            </w:pPr>
            <w:r>
              <w:t>.2 Повысить квалификацию персонала</w:t>
            </w:r>
          </w:p>
        </w:tc>
        <w:tc>
          <w:tcPr>
            <w:tcW w:w="2236" w:type="dxa"/>
            <w:shd w:val="clear" w:color="auto" w:fill="auto"/>
          </w:tcPr>
          <w:p w:rsidR="007F63CB" w:rsidRDefault="007F63CB" w:rsidP="00E652A3">
            <w:pPr>
              <w:jc w:val="left"/>
            </w:pPr>
            <w:r>
              <w:t>.1 Исходные показатели</w:t>
            </w:r>
          </w:p>
          <w:p w:rsidR="007F63CB" w:rsidRDefault="007F63CB" w:rsidP="00E652A3">
            <w:pPr>
              <w:jc w:val="left"/>
            </w:pPr>
            <w:r>
              <w:t>.2 Мониторинг обналичивания</w:t>
            </w:r>
          </w:p>
          <w:p w:rsidR="007F63CB" w:rsidRDefault="007F63CB" w:rsidP="00E652A3">
            <w:pPr>
              <w:jc w:val="left"/>
            </w:pPr>
            <w:r>
              <w:t>.3 Мониторинг после раздачи</w:t>
            </w:r>
          </w:p>
        </w:tc>
        <w:tc>
          <w:tcPr>
            <w:tcW w:w="2462" w:type="dxa"/>
            <w:shd w:val="clear" w:color="auto" w:fill="B8CCE4" w:themeFill="accent1" w:themeFillTint="66"/>
          </w:tcPr>
          <w:p w:rsidR="007F63CB" w:rsidRDefault="007F63CB" w:rsidP="00E652A3">
            <w:pPr>
              <w:jc w:val="left"/>
            </w:pPr>
            <w:r>
              <w:t>.1 Мониторинг торговцев</w:t>
            </w:r>
          </w:p>
          <w:p w:rsidR="007F63CB" w:rsidRDefault="007F63CB" w:rsidP="00E652A3">
            <w:pPr>
              <w:jc w:val="left"/>
            </w:pPr>
            <w:r>
              <w:t>.2 Мониторинг цен</w:t>
            </w:r>
          </w:p>
          <w:p w:rsidR="007F63CB" w:rsidRDefault="007F63CB" w:rsidP="00E652A3">
            <w:pPr>
              <w:jc w:val="left"/>
            </w:pPr>
            <w:r>
              <w:t>.3 Реагирование на изменения цен</w:t>
            </w:r>
          </w:p>
        </w:tc>
        <w:tc>
          <w:tcPr>
            <w:tcW w:w="2462" w:type="dxa"/>
          </w:tcPr>
          <w:p w:rsidR="007F63CB" w:rsidRDefault="007F63CB" w:rsidP="00E652A3">
            <w:pPr>
              <w:jc w:val="left"/>
            </w:pPr>
            <w:r>
              <w:t>.1 Сформулировать критерии и вопросы для оценки</w:t>
            </w:r>
          </w:p>
          <w:p w:rsidR="007F63CB" w:rsidRDefault="007F63CB" w:rsidP="00E652A3">
            <w:pPr>
              <w:jc w:val="left"/>
            </w:pPr>
            <w:r>
              <w:t>.2 Подготовить ТЗ для оценки</w:t>
            </w:r>
          </w:p>
          <w:p w:rsidR="007F63CB" w:rsidRDefault="007F63CB" w:rsidP="00E652A3">
            <w:pPr>
              <w:jc w:val="left"/>
            </w:pPr>
            <w:r>
              <w:t>.3 Написать отчёты</w:t>
            </w:r>
          </w:p>
        </w:tc>
      </w:tr>
    </w:tbl>
    <w:p w:rsidR="0004497F" w:rsidRPr="009446FA" w:rsidRDefault="0004497F" w:rsidP="008B1BD6">
      <w:pPr>
        <w:pStyle w:val="2"/>
        <w:spacing w:before="480"/>
      </w:pPr>
      <w:r>
        <w:t>ВВЕДЕНИЕ</w:t>
      </w:r>
    </w:p>
    <w:p w:rsidR="0004497F" w:rsidRPr="009446FA" w:rsidRDefault="0004497F" w:rsidP="00720AA4">
      <w:r>
        <w:t>Данная дорожная карта поможет вам в процессе мониторинга рынка, особенно, цен.Тот факт, что основное внимание уделяется ценам, обосновывается тем, что цены являются наиболее релевантным индикатором рынка, необходимым для понимания</w:t>
      </w:r>
      <w:r w:rsidR="00E12881">
        <w:t xml:space="preserve"> того</w:t>
      </w:r>
      <w:r>
        <w:t>, достигает ли проект ожидаемых целей, не причиняя ущерба.</w:t>
      </w:r>
      <w:r w:rsidR="00464C0A">
        <w:t xml:space="preserve">  </w:t>
      </w:r>
      <w:r>
        <w:t>Изменения цен влияют на способность бенефициаров получить доступ к нужным товарам на местном рынке.</w:t>
      </w:r>
    </w:p>
    <w:p w:rsidR="00D66506" w:rsidRPr="009446FA" w:rsidRDefault="00271EAE" w:rsidP="00720AA4">
      <w:r>
        <w:t xml:space="preserve">В данной дорожной карте также выражены предположения о том, какие инструменты </w:t>
      </w:r>
      <w:r w:rsidR="00E12881">
        <w:t xml:space="preserve">методических материалов </w:t>
      </w:r>
      <w:r w:rsidR="00464C0A">
        <w:t>по вопросам</w:t>
      </w:r>
      <w:bookmarkStart w:id="0" w:name="_GoBack"/>
      <w:bookmarkEnd w:id="0"/>
      <w:r w:rsidR="00464C0A">
        <w:t xml:space="preserve"> предоставления наличных денежных средств в условиях ЧС</w:t>
      </w:r>
      <w:r>
        <w:t xml:space="preserve"> наиболее полезны для данного </w:t>
      </w:r>
      <w:r w:rsidR="00464C0A">
        <w:t>раздела</w:t>
      </w:r>
      <w:r>
        <w:t xml:space="preserve"> и </w:t>
      </w:r>
      <w:r w:rsidR="00464C0A">
        <w:t>подразделов</w:t>
      </w:r>
      <w:r>
        <w:t>.</w:t>
      </w:r>
      <w:r w:rsidR="00464C0A">
        <w:t xml:space="preserve">  </w:t>
      </w:r>
      <w:r>
        <w:t>Эти инструменты будет необходимо скорректировать согласно вашим потребностям и условиям.</w:t>
      </w:r>
    </w:p>
    <w:p w:rsidR="00D66506" w:rsidRPr="009446FA" w:rsidRDefault="00D66506" w:rsidP="00720AA4">
      <w:r>
        <w:t xml:space="preserve">Вы должны всегда стремиться соблюдать минимальные стандарты, перечисленные </w:t>
      </w:r>
      <w:r w:rsidR="00464C0A">
        <w:t>в</w:t>
      </w:r>
      <w:r>
        <w:t xml:space="preserve"> этом </w:t>
      </w:r>
      <w:r w:rsidR="00464C0A">
        <w:t>разделе</w:t>
      </w:r>
      <w:r>
        <w:t>.  Это поможет повысить уровень качества ваших действий.</w:t>
      </w:r>
    </w:p>
    <w:p w:rsidR="00D66506" w:rsidRPr="009446FA" w:rsidRDefault="00D66506" w:rsidP="00720AA4">
      <w:r>
        <w:t xml:space="preserve">Вероятно, по мере того как завершаются процессы и информация поступает в каждый </w:t>
      </w:r>
      <w:r w:rsidR="00464C0A">
        <w:t>подраздел</w:t>
      </w:r>
      <w:r>
        <w:t xml:space="preserve">, для принятия решений вам потребуется </w:t>
      </w:r>
      <w:r>
        <w:rPr>
          <w:b/>
        </w:rPr>
        <w:t xml:space="preserve">переходить от одного </w:t>
      </w:r>
      <w:r w:rsidR="00464C0A">
        <w:rPr>
          <w:b/>
        </w:rPr>
        <w:t>подраздела</w:t>
      </w:r>
      <w:r>
        <w:rPr>
          <w:b/>
        </w:rPr>
        <w:t xml:space="preserve"> к другому</w:t>
      </w:r>
      <w:r>
        <w:t>.</w:t>
      </w:r>
    </w:p>
    <w:p w:rsidR="00D66506" w:rsidRPr="009446FA" w:rsidRDefault="00D66506" w:rsidP="00720AA4">
      <w:r>
        <w:t>Если вам потребуется более детальное руководство в вопросах мониторинга рынка, обратитесь к справочным документам, предложенным в конце данной дорожной карты.</w:t>
      </w:r>
    </w:p>
    <w:p w:rsidR="0004497F" w:rsidRPr="009446FA" w:rsidRDefault="0004497F" w:rsidP="00D17283">
      <w:pPr>
        <w:pStyle w:val="2"/>
      </w:pPr>
      <w:r>
        <w:t>МИНИМАЛЬНЫЕ СТАНДАРТЫ</w:t>
      </w:r>
    </w:p>
    <w:p w:rsidR="0004497F" w:rsidRPr="009446FA" w:rsidRDefault="0004497F" w:rsidP="00D17283">
      <w:pPr>
        <w:pStyle w:val="Bullet1"/>
      </w:pPr>
      <w:r>
        <w:t>Мониторинг цен нужно осуществлять в течение всего цикла программы</w:t>
      </w:r>
    </w:p>
    <w:p w:rsidR="0004497F" w:rsidRPr="009446FA" w:rsidRDefault="001F5709" w:rsidP="00D17283">
      <w:pPr>
        <w:pStyle w:val="Bullet1"/>
      </w:pPr>
      <w:r>
        <w:t xml:space="preserve">К процессу мониторинга цен следует привлечь </w:t>
      </w:r>
      <w:r w:rsidR="007F63CB">
        <w:t>департаменты финансов и логистики</w:t>
      </w:r>
      <w:r>
        <w:t>.</w:t>
      </w:r>
    </w:p>
    <w:p w:rsidR="0004497F" w:rsidRPr="009446FA" w:rsidRDefault="0004497F" w:rsidP="00D17283">
      <w:pPr>
        <w:pStyle w:val="Bullet1"/>
      </w:pPr>
      <w:r>
        <w:t>Следует установить пороговые уровни цен для корректировки программы.</w:t>
      </w:r>
    </w:p>
    <w:p w:rsidR="0004497F" w:rsidRPr="009446FA" w:rsidRDefault="0004497F" w:rsidP="00D17283">
      <w:pPr>
        <w:pStyle w:val="Bullet1"/>
      </w:pPr>
      <w:r>
        <w:t xml:space="preserve">Следует иметь план </w:t>
      </w:r>
      <w:r w:rsidR="007F63CB">
        <w:t>действий на случай непредвиденных обстоятельств</w:t>
      </w:r>
      <w:r>
        <w:t>, чтобы принимать решения по вопросу корректировки программы ввиду изменения цен.</w:t>
      </w:r>
    </w:p>
    <w:p w:rsidR="0004497F" w:rsidRPr="009446FA" w:rsidRDefault="00464C0A" w:rsidP="00B40D6A">
      <w:pPr>
        <w:pStyle w:val="2"/>
        <w:keepLines/>
      </w:pPr>
      <w:r>
        <w:lastRenderedPageBreak/>
        <w:t>ПОДРАЗДЕЛЫ</w:t>
      </w:r>
      <w:r w:rsidR="00764F35">
        <w:t xml:space="preserve"> И ИНСТРУМЕНТЫ</w:t>
      </w:r>
    </w:p>
    <w:p w:rsidR="00B550A1" w:rsidRPr="009446FA" w:rsidRDefault="00B550A1" w:rsidP="00B40D6A">
      <w:pPr>
        <w:pStyle w:val="3"/>
        <w:keepLines/>
      </w:pPr>
      <w:r>
        <w:t>Мониторинг торговцев</w:t>
      </w:r>
    </w:p>
    <w:p w:rsidR="00645AF0" w:rsidRPr="009446FA" w:rsidRDefault="00B550A1" w:rsidP="00B40D6A">
      <w:pPr>
        <w:keepNext/>
        <w:keepLines/>
      </w:pPr>
      <w:r>
        <w:t xml:space="preserve">В зависимости от типа проводимого проекта, задач операции и условий, на которые надо обратить особое внимание, вы можете решить провести мониторинг таких связанных с рынком факторов, как наличие товаров, </w:t>
      </w:r>
      <w:r w:rsidR="007F63CB">
        <w:t xml:space="preserve">их </w:t>
      </w:r>
      <w:r>
        <w:t>количество и качество, а также мониторинг торговцев.</w:t>
      </w:r>
      <w:r w:rsidR="00464C0A">
        <w:t xml:space="preserve"> </w:t>
      </w:r>
      <w:r>
        <w:t>Мониторинг торговцев позволяет вам выявлять любые проблемы со стороны предложения, а также определять потенциальное воздействие программы на рынок.</w:t>
      </w:r>
      <w:r w:rsidR="00464C0A">
        <w:t xml:space="preserve">  </w:t>
      </w:r>
      <w:r>
        <w:t xml:space="preserve">Среди инструментов этого </w:t>
      </w:r>
      <w:r w:rsidR="00464C0A">
        <w:t>подраздела</w:t>
      </w:r>
      <w:r>
        <w:t xml:space="preserve"> вы найдёте вопросник для торговцев, где затрагиваются вопросы спроса, предложения, цен и оплаты с помощью мобильных телефонов.</w:t>
      </w:r>
    </w:p>
    <w:p w:rsidR="00645AF0" w:rsidRPr="009446FA" w:rsidRDefault="00B550A1" w:rsidP="00D17283">
      <w:pPr>
        <w:pStyle w:val="3"/>
      </w:pPr>
      <w:r>
        <w:t>Мониторинг информации о ценах</w:t>
      </w:r>
    </w:p>
    <w:p w:rsidR="00645AF0" w:rsidRPr="009446FA" w:rsidRDefault="00B550A1" w:rsidP="00720AA4">
      <w:r>
        <w:t>В мониторинге цен должны принимать участие департаменты логистики и финансов, так как у них обычно есть системы мониторинга цен.</w:t>
      </w:r>
      <w:r w:rsidR="00464C0A">
        <w:t xml:space="preserve">  </w:t>
      </w:r>
      <w:r>
        <w:t>Он может основываться на вторичных и/или первичных данных.</w:t>
      </w:r>
      <w:r w:rsidR="00464C0A">
        <w:t xml:space="preserve">  </w:t>
      </w:r>
      <w:r>
        <w:t xml:space="preserve">Среди инструментов этого </w:t>
      </w:r>
      <w:r w:rsidR="00464C0A">
        <w:t>подраздела</w:t>
      </w:r>
      <w:r>
        <w:t xml:space="preserve"> вы найдёте контрольный список вопросов, которые следует учесть при принятии решения, использовать вторичные данные или нет.</w:t>
      </w:r>
      <w:r w:rsidR="00464C0A">
        <w:t xml:space="preserve">  </w:t>
      </w:r>
      <w:r>
        <w:t xml:space="preserve">Кроме того, </w:t>
      </w:r>
      <w:r w:rsidR="007F63CB">
        <w:t>здесь</w:t>
      </w:r>
      <w:r>
        <w:t xml:space="preserve"> есть контрольные списки, которые помогут сотрудникам, осуществляющим мониторинг на местах, проводить регулярный стабильный сбор первичных данных, а также инструменты, которые помогут вам организовать информацию о ценах в таблицах excel, выявить значительные изменения цен и понять, связаны ли выявленные изменения цен непосредственно с вашим проектом либо с общими вопросами.</w:t>
      </w:r>
    </w:p>
    <w:p w:rsidR="00645AF0" w:rsidRPr="009446FA" w:rsidRDefault="00B550A1" w:rsidP="00D17283">
      <w:pPr>
        <w:pStyle w:val="3"/>
      </w:pPr>
      <w:r>
        <w:t>Реакция на изменения цен</w:t>
      </w:r>
    </w:p>
    <w:p w:rsidR="00645AF0" w:rsidRPr="009446FA" w:rsidRDefault="00271EAE" w:rsidP="00720AA4">
      <w:r>
        <w:t xml:space="preserve">При реализации программ денежных переводов рост цен может повлиять на </w:t>
      </w:r>
      <w:r w:rsidR="00E12881">
        <w:t>покупательную</w:t>
      </w:r>
      <w:r>
        <w:t xml:space="preserve"> способность переводов.</w:t>
      </w:r>
      <w:r w:rsidR="00464C0A">
        <w:t xml:space="preserve">  </w:t>
      </w:r>
      <w:r>
        <w:t xml:space="preserve">Решение, реагировать на изменение цен или нет, будет основываться на ваших возможностях внести </w:t>
      </w:r>
      <w:r w:rsidR="00E12881">
        <w:t>в проект</w:t>
      </w:r>
      <w:r w:rsidR="00464C0A">
        <w:t xml:space="preserve">  </w:t>
      </w:r>
      <w:r>
        <w:t>соответствующие изменения.</w:t>
      </w:r>
      <w:r w:rsidR="00464C0A">
        <w:t xml:space="preserve">  </w:t>
      </w:r>
      <w:r>
        <w:t>Независимо от того, что вызвало изменения цен, ваш потенциал реагирования будет зависеть от того, есть ли у вас план действий в непредвиденной ситуации и бюджет.</w:t>
      </w:r>
      <w:r w:rsidR="00464C0A">
        <w:t xml:space="preserve">  </w:t>
      </w:r>
      <w:r>
        <w:t>В общих чертах, вы можете отреагировать на существенное изменение цен следующим образом:</w:t>
      </w:r>
    </w:p>
    <w:p w:rsidR="00645AF0" w:rsidRPr="009446FA" w:rsidRDefault="00B550A1" w:rsidP="00D17283">
      <w:pPr>
        <w:pStyle w:val="Bullet2"/>
      </w:pPr>
      <w:r>
        <w:t>Регулярно корректировать сумму переводов</w:t>
      </w:r>
    </w:p>
    <w:p w:rsidR="00645AF0" w:rsidRPr="009446FA" w:rsidRDefault="001F5709" w:rsidP="00D17283">
      <w:pPr>
        <w:pStyle w:val="Bullet2"/>
      </w:pPr>
      <w:r>
        <w:t>Изменить метод осуществления переводов</w:t>
      </w:r>
    </w:p>
    <w:p w:rsidR="00645AF0" w:rsidRPr="009446FA" w:rsidRDefault="001F5709" w:rsidP="00D17283">
      <w:pPr>
        <w:pStyle w:val="Bullet2"/>
      </w:pPr>
      <w:r>
        <w:t>Заключить договор с торговцами</w:t>
      </w:r>
    </w:p>
    <w:p w:rsidR="00645AF0" w:rsidRPr="009446FA" w:rsidRDefault="001F5709" w:rsidP="00D17283">
      <w:pPr>
        <w:pStyle w:val="Bullet2"/>
      </w:pPr>
      <w:r>
        <w:t>Поддержать рынок, услуги и инфраструктуру</w:t>
      </w:r>
    </w:p>
    <w:p w:rsidR="00277EA1" w:rsidRPr="009446FA" w:rsidRDefault="00E20DC6" w:rsidP="00B40D6A">
      <w:pPr>
        <w:spacing w:after="360"/>
      </w:pPr>
      <w:r>
        <w:t xml:space="preserve">Среди инструментов данного </w:t>
      </w:r>
      <w:r w:rsidR="00464C0A">
        <w:t>подраздела</w:t>
      </w:r>
      <w:r>
        <w:t xml:space="preserve"> вы найдёте краткое руководство на тему возможности использования каждого из этих вариантов реагирования и того, как их следует спланировать и применить.</w:t>
      </w:r>
    </w:p>
    <w:tbl>
      <w:tblPr>
        <w:tblStyle w:val="TableGray"/>
        <w:tblW w:w="0" w:type="auto"/>
        <w:tblInd w:w="142" w:type="dxa"/>
        <w:tblLook w:val="04A0"/>
      </w:tblPr>
      <w:tblGrid>
        <w:gridCol w:w="9639"/>
      </w:tblGrid>
      <w:tr w:rsidR="00D17283" w:rsidTr="00B40D6A">
        <w:tc>
          <w:tcPr>
            <w:tcW w:w="9639" w:type="dxa"/>
          </w:tcPr>
          <w:p w:rsidR="00D17283" w:rsidRPr="009446FA" w:rsidRDefault="00D17283" w:rsidP="00D17283">
            <w:pPr>
              <w:pStyle w:val="RefTitre"/>
            </w:pPr>
            <w:r>
              <w:t>СПРАВОЧНЫЕ МАТЕРИАЛЫ</w:t>
            </w:r>
          </w:p>
          <w:p w:rsidR="00D17283" w:rsidRDefault="00D17283" w:rsidP="00D17283">
            <w:pPr>
              <w:pStyle w:val="RefItem1"/>
            </w:pPr>
            <w:r>
              <w:t>Быстрая оценка рынков (БОР) Международное движение Красного Креста и Красного Полумесяца / Rapid</w:t>
            </w:r>
            <w:r w:rsidR="002B643F">
              <w:t xml:space="preserve"> </w:t>
            </w:r>
            <w:r>
              <w:t>Assessment</w:t>
            </w:r>
            <w:r w:rsidR="002B643F">
              <w:t xml:space="preserve"> </w:t>
            </w:r>
            <w:r>
              <w:t>for</w:t>
            </w:r>
            <w:r w:rsidR="002B643F">
              <w:t xml:space="preserve"> </w:t>
            </w:r>
            <w:r>
              <w:t>Markets (RAM) International</w:t>
            </w:r>
            <w:r w:rsidR="002B643F">
              <w:t xml:space="preserve"> </w:t>
            </w:r>
            <w:r>
              <w:t>Red</w:t>
            </w:r>
            <w:r w:rsidR="002B643F">
              <w:t xml:space="preserve"> </w:t>
            </w:r>
            <w:r>
              <w:t>Cross</w:t>
            </w:r>
            <w:r w:rsidR="002B643F">
              <w:t xml:space="preserve"> </w:t>
            </w:r>
            <w:r>
              <w:t>and</w:t>
            </w:r>
            <w:r w:rsidR="002B643F">
              <w:t xml:space="preserve"> </w:t>
            </w:r>
            <w:r>
              <w:t>Red</w:t>
            </w:r>
            <w:r w:rsidR="002B643F">
              <w:t xml:space="preserve"> </w:t>
            </w:r>
            <w:r>
              <w:t>Crescent</w:t>
            </w:r>
            <w:r w:rsidR="002B643F">
              <w:t xml:space="preserve"> </w:t>
            </w:r>
            <w:r>
              <w:t>Movement</w:t>
            </w:r>
          </w:p>
        </w:tc>
      </w:tr>
    </w:tbl>
    <w:p w:rsidR="00E67A1A" w:rsidRDefault="00E67A1A" w:rsidP="00720AA4"/>
    <w:sectPr w:rsidR="00E67A1A" w:rsidSect="00A5369B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134" w:right="1134" w:bottom="1134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060" w:rsidRDefault="00A50060">
      <w:r>
        <w:separator/>
      </w:r>
    </w:p>
  </w:endnote>
  <w:endnote w:type="continuationSeparator" w:id="1">
    <w:p w:rsidR="00A50060" w:rsidRDefault="00A500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1EB" w:rsidRPr="00B45C74" w:rsidRDefault="000F45A2" w:rsidP="00B45C74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="009A41EB"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2B643F">
      <w:rPr>
        <w:b/>
        <w:noProof/>
        <w:color w:val="808080" w:themeColor="background1" w:themeShade="80"/>
        <w:sz w:val="18"/>
        <w:szCs w:val="18"/>
      </w:rPr>
      <w:t>2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:rsidR="009A41EB" w:rsidRPr="003A3500" w:rsidRDefault="009A41EB" w:rsidP="00ED1B2B">
    <w:pPr>
      <w:pStyle w:val="af1"/>
    </w:pPr>
    <w:r>
      <w:rPr>
        <w:b/>
      </w:rPr>
      <w:t>Модуль 5.</w:t>
    </w:r>
    <w:r w:rsidR="00464C0A">
      <w:t xml:space="preserve"> Раздел</w:t>
    </w:r>
    <w:r>
      <w:t xml:space="preserve"> 3.Дорожная карта для мониторинга рынка ПДП</w:t>
    </w:r>
    <w:r w:rsidR="00464C0A">
      <w:t xml:space="preserve"> </w:t>
    </w:r>
    <w:fldSimple w:instr=" STYLEREF  H1 \t  \* MERGEFORMAT ">
      <w:r w:rsidR="002B643F" w:rsidRPr="002B643F">
        <w:rPr>
          <w:i/>
          <w:noProof/>
        </w:rPr>
        <w:t>Дорожная карта для мониторинга рынка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69B" w:rsidRPr="00B45C74" w:rsidRDefault="000F45A2" w:rsidP="00B45C74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="00A5369B"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464C0A">
      <w:rPr>
        <w:b/>
        <w:noProof/>
        <w:color w:val="808080" w:themeColor="background1" w:themeShade="80"/>
        <w:sz w:val="18"/>
        <w:szCs w:val="18"/>
      </w:rPr>
      <w:t>1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:rsidR="00A5369B" w:rsidRPr="003A3500" w:rsidRDefault="00A5369B" w:rsidP="00ED1B2B">
    <w:pPr>
      <w:pStyle w:val="af1"/>
    </w:pPr>
    <w:r>
      <w:rPr>
        <w:b/>
      </w:rPr>
      <w:t>Модуль 5.</w:t>
    </w:r>
    <w:r w:rsidR="00464C0A">
      <w:t xml:space="preserve"> Раздел</w:t>
    </w:r>
    <w:r>
      <w:t xml:space="preserve"> 3. </w:t>
    </w:r>
    <w:fldSimple w:instr=" STYLEREF  H1 \t  \* MERGEFORMAT ">
      <w:r w:rsidR="00464C0A" w:rsidRPr="00464C0A">
        <w:rPr>
          <w:bCs/>
          <w:noProof/>
        </w:rPr>
        <w:t>Дорожная карта для мониторинга</w:t>
      </w:r>
      <w:r w:rsidR="00464C0A" w:rsidRPr="00464C0A">
        <w:rPr>
          <w:i/>
          <w:noProof/>
        </w:rPr>
        <w:t xml:space="preserve"> рынка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060" w:rsidRDefault="00A50060" w:rsidP="00B40D6A">
      <w:pPr>
        <w:spacing w:after="0"/>
      </w:pPr>
      <w:r>
        <w:separator/>
      </w:r>
    </w:p>
  </w:footnote>
  <w:footnote w:type="continuationSeparator" w:id="1">
    <w:p w:rsidR="00A50060" w:rsidRDefault="00A50060">
      <w:r>
        <w:continuationSeparator/>
      </w:r>
    </w:p>
  </w:footnote>
  <w:footnote w:id="2">
    <w:p w:rsidR="00E20DC6" w:rsidRPr="00B40D6A" w:rsidRDefault="00E20DC6" w:rsidP="00B40D6A">
      <w:pPr>
        <w:pStyle w:val="a5"/>
      </w:pPr>
      <w:r>
        <w:rPr>
          <w:rStyle w:val="a7"/>
        </w:rPr>
        <w:footnoteRef/>
      </w:r>
      <w:r>
        <w:t xml:space="preserve"> Данная дорожная карта составлена на основе главы Мониторинг цен в Руководстве по оценке рынков (MAG).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69B" w:rsidRPr="00074036" w:rsidRDefault="00A5369B" w:rsidP="00173FF2">
    <w:pPr>
      <w:pStyle w:val="af"/>
      <w:rPr>
        <w:szCs w:val="16"/>
      </w:rPr>
    </w:pPr>
    <w:r>
      <w:rPr>
        <w:rStyle w:val="Pantone485"/>
      </w:rPr>
      <w:t>Международное движение Красного Креста и Красного Полумесяца</w:t>
    </w:r>
    <w:r w:rsidR="00464C0A">
      <w:rPr>
        <w:rStyle w:val="Pantone485"/>
      </w:rPr>
      <w:t xml:space="preserve"> </w:t>
    </w:r>
    <w:r>
      <w:rPr>
        <w:rStyle w:val="af4"/>
        <w:bCs/>
        <w:szCs w:val="16"/>
      </w:rPr>
      <w:t>I</w:t>
    </w:r>
    <w:r w:rsidR="00464C0A">
      <w:rPr>
        <w:szCs w:val="16"/>
      </w:rPr>
      <w:t xml:space="preserve"> Методические материалы по вопросам предоставления наличных денежных средств в условиях ЧС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69B" w:rsidRDefault="00A5369B" w:rsidP="00050617">
    <w:pPr>
      <w:pStyle w:val="Header1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1080135</wp:posOffset>
          </wp:positionH>
          <wp:positionV relativeFrom="page">
            <wp:posOffset>377825</wp:posOffset>
          </wp:positionV>
          <wp:extent cx="633730" cy="719512"/>
          <wp:effectExtent l="0" t="0" r="0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RC_logo_EN-1met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730" cy="7195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5369B" w:rsidRDefault="00A5369B" w:rsidP="00050617">
    <w:pPr>
      <w:pStyle w:val="Header1"/>
    </w:pPr>
  </w:p>
  <w:p w:rsidR="00A5369B" w:rsidRDefault="00A5369B" w:rsidP="00CB38F7">
    <w:pPr>
      <w:pStyle w:val="af"/>
      <w:rPr>
        <w:color w:val="DC281E"/>
        <w:sz w:val="24"/>
        <w:szCs w:val="24"/>
      </w:rPr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3366135</wp:posOffset>
          </wp:positionH>
          <wp:positionV relativeFrom="page">
            <wp:posOffset>784225</wp:posOffset>
          </wp:positionV>
          <wp:extent cx="3200400" cy="299867"/>
          <wp:effectExtent l="0" t="0" r="0" b="508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RC_logo_EN-1metr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2998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5369B" w:rsidRDefault="00A5369B" w:rsidP="00C16D71">
    <w:pPr>
      <w:pStyle w:val="af"/>
      <w:spacing w:line="240" w:lineRule="auto"/>
      <w:rPr>
        <w:b/>
        <w:color w:val="DC281E"/>
        <w:sz w:val="24"/>
        <w:szCs w:val="24"/>
      </w:rPr>
    </w:pPr>
  </w:p>
  <w:p w:rsidR="00A5369B" w:rsidRDefault="00A5369B" w:rsidP="00C16D71">
    <w:pPr>
      <w:pStyle w:val="af"/>
      <w:spacing w:line="240" w:lineRule="auto"/>
      <w:rPr>
        <w:b/>
        <w:color w:val="DC281E"/>
        <w:sz w:val="24"/>
        <w:szCs w:val="24"/>
      </w:rPr>
    </w:pPr>
  </w:p>
  <w:p w:rsidR="00000000" w:rsidRDefault="00464C0A" w:rsidP="00464C0A">
    <w:pPr>
      <w:pStyle w:val="Header1"/>
    </w:pPr>
    <w:r>
      <w:rPr>
        <w:color w:val="DC281E"/>
      </w:rPr>
      <w:t>Методические материалы по вопросам предоставления наличных денежных средств в условиях ЧС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01228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F"/>
    <w:multiLevelType w:val="singleLevel"/>
    <w:tmpl w:val="8DD21A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71477B"/>
    <w:multiLevelType w:val="hybridMultilevel"/>
    <w:tmpl w:val="7D688CB0"/>
    <w:lvl w:ilvl="0" w:tplc="AF5CCA70"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4705B4"/>
    <w:multiLevelType w:val="hybridMultilevel"/>
    <w:tmpl w:val="FD6251F6"/>
    <w:lvl w:ilvl="0" w:tplc="5A4C774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0E06E8"/>
    <w:multiLevelType w:val="hybridMultilevel"/>
    <w:tmpl w:val="A742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ED30E95"/>
    <w:multiLevelType w:val="hybridMultilevel"/>
    <w:tmpl w:val="5A862DD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645898"/>
    <w:multiLevelType w:val="hybridMultilevel"/>
    <w:tmpl w:val="EEC0CA5A"/>
    <w:lvl w:ilvl="0" w:tplc="E54290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7"/>
  </w:num>
  <w:num w:numId="9">
    <w:abstractNumId w:val="11"/>
  </w:num>
  <w:num w:numId="10">
    <w:abstractNumId w:val="9"/>
  </w:num>
  <w:num w:numId="11">
    <w:abstractNumId w:val="1"/>
  </w:num>
  <w:num w:numId="12">
    <w:abstractNumId w:val="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linkStyles/>
  <w:stylePaneSortMethod w:val="0000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77EA1"/>
    <w:rsid w:val="00015C72"/>
    <w:rsid w:val="0004497F"/>
    <w:rsid w:val="000F45A2"/>
    <w:rsid w:val="001029E5"/>
    <w:rsid w:val="001229FC"/>
    <w:rsid w:val="001C5198"/>
    <w:rsid w:val="001E6E63"/>
    <w:rsid w:val="001F5709"/>
    <w:rsid w:val="00271EAE"/>
    <w:rsid w:val="00277EA1"/>
    <w:rsid w:val="002B643F"/>
    <w:rsid w:val="002C723F"/>
    <w:rsid w:val="00336821"/>
    <w:rsid w:val="00337B3C"/>
    <w:rsid w:val="00370E04"/>
    <w:rsid w:val="0038126B"/>
    <w:rsid w:val="00464C0A"/>
    <w:rsid w:val="005116D4"/>
    <w:rsid w:val="00517870"/>
    <w:rsid w:val="00541DD2"/>
    <w:rsid w:val="00582255"/>
    <w:rsid w:val="005F19D7"/>
    <w:rsid w:val="00645AF0"/>
    <w:rsid w:val="006628DF"/>
    <w:rsid w:val="00695046"/>
    <w:rsid w:val="006B7885"/>
    <w:rsid w:val="00720AA4"/>
    <w:rsid w:val="00764F35"/>
    <w:rsid w:val="0078750D"/>
    <w:rsid w:val="007F63CB"/>
    <w:rsid w:val="00874023"/>
    <w:rsid w:val="008A5CD3"/>
    <w:rsid w:val="008B1BD6"/>
    <w:rsid w:val="008D60E7"/>
    <w:rsid w:val="009446FA"/>
    <w:rsid w:val="009715D5"/>
    <w:rsid w:val="009A41EB"/>
    <w:rsid w:val="009C0512"/>
    <w:rsid w:val="009C1A10"/>
    <w:rsid w:val="00A42C87"/>
    <w:rsid w:val="00A50060"/>
    <w:rsid w:val="00A5369B"/>
    <w:rsid w:val="00A77B74"/>
    <w:rsid w:val="00B214C7"/>
    <w:rsid w:val="00B243FB"/>
    <w:rsid w:val="00B40D6A"/>
    <w:rsid w:val="00B550A1"/>
    <w:rsid w:val="00BB699E"/>
    <w:rsid w:val="00BF1E7C"/>
    <w:rsid w:val="00CA7B37"/>
    <w:rsid w:val="00CC7EFC"/>
    <w:rsid w:val="00CE798F"/>
    <w:rsid w:val="00D17283"/>
    <w:rsid w:val="00D24FBA"/>
    <w:rsid w:val="00D66506"/>
    <w:rsid w:val="00DA029B"/>
    <w:rsid w:val="00DB4D96"/>
    <w:rsid w:val="00DC5240"/>
    <w:rsid w:val="00DE3459"/>
    <w:rsid w:val="00E12881"/>
    <w:rsid w:val="00E20DC6"/>
    <w:rsid w:val="00E670E7"/>
    <w:rsid w:val="00E67A1A"/>
    <w:rsid w:val="00F2738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/>
    <w:lsdException w:name="heading 5" w:semiHidden="0" w:unhideWhenUsed="0"/>
    <w:lsdException w:name="heading 6" w:semiHidden="0" w:unhideWhenUsed="0"/>
    <w:lsdException w:name="heading 7" w:semiHidden="0" w:unhideWhenUsed="0"/>
    <w:lsdException w:name="heading 8" w:semiHidden="0" w:unhideWhenUsed="0"/>
    <w:lsdException w:name="heading 9" w:semiHidden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/>
    <w:lsdException w:name="footnote text" w:uiPriority="99"/>
    <w:lsdException w:name="header" w:uiPriority="99"/>
    <w:lsdException w:name="footer" w:uiPriority="99"/>
    <w:lsdException w:name="footnote reference" w:uiPriority="99"/>
    <w:lsdException w:name="annotation reference" w:uiPriority="99"/>
    <w:lsdException w:name="page number" w:uiPriority="99"/>
    <w:lsdException w:name="List Number 2" w:semiHidden="0"/>
    <w:lsdException w:name="List Number 5" w:semiHidden="0" w:unhideWhenUsed="0"/>
    <w:lsdException w:name="Title" w:semiHidden="0" w:unhideWhenUsed="0"/>
    <w:lsdException w:name="Default Paragraph Font" w:uiPriority="1"/>
    <w:lsdException w:name="Subtitle" w:semiHidden="0" w:unhideWhenUsed="0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E670E7"/>
    <w:pPr>
      <w:spacing w:after="120"/>
      <w:jc w:val="both"/>
    </w:pPr>
    <w:rPr>
      <w:rFonts w:ascii="Arial" w:eastAsiaTheme="minorEastAsia" w:hAnsi="Arial" w:cs="Times New Roman"/>
      <w:sz w:val="20"/>
      <w:szCs w:val="20"/>
    </w:rPr>
  </w:style>
  <w:style w:type="paragraph" w:styleId="1">
    <w:name w:val="heading 1"/>
    <w:basedOn w:val="H1"/>
    <w:next w:val="a"/>
    <w:link w:val="10"/>
    <w:uiPriority w:val="9"/>
    <w:rsid w:val="00E670E7"/>
  </w:style>
  <w:style w:type="paragraph" w:styleId="2">
    <w:name w:val="heading 2"/>
    <w:basedOn w:val="a"/>
    <w:next w:val="a"/>
    <w:link w:val="20"/>
    <w:uiPriority w:val="9"/>
    <w:unhideWhenUsed/>
    <w:qFormat/>
    <w:rsid w:val="00E670E7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E670E7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670E7"/>
    <w:pPr>
      <w:spacing w:after="240"/>
      <w:ind w:left="720"/>
      <w:contextualSpacing/>
    </w:pPr>
    <w:rPr>
      <w:rFonts w:eastAsiaTheme="minorHAnsi" w:cstheme="minorBidi"/>
      <w:szCs w:val="22"/>
    </w:rPr>
  </w:style>
  <w:style w:type="character" w:customStyle="1" w:styleId="a4">
    <w:name w:val="Абзац списка Знак"/>
    <w:basedOn w:val="a0"/>
    <w:link w:val="a3"/>
    <w:uiPriority w:val="34"/>
    <w:rsid w:val="00E670E7"/>
    <w:rPr>
      <w:rFonts w:ascii="Arial" w:hAnsi="Arial"/>
      <w:sz w:val="20"/>
      <w:szCs w:val="22"/>
    </w:rPr>
  </w:style>
  <w:style w:type="paragraph" w:styleId="a5">
    <w:name w:val="footnote text"/>
    <w:basedOn w:val="a"/>
    <w:link w:val="a6"/>
    <w:uiPriority w:val="99"/>
    <w:unhideWhenUsed/>
    <w:rsid w:val="00E670E7"/>
    <w:pPr>
      <w:spacing w:after="0"/>
    </w:pPr>
    <w:rPr>
      <w:sz w:val="16"/>
      <w:szCs w:val="22"/>
    </w:rPr>
  </w:style>
  <w:style w:type="character" w:customStyle="1" w:styleId="a6">
    <w:name w:val="Текст сноски Знак"/>
    <w:basedOn w:val="a0"/>
    <w:link w:val="a5"/>
    <w:uiPriority w:val="99"/>
    <w:rsid w:val="00E670E7"/>
    <w:rPr>
      <w:rFonts w:ascii="Arial" w:eastAsiaTheme="minorEastAsia" w:hAnsi="Arial" w:cs="Times New Roman"/>
      <w:sz w:val="16"/>
      <w:szCs w:val="22"/>
    </w:rPr>
  </w:style>
  <w:style w:type="character" w:styleId="a7">
    <w:name w:val="footnote reference"/>
    <w:basedOn w:val="a0"/>
    <w:uiPriority w:val="99"/>
    <w:unhideWhenUsed/>
    <w:rsid w:val="00E670E7"/>
    <w:rPr>
      <w:vertAlign w:val="superscript"/>
    </w:rPr>
  </w:style>
  <w:style w:type="character" w:customStyle="1" w:styleId="TestonotaapidipaginaCarattere1">
    <w:name w:val="Testo nota a piè di pagina Carattere1"/>
    <w:aliases w:val="Testo nota a piè di pagina Carattere Carattere"/>
    <w:basedOn w:val="a0"/>
    <w:uiPriority w:val="99"/>
    <w:rsid w:val="00F40040"/>
    <w:rPr>
      <w:rFonts w:ascii="Calibri" w:eastAsia="Times New Roman" w:hAnsi="Calibri" w:cs="Times New Roman"/>
      <w:sz w:val="18"/>
      <w:szCs w:val="18"/>
      <w:lang w:val="ru-RU" w:eastAsia="en-US"/>
    </w:rPr>
  </w:style>
  <w:style w:type="character" w:styleId="a8">
    <w:name w:val="annotation reference"/>
    <w:basedOn w:val="a0"/>
    <w:uiPriority w:val="99"/>
    <w:semiHidden/>
    <w:unhideWhenUsed/>
    <w:rsid w:val="00E670E7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9C1A10"/>
  </w:style>
  <w:style w:type="character" w:customStyle="1" w:styleId="aa">
    <w:name w:val="Текст примечания Знак"/>
    <w:basedOn w:val="a0"/>
    <w:link w:val="a9"/>
    <w:semiHidden/>
    <w:rsid w:val="009C1A10"/>
    <w:rPr>
      <w:rFonts w:asciiTheme="majorHAnsi" w:hAnsiTheme="majorHAnsi"/>
      <w:sz w:val="20"/>
      <w:szCs w:val="20"/>
      <w:lang w:val="ru-RU"/>
    </w:rPr>
  </w:style>
  <w:style w:type="paragraph" w:styleId="ab">
    <w:name w:val="annotation subject"/>
    <w:basedOn w:val="a"/>
    <w:link w:val="ac"/>
    <w:uiPriority w:val="99"/>
    <w:semiHidden/>
    <w:unhideWhenUsed/>
    <w:rsid w:val="00E670E7"/>
    <w:rPr>
      <w:b/>
      <w:bCs/>
    </w:rPr>
  </w:style>
  <w:style w:type="character" w:customStyle="1" w:styleId="ac">
    <w:name w:val="Тема примечания Знак"/>
    <w:basedOn w:val="a0"/>
    <w:link w:val="ab"/>
    <w:uiPriority w:val="99"/>
    <w:semiHidden/>
    <w:rsid w:val="00E670E7"/>
    <w:rPr>
      <w:rFonts w:ascii="Arial" w:eastAsiaTheme="minorEastAsia" w:hAnsi="Arial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670E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670E7"/>
    <w:rPr>
      <w:rFonts w:ascii="Lucida Grande" w:eastAsiaTheme="minorEastAsia" w:hAnsi="Lucida Grande" w:cs="Lucida Grande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E670E7"/>
    <w:pPr>
      <w:spacing w:after="0" w:line="288" w:lineRule="auto"/>
      <w:jc w:val="left"/>
    </w:pPr>
    <w:rPr>
      <w:sz w:val="16"/>
    </w:rPr>
  </w:style>
  <w:style w:type="character" w:customStyle="1" w:styleId="af0">
    <w:name w:val="Верхний колонтитул Знак"/>
    <w:basedOn w:val="a0"/>
    <w:link w:val="af"/>
    <w:uiPriority w:val="99"/>
    <w:rsid w:val="00E670E7"/>
    <w:rPr>
      <w:rFonts w:ascii="Arial" w:eastAsiaTheme="minorEastAsia" w:hAnsi="Arial" w:cs="Times New Roman"/>
      <w:sz w:val="16"/>
      <w:szCs w:val="20"/>
    </w:rPr>
  </w:style>
  <w:style w:type="paragraph" w:styleId="af1">
    <w:name w:val="footer"/>
    <w:basedOn w:val="a"/>
    <w:link w:val="af2"/>
    <w:uiPriority w:val="99"/>
    <w:unhideWhenUsed/>
    <w:rsid w:val="00E670E7"/>
    <w:pPr>
      <w:spacing w:after="0"/>
      <w:jc w:val="left"/>
    </w:pPr>
    <w:rPr>
      <w:sz w:val="16"/>
      <w:szCs w:val="18"/>
    </w:rPr>
  </w:style>
  <w:style w:type="character" w:customStyle="1" w:styleId="af2">
    <w:name w:val="Нижний колонтитул Знак"/>
    <w:basedOn w:val="a0"/>
    <w:link w:val="af1"/>
    <w:uiPriority w:val="99"/>
    <w:rsid w:val="00E670E7"/>
    <w:rPr>
      <w:rFonts w:ascii="Arial" w:eastAsiaTheme="minorEastAsia" w:hAnsi="Arial" w:cs="Times New Roman"/>
      <w:sz w:val="16"/>
      <w:szCs w:val="18"/>
    </w:rPr>
  </w:style>
  <w:style w:type="character" w:customStyle="1" w:styleId="10">
    <w:name w:val="Заголовок 1 Знак"/>
    <w:basedOn w:val="a0"/>
    <w:link w:val="1"/>
    <w:uiPriority w:val="9"/>
    <w:rsid w:val="00E670E7"/>
    <w:rPr>
      <w:rFonts w:ascii="Arial" w:eastAsiaTheme="minorEastAsia" w:hAnsi="Arial" w:cs="Times New Roman"/>
      <w:b/>
      <w:sz w:val="40"/>
      <w:szCs w:val="52"/>
    </w:rPr>
  </w:style>
  <w:style w:type="character" w:customStyle="1" w:styleId="20">
    <w:name w:val="Заголовок 2 Знак"/>
    <w:basedOn w:val="a0"/>
    <w:link w:val="2"/>
    <w:uiPriority w:val="9"/>
    <w:rsid w:val="00E670E7"/>
    <w:rPr>
      <w:rFonts w:ascii="Arial" w:eastAsiaTheme="minorEastAsia" w:hAnsi="Arial" w:cs="Times New Roman"/>
      <w:b/>
      <w:caps/>
      <w:szCs w:val="26"/>
    </w:rPr>
  </w:style>
  <w:style w:type="character" w:customStyle="1" w:styleId="30">
    <w:name w:val="Заголовок 3 Знак"/>
    <w:basedOn w:val="a0"/>
    <w:link w:val="3"/>
    <w:uiPriority w:val="9"/>
    <w:rsid w:val="00E670E7"/>
    <w:rPr>
      <w:rFonts w:ascii="Arial" w:eastAsiaTheme="minorEastAsia" w:hAnsi="Arial" w:cs="Times New Roman"/>
      <w:b/>
      <w:sz w:val="22"/>
    </w:rPr>
  </w:style>
  <w:style w:type="table" w:styleId="af3">
    <w:name w:val="Table Grid"/>
    <w:basedOn w:val="a1"/>
    <w:uiPriority w:val="59"/>
    <w:rsid w:val="00E670E7"/>
    <w:rPr>
      <w:rFonts w:ascii="Cambria" w:eastAsiaTheme="minorEastAsia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670E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</w:rPr>
  </w:style>
  <w:style w:type="character" w:styleId="af4">
    <w:name w:val="page number"/>
    <w:basedOn w:val="a0"/>
    <w:uiPriority w:val="99"/>
    <w:unhideWhenUsed/>
    <w:rsid w:val="00E670E7"/>
    <w:rPr>
      <w:b/>
    </w:rPr>
  </w:style>
  <w:style w:type="character" w:styleId="af5">
    <w:name w:val="Hyperlink"/>
    <w:basedOn w:val="a0"/>
    <w:uiPriority w:val="99"/>
    <w:unhideWhenUsed/>
    <w:rsid w:val="00E670E7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unhideWhenUsed/>
    <w:rsid w:val="00E670E7"/>
    <w:rPr>
      <w:color w:val="800080" w:themeColor="followedHyperlink"/>
      <w:u w:val="single"/>
    </w:rPr>
  </w:style>
  <w:style w:type="paragraph" w:styleId="af7">
    <w:name w:val="Revision"/>
    <w:hidden/>
    <w:uiPriority w:val="99"/>
    <w:semiHidden/>
    <w:rsid w:val="00E670E7"/>
    <w:rPr>
      <w:rFonts w:ascii="Arial" w:eastAsiaTheme="minorEastAsia" w:hAnsi="Arial" w:cs="Arial"/>
      <w:sz w:val="21"/>
      <w:szCs w:val="21"/>
    </w:rPr>
  </w:style>
  <w:style w:type="paragraph" w:customStyle="1" w:styleId="BasicParagraph">
    <w:name w:val="[Basic Paragraph]"/>
    <w:basedOn w:val="a"/>
    <w:uiPriority w:val="99"/>
    <w:rsid w:val="00E670E7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"/>
    <w:link w:val="H1Char"/>
    <w:qFormat/>
    <w:rsid w:val="00E670E7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a"/>
    <w:rsid w:val="00E670E7"/>
    <w:pPr>
      <w:numPr>
        <w:numId w:val="7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a"/>
    <w:rsid w:val="00E670E7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E670E7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af"/>
    <w:rsid w:val="00E670E7"/>
    <w:rPr>
      <w:b/>
      <w:sz w:val="24"/>
      <w:szCs w:val="24"/>
    </w:rPr>
  </w:style>
  <w:style w:type="character" w:customStyle="1" w:styleId="Pantone485">
    <w:name w:val="Pantone 485"/>
    <w:basedOn w:val="a0"/>
    <w:uiPriority w:val="1"/>
    <w:qFormat/>
    <w:rsid w:val="00E670E7"/>
    <w:rPr>
      <w:rFonts w:cs="Caecilia-Light"/>
      <w:color w:val="DC281E"/>
      <w:szCs w:val="16"/>
    </w:rPr>
  </w:style>
  <w:style w:type="character" w:customStyle="1" w:styleId="H1Char">
    <w:name w:val="H1 Char"/>
    <w:basedOn w:val="a0"/>
    <w:link w:val="H1"/>
    <w:rsid w:val="00E670E7"/>
    <w:rPr>
      <w:rFonts w:ascii="Arial" w:eastAsiaTheme="minorEastAsia" w:hAnsi="Arial" w:cs="Times New Roman"/>
      <w:b/>
      <w:sz w:val="40"/>
      <w:szCs w:val="52"/>
    </w:rPr>
  </w:style>
  <w:style w:type="table" w:customStyle="1" w:styleId="TableGray">
    <w:name w:val="Table Gray"/>
    <w:basedOn w:val="a1"/>
    <w:uiPriority w:val="99"/>
    <w:rsid w:val="00E670E7"/>
    <w:rPr>
      <w:rFonts w:eastAsiaTheme="minorEastAsia" w:cs="Times New Roman"/>
      <w:sz w:val="20"/>
      <w:szCs w:val="20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3"/>
    <w:rsid w:val="00E670E7"/>
    <w:pPr>
      <w:numPr>
        <w:numId w:val="8"/>
      </w:numPr>
      <w:spacing w:before="120" w:after="120"/>
      <w:contextualSpacing w:val="0"/>
    </w:pPr>
    <w:rPr>
      <w:rFonts w:eastAsia="Cambria" w:cs="Arial"/>
    </w:rPr>
  </w:style>
  <w:style w:type="paragraph" w:customStyle="1" w:styleId="ListNumber1">
    <w:name w:val="List Number 1"/>
    <w:basedOn w:val="a"/>
    <w:rsid w:val="00E670E7"/>
    <w:pPr>
      <w:numPr>
        <w:ilvl w:val="1"/>
        <w:numId w:val="5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"/>
    <w:qFormat/>
    <w:rsid w:val="00E670E7"/>
    <w:pPr>
      <w:numPr>
        <w:numId w:val="6"/>
      </w:numPr>
    </w:pPr>
    <w:rPr>
      <w:rFonts w:eastAsia="MS Mincho"/>
      <w:b/>
      <w:sz w:val="22"/>
    </w:rPr>
  </w:style>
  <w:style w:type="paragraph" w:customStyle="1" w:styleId="Bullet3">
    <w:name w:val="Bullet 3"/>
    <w:basedOn w:val="a3"/>
    <w:qFormat/>
    <w:rsid w:val="00E670E7"/>
    <w:pPr>
      <w:numPr>
        <w:numId w:val="9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a"/>
    <w:qFormat/>
    <w:rsid w:val="00E670E7"/>
    <w:pPr>
      <w:ind w:left="567"/>
    </w:pPr>
    <w:rPr>
      <w:rFonts w:cs="Arial"/>
      <w:b/>
    </w:rPr>
  </w:style>
  <w:style w:type="paragraph" w:customStyle="1" w:styleId="TitreTableau">
    <w:name w:val="Titre Tableau"/>
    <w:basedOn w:val="a"/>
    <w:qFormat/>
    <w:rsid w:val="00E670E7"/>
    <w:pPr>
      <w:spacing w:before="120"/>
      <w:jc w:val="center"/>
    </w:pPr>
    <w:rPr>
      <w:rFonts w:cs="Arial"/>
      <w:b/>
      <w:bCs/>
      <w:color w:val="FFFFFF" w:themeColor="background1"/>
    </w:rPr>
  </w:style>
  <w:style w:type="paragraph" w:customStyle="1" w:styleId="BulletTableau">
    <w:name w:val="Bullet Tableau"/>
    <w:basedOn w:val="Bullet2"/>
    <w:qFormat/>
    <w:rsid w:val="00E670E7"/>
    <w:pPr>
      <w:keepNext/>
      <w:keepLines/>
      <w:framePr w:hSpace="141" w:wrap="around" w:vAnchor="text" w:hAnchor="margin" w:y="402"/>
      <w:numPr>
        <w:numId w:val="10"/>
      </w:numPr>
      <w:spacing w:beforeLines="60" w:afterLines="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ICRC_Template</Template>
  <TotalTime>20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Independent Consultant</Company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Creti Pantaleo</dc:creator>
  <cp:keywords/>
  <cp:lastModifiedBy>User</cp:lastModifiedBy>
  <cp:revision>9</cp:revision>
  <cp:lastPrinted>2015-10-08T09:00:00Z</cp:lastPrinted>
  <dcterms:created xsi:type="dcterms:W3CDTF">2016-08-03T14:11:00Z</dcterms:created>
  <dcterms:modified xsi:type="dcterms:W3CDTF">2017-04-20T12:42:00Z</dcterms:modified>
</cp:coreProperties>
</file>