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E8" w:rsidRPr="009329FE" w:rsidRDefault="00667E3B" w:rsidP="001F7E82">
      <w:pPr>
        <w:pStyle w:val="H1"/>
        <w:rPr>
          <w:rFonts w:cs="Arial"/>
        </w:rPr>
      </w:pPr>
      <w:r>
        <w:t>Инструмент:</w:t>
      </w:r>
      <w:r w:rsidR="004C3F75">
        <w:t xml:space="preserve"> </w:t>
      </w:r>
      <w:r>
        <w:t>Анализ изменения цен</w:t>
      </w:r>
    </w:p>
    <w:p w:rsidR="001B3CE8" w:rsidRPr="009329FE" w:rsidRDefault="001B3CE8" w:rsidP="001F7E82">
      <w:pPr>
        <w:pStyle w:val="3"/>
        <w:rPr>
          <w:rFonts w:cs="Arial"/>
        </w:rPr>
      </w:pPr>
      <w:r>
        <w:t>Цель инструмента</w:t>
      </w:r>
    </w:p>
    <w:p w:rsidR="001B3CE8" w:rsidRPr="009329FE" w:rsidRDefault="001B3CE8" w:rsidP="009329FE">
      <w:r>
        <w:t>С помощью данного инструмента вы сможете определить причины любых значительных изменений цен, которые вы выявили во время мониторинга цен.</w:t>
      </w:r>
    </w:p>
    <w:p w:rsidR="001B3CE8" w:rsidRPr="009329FE" w:rsidRDefault="001B3CE8" w:rsidP="001F7E82">
      <w:pPr>
        <w:pStyle w:val="3"/>
        <w:rPr>
          <w:rFonts w:cs="Arial"/>
        </w:rPr>
      </w:pPr>
      <w:r>
        <w:t>Как использовать данный инструмент</w:t>
      </w:r>
    </w:p>
    <w:p w:rsidR="001B3CE8" w:rsidRPr="009329FE" w:rsidRDefault="001B3CE8" w:rsidP="001B3CE8">
      <w:pPr>
        <w:rPr>
          <w:rFonts w:cs="Arial"/>
        </w:rPr>
      </w:pPr>
      <w:r>
        <w:t>Данный инструмент состоит из контрольного списка, который следует использовать при анализе данных о ценах</w:t>
      </w:r>
      <w:r w:rsidR="004C3F75">
        <w:t>,</w:t>
      </w:r>
      <w:r>
        <w:t xml:space="preserve"> чтобы определить возможные причины изменения цен.</w:t>
      </w:r>
      <w:r w:rsidR="004C3F75">
        <w:t xml:space="preserve"> </w:t>
      </w:r>
      <w:r>
        <w:t>Здесь учтены наиболее типичные причины изменения цен:</w:t>
      </w:r>
    </w:p>
    <w:p w:rsidR="001B3CE8" w:rsidRPr="009329FE" w:rsidRDefault="001B3CE8" w:rsidP="009329FE">
      <w:pPr>
        <w:pStyle w:val="Bullet2"/>
      </w:pPr>
      <w:r>
        <w:t>Инфляция</w:t>
      </w:r>
    </w:p>
    <w:p w:rsidR="001B3CE8" w:rsidRPr="009329FE" w:rsidRDefault="001B3CE8" w:rsidP="009329FE">
      <w:pPr>
        <w:pStyle w:val="Bullet2"/>
      </w:pPr>
      <w:r>
        <w:t>Сезонность</w:t>
      </w:r>
    </w:p>
    <w:p w:rsidR="001B3CE8" w:rsidRPr="009329FE" w:rsidRDefault="001B3CE8" w:rsidP="009329FE">
      <w:pPr>
        <w:pStyle w:val="Bullet2"/>
      </w:pPr>
      <w:r>
        <w:t xml:space="preserve">Общие изменения </w:t>
      </w:r>
      <w:r w:rsidR="002F5142">
        <w:t xml:space="preserve">на </w:t>
      </w:r>
      <w:r>
        <w:t>всех рынках</w:t>
      </w:r>
    </w:p>
    <w:p w:rsidR="001B3CE8" w:rsidRPr="009329FE" w:rsidRDefault="001B3CE8" w:rsidP="009329FE">
      <w:pPr>
        <w:pStyle w:val="Bullet2"/>
      </w:pPr>
      <w:r>
        <w:t>Влияние проекта</w:t>
      </w:r>
    </w:p>
    <w:p w:rsidR="001B3CE8" w:rsidRPr="009329FE" w:rsidRDefault="001B3CE8" w:rsidP="001F7E82">
      <w:pPr>
        <w:pStyle w:val="3"/>
        <w:rPr>
          <w:rFonts w:cs="Arial"/>
        </w:rPr>
      </w:pPr>
      <w:r>
        <w:t>Контрольный список для выявления потенциальных причин изменения цен</w:t>
      </w:r>
    </w:p>
    <w:p w:rsidR="001B3CE8" w:rsidRPr="009329FE" w:rsidRDefault="001B3CE8" w:rsidP="001B3CE8">
      <w:pPr>
        <w:rPr>
          <w:rFonts w:cs="Arial"/>
        </w:rPr>
      </w:pPr>
      <w:r>
        <w:t>Если вы выявили разницу в ценах в 30% между одним месяце</w:t>
      </w:r>
      <w:r w:rsidR="004C3F75">
        <w:t>м</w:t>
      </w:r>
      <w:r>
        <w:t xml:space="preserve"> и следующим, вам следует проверить, какие у этого могут быть причины.</w:t>
      </w:r>
    </w:p>
    <w:p w:rsidR="001B3CE8" w:rsidRPr="009329FE" w:rsidRDefault="006B62F4" w:rsidP="009D2F57">
      <w:pPr>
        <w:pStyle w:val="2"/>
        <w:spacing w:before="480"/>
        <w:rPr>
          <w:rFonts w:cs="Arial"/>
        </w:rPr>
      </w:pPr>
      <w:r>
        <w:t>1.</w:t>
      </w:r>
      <w:r>
        <w:tab/>
        <w:t>Инфляция</w:t>
      </w:r>
    </w:p>
    <w:p w:rsidR="001B3CE8" w:rsidRPr="009329FE" w:rsidRDefault="001B3CE8" w:rsidP="001B3CE8">
      <w:pPr>
        <w:rPr>
          <w:rFonts w:cs="Arial"/>
        </w:rPr>
      </w:pPr>
      <w:r>
        <w:t>Если цена выросла, проверьте, рост цен характерен только для товара (товаров), мониторинг которых вы проводите, или может быть связан с общей инфляцией.</w:t>
      </w:r>
    </w:p>
    <w:p w:rsidR="001B3CE8" w:rsidRPr="009329FE" w:rsidRDefault="001B3CE8" w:rsidP="001B3CE8">
      <w:pPr>
        <w:rPr>
          <w:rFonts w:cs="Arial"/>
        </w:rPr>
      </w:pPr>
      <w:r>
        <w:t>В качестве меры инфляции можно использовать Индекс потребительских цен (ИПЦ)</w:t>
      </w:r>
      <w:r w:rsidRPr="009329FE">
        <w:rPr>
          <w:rStyle w:val="a5"/>
          <w:rFonts w:cs="Arial"/>
        </w:rPr>
        <w:footnoteReference w:id="2"/>
      </w:r>
      <w:r>
        <w:t>.</w:t>
      </w:r>
    </w:p>
    <w:p w:rsidR="001B3CE8" w:rsidRPr="009329FE" w:rsidRDefault="001B3CE8" w:rsidP="009329FE">
      <w:pPr>
        <w:pStyle w:val="Bullet2"/>
      </w:pPr>
      <w:r>
        <w:t>Нанесите на график серии д</w:t>
      </w:r>
      <w:r w:rsidR="004C3F75">
        <w:t>а</w:t>
      </w:r>
      <w:r>
        <w:t>нных для ИПЦ.</w:t>
      </w:r>
    </w:p>
    <w:p w:rsidR="001B3CE8" w:rsidRPr="009329FE" w:rsidRDefault="001B3CE8" w:rsidP="009329FE">
      <w:pPr>
        <w:pStyle w:val="Bullet2"/>
      </w:pPr>
      <w:r>
        <w:t>Нанесите на график серии данных для товара (товаров), мониторинг которых вы проводите.</w:t>
      </w:r>
    </w:p>
    <w:p w:rsidR="001B3CE8" w:rsidRPr="009329FE" w:rsidRDefault="001B3CE8" w:rsidP="009329FE">
      <w:pPr>
        <w:pStyle w:val="Bullet2"/>
      </w:pPr>
      <w:r>
        <w:t>Сравните два графика.</w:t>
      </w:r>
    </w:p>
    <w:p w:rsidR="001B3CE8" w:rsidRPr="009329FE" w:rsidRDefault="001B3CE8" w:rsidP="001B3CE8">
      <w:pPr>
        <w:pStyle w:val="af1"/>
        <w:numPr>
          <w:ilvl w:val="1"/>
          <w:numId w:val="2"/>
        </w:numPr>
        <w:spacing w:after="0"/>
        <w:ind w:left="1440"/>
        <w:contextualSpacing w:val="0"/>
        <w:rPr>
          <w:rFonts w:cs="Arial"/>
        </w:rPr>
      </w:pPr>
      <w:r>
        <w:t>Если на обоих наблюдается та же тенденция (как для товара 1), то вероятно, что изменения цен, которые вы наблюдаете, отражают общую инфляцию.</w:t>
      </w:r>
    </w:p>
    <w:p w:rsidR="001B3CE8" w:rsidRPr="009329FE" w:rsidRDefault="006B6232" w:rsidP="00794B38">
      <w:pPr>
        <w:tabs>
          <w:tab w:val="left" w:pos="993"/>
        </w:tabs>
        <w:spacing w:before="240" w:after="360"/>
        <w:ind w:left="284"/>
        <w:jc w:val="center"/>
        <w:rPr>
          <w:rFonts w:cs="Arial"/>
        </w:rPr>
      </w:pPr>
      <w:r w:rsidRPr="006B6232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5.3pt;margin-top:139.05pt;width:191.75pt;height:41.55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4C3F75" w:rsidRPr="004C3F75" w:rsidRDefault="004C3F75" w:rsidP="004C3F75">
                  <w:pPr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Средняя цена в 2012 на товар 1:</w:t>
                  </w:r>
                  <w:r>
                    <w:rPr>
                      <w:sz w:val="16"/>
                    </w:rPr>
                    <w:t xml:space="preserve"> поведение цены соответствует ИПЦ.  Изменение цен отражает общую инфляцию</w:t>
                  </w:r>
                  <w:r w:rsidRPr="004C3F75">
                    <w:rPr>
                      <w:sz w:val="16"/>
                    </w:rPr>
                    <w:t>.</w:t>
                  </w:r>
                </w:p>
              </w:txbxContent>
            </v:textbox>
          </v:shape>
        </w:pict>
      </w:r>
      <w:r w:rsidRPr="006B6232">
        <w:rPr>
          <w:noProof/>
        </w:rPr>
        <w:pict>
          <v:shape id="_x0000_s1027" type="#_x0000_t202" style="position:absolute;left:0;text-align:left;margin-left:204.85pt;margin-top:64.8pt;width:191.8pt;height:41.5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4C3F75" w:rsidRPr="004C3F75" w:rsidRDefault="004C3F75">
                  <w:pPr>
                    <w:rPr>
                      <w:sz w:val="16"/>
                    </w:rPr>
                  </w:pPr>
                  <w:r w:rsidRPr="004C3F75">
                    <w:rPr>
                      <w:sz w:val="16"/>
                    </w:rPr>
                    <w:t>ИПЦ 2012:  начальное значение 110, финальное 129.  Зарегистрирована инфляция цен между мартом и апрелем 2012.</w:t>
                  </w:r>
                </w:p>
              </w:txbxContent>
            </v:textbox>
          </v:shape>
        </w:pict>
      </w:r>
      <w:r w:rsidR="001B3CE8" w:rsidRPr="009329FE">
        <w:rPr>
          <w:rFonts w:cs="Arial"/>
          <w:noProof/>
          <w:lang w:eastAsia="ru-RU"/>
        </w:rPr>
        <w:drawing>
          <wp:inline distT="0" distB="0" distL="0" distR="0">
            <wp:extent cx="3657600" cy="2743200"/>
            <wp:effectExtent l="0" t="0" r="0" b="0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CE8" w:rsidRPr="009329FE" w:rsidRDefault="001B3CE8" w:rsidP="001B3CE8">
      <w:pPr>
        <w:pStyle w:val="af1"/>
        <w:numPr>
          <w:ilvl w:val="1"/>
          <w:numId w:val="2"/>
        </w:numPr>
        <w:ind w:left="1440"/>
        <w:contextualSpacing w:val="0"/>
        <w:rPr>
          <w:rFonts w:cs="Arial"/>
        </w:rPr>
      </w:pPr>
      <w:r>
        <w:t>Если тенденции отличаются (как для товара 2), вам следует провести дальнейшее исследование, чтобы понять причину.</w:t>
      </w:r>
      <w:r w:rsidR="004C3F75">
        <w:t xml:space="preserve">  </w:t>
      </w:r>
      <w:r>
        <w:t>Причина, вероятно, связана с шоком, специфичным именно для этого товара, и имеет отношение к проекту.</w:t>
      </w:r>
    </w:p>
    <w:p w:rsidR="001B3CE8" w:rsidRPr="009329FE" w:rsidRDefault="006B6232" w:rsidP="00794B38">
      <w:pPr>
        <w:ind w:left="426"/>
        <w:jc w:val="center"/>
        <w:rPr>
          <w:rFonts w:cs="Arial"/>
        </w:rPr>
      </w:pPr>
      <w:r w:rsidRPr="006B6232">
        <w:rPr>
          <w:noProof/>
          <w:lang w:eastAsia="ru-RU"/>
        </w:rPr>
        <w:pict>
          <v:shape id="_x0000_s1030" type="#_x0000_t202" style="position:absolute;left:0;text-align:left;margin-left:284.1pt;margin-top:115.8pt;width:191.8pt;height:50.75pt;z-index:251663360;mso-height-percent:200;mso-height-percent:200;mso-width-relative:margin;mso-height-relative:margin">
            <v:textbox style="mso-fit-shape-to-text:t">
              <w:txbxContent>
                <w:p w:rsidR="004C3F75" w:rsidRPr="004C3F75" w:rsidRDefault="004C3F75" w:rsidP="004C3F75">
                  <w:pPr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Средняя цена в 2012 на товар 2:</w:t>
                  </w:r>
                  <w:r>
                    <w:rPr>
                      <w:sz w:val="16"/>
                    </w:rPr>
                    <w:t xml:space="preserve"> поведение цены не соответствует ИПЦ.  Изменение цены нельзя объяснить только одной общей инфляцией</w:t>
                  </w:r>
                  <w:r w:rsidRPr="004C3F75">
                    <w:rPr>
                      <w:sz w:val="16"/>
                    </w:rPr>
                    <w:t>.</w:t>
                  </w:r>
                </w:p>
              </w:txbxContent>
            </v:textbox>
          </v:shape>
        </w:pict>
      </w:r>
      <w:r w:rsidRPr="006B6232">
        <w:rPr>
          <w:noProof/>
          <w:lang w:eastAsia="ru-RU"/>
        </w:rPr>
        <w:pict>
          <v:shape id="_x0000_s1029" type="#_x0000_t202" style="position:absolute;left:0;text-align:left;margin-left:106.6pt;margin-top:19.05pt;width:191.8pt;height:41.55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4C3F75" w:rsidRPr="004C3F75" w:rsidRDefault="004C3F75" w:rsidP="004C3F75">
                  <w:pPr>
                    <w:rPr>
                      <w:sz w:val="16"/>
                    </w:rPr>
                  </w:pPr>
                  <w:r w:rsidRPr="004C3F75">
                    <w:rPr>
                      <w:sz w:val="16"/>
                    </w:rPr>
                    <w:t>ИПЦ 2012:  начальное значение 110, финальное 129.  Зарегистрирована инфляция цен между мартом и апрелем 2012.</w:t>
                  </w:r>
                </w:p>
              </w:txbxContent>
            </v:textbox>
          </v:shape>
        </w:pict>
      </w:r>
      <w:r w:rsidR="001B3CE8" w:rsidRPr="009329FE">
        <w:rPr>
          <w:rFonts w:cs="Arial"/>
          <w:noProof/>
          <w:lang w:eastAsia="ru-RU"/>
        </w:rPr>
        <w:drawing>
          <wp:inline distT="0" distB="0" distL="0" distR="0">
            <wp:extent cx="4420235" cy="3315176"/>
            <wp:effectExtent l="0" t="0" r="0" b="1270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332" cy="331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CE8" w:rsidRPr="009329FE" w:rsidRDefault="006B62F4" w:rsidP="001F7E82">
      <w:pPr>
        <w:pStyle w:val="2"/>
        <w:rPr>
          <w:rFonts w:cs="Arial"/>
        </w:rPr>
      </w:pPr>
      <w:r>
        <w:t>2.</w:t>
      </w:r>
      <w:r>
        <w:tab/>
        <w:t>Сезонность</w:t>
      </w:r>
    </w:p>
    <w:p w:rsidR="001B3CE8" w:rsidRPr="009329FE" w:rsidRDefault="001B3CE8" w:rsidP="001B3CE8">
      <w:pPr>
        <w:rPr>
          <w:rFonts w:cs="Arial"/>
        </w:rPr>
      </w:pPr>
      <w:r>
        <w:t>Проверьте, является ли изменение в цене специфичным для товара (товаров), мониторинг которого вы проводите, или может быть связано с сезонностью.</w:t>
      </w:r>
    </w:p>
    <w:p w:rsidR="001B3CE8" w:rsidRPr="009329FE" w:rsidRDefault="001B3CE8" w:rsidP="001B3CE8">
      <w:pPr>
        <w:rPr>
          <w:rFonts w:cs="Arial"/>
        </w:rPr>
      </w:pPr>
      <w:r>
        <w:t xml:space="preserve">Вы можете воспользоваться архивными </w:t>
      </w:r>
      <w:r w:rsidR="004C3F75">
        <w:t>данными</w:t>
      </w:r>
      <w:r>
        <w:t xml:space="preserve"> </w:t>
      </w:r>
      <w:r w:rsidR="002F5142">
        <w:t xml:space="preserve">о ценах </w:t>
      </w:r>
      <w:r>
        <w:t>на товар (товары), мониторинг которого вы проводите.</w:t>
      </w:r>
      <w:r w:rsidR="004C3F75">
        <w:t xml:space="preserve"> </w:t>
      </w:r>
      <w:r>
        <w:t>Они мог</w:t>
      </w:r>
      <w:r w:rsidR="004C3F75">
        <w:t xml:space="preserve">ут быть доступны в </w:t>
      </w:r>
      <w:r>
        <w:t xml:space="preserve">источниках </w:t>
      </w:r>
      <w:r w:rsidR="004C3F75">
        <w:t xml:space="preserve">вторичных </w:t>
      </w:r>
      <w:r>
        <w:t>данных (см. Инструмент 3.1)</w:t>
      </w:r>
      <w:r w:rsidR="004C3F75">
        <w:t xml:space="preserve">.  </w:t>
      </w:r>
      <w:r>
        <w:t>Как вариант, вы можете использовать сезонные календари, составленные в ходе оценки рынков.</w:t>
      </w:r>
    </w:p>
    <w:p w:rsidR="001B3CE8" w:rsidRPr="009329FE" w:rsidRDefault="001B3CE8" w:rsidP="001B3CE8">
      <w:pPr>
        <w:rPr>
          <w:rFonts w:cs="Arial"/>
        </w:rPr>
      </w:pPr>
      <w:r>
        <w:t>Если вы используете архивные цены:</w:t>
      </w:r>
    </w:p>
    <w:p w:rsidR="001B3CE8" w:rsidRPr="009329FE" w:rsidRDefault="001B3CE8" w:rsidP="00F004BC">
      <w:pPr>
        <w:pStyle w:val="Bullet2"/>
      </w:pPr>
      <w:r>
        <w:t>Нанесите архивные данные о ценах на график.</w:t>
      </w:r>
    </w:p>
    <w:p w:rsidR="001B3CE8" w:rsidRPr="009329FE" w:rsidRDefault="001B3CE8" w:rsidP="00F004BC">
      <w:pPr>
        <w:pStyle w:val="Bullet2"/>
      </w:pPr>
      <w:r>
        <w:t>Нанесите на график серии данных для товара, мониторинг которого вы проводите.</w:t>
      </w:r>
    </w:p>
    <w:p w:rsidR="001B3CE8" w:rsidRPr="009329FE" w:rsidRDefault="001B3CE8" w:rsidP="00F004BC">
      <w:pPr>
        <w:pStyle w:val="Bullet2"/>
      </w:pPr>
      <w:r>
        <w:t>Сравните два графика.</w:t>
      </w:r>
    </w:p>
    <w:p w:rsidR="001B3CE8" w:rsidRPr="009329FE" w:rsidRDefault="001B3CE8" w:rsidP="00F004BC">
      <w:pPr>
        <w:pStyle w:val="af1"/>
        <w:numPr>
          <w:ilvl w:val="1"/>
          <w:numId w:val="2"/>
        </w:numPr>
        <w:spacing w:after="360"/>
        <w:ind w:left="1440" w:hanging="357"/>
        <w:rPr>
          <w:rFonts w:cs="Arial"/>
        </w:rPr>
      </w:pPr>
      <w:r>
        <w:lastRenderedPageBreak/>
        <w:t>Если на обоих наблюдается та же тенденция (как для зоны проекта 1), то вероятно, что изменения цен, которые вы наблюдаете, отражают сезонность.</w:t>
      </w:r>
    </w:p>
    <w:p w:rsidR="001B3CE8" w:rsidRPr="009329FE" w:rsidRDefault="006B6232" w:rsidP="001B3CE8">
      <w:pPr>
        <w:spacing w:after="240"/>
        <w:jc w:val="center"/>
        <w:rPr>
          <w:rFonts w:cs="Arial"/>
        </w:rPr>
      </w:pPr>
      <w:r w:rsidRPr="006B6232">
        <w:rPr>
          <w:noProof/>
          <w:lang w:eastAsia="ru-RU"/>
        </w:rPr>
        <w:pict>
          <v:shape id="_x0000_s1032" type="#_x0000_t202" style="position:absolute;left:0;text-align:left;margin-left:101.4pt;margin-top:62.8pt;width:166.25pt;height:41.55pt;z-index:251666432;mso-height-percent:200;mso-height-percent:200;mso-width-relative:margin;mso-height-relative:margin">
            <v:textbox style="mso-fit-shape-to-text:t">
              <w:txbxContent>
                <w:p w:rsidR="00AC57A6" w:rsidRPr="004C3F75" w:rsidRDefault="00AC57A6">
                  <w:pPr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Серия архивных цен</w:t>
                  </w:r>
                  <w:r w:rsidRPr="004C3F75">
                    <w:rPr>
                      <w:b/>
                      <w:sz w:val="16"/>
                    </w:rPr>
                    <w:t xml:space="preserve"> на товар Х (</w:t>
                  </w:r>
                  <w:r>
                    <w:rPr>
                      <w:b/>
                      <w:sz w:val="16"/>
                    </w:rPr>
                    <w:t>вторичные</w:t>
                  </w:r>
                  <w:r w:rsidRPr="004C3F75">
                    <w:rPr>
                      <w:b/>
                      <w:sz w:val="16"/>
                    </w:rPr>
                    <w:t xml:space="preserve"> данные):</w:t>
                  </w:r>
                  <w:r w:rsidRPr="004C3F75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сезонный пик между</w:t>
                  </w:r>
                  <w:r w:rsidRPr="004C3F75">
                    <w:rPr>
                      <w:sz w:val="16"/>
                    </w:rPr>
                    <w:t xml:space="preserve"> июн</w:t>
                  </w:r>
                  <w:r>
                    <w:rPr>
                      <w:sz w:val="16"/>
                    </w:rPr>
                    <w:t>ем и августом</w:t>
                  </w:r>
                </w:p>
              </w:txbxContent>
            </v:textbox>
          </v:shape>
        </w:pict>
      </w:r>
      <w:r w:rsidRPr="006B6232">
        <w:rPr>
          <w:noProof/>
        </w:rPr>
        <w:pict>
          <v:shape id="_x0000_s1031" type="#_x0000_t202" style="position:absolute;left:0;text-align:left;margin-left:217.25pt;margin-top:7.3pt;width:191.8pt;height:50.75pt;z-index:251665408;mso-width-percent:400;mso-height-percent:200;mso-width-percent:400;mso-height-percent:200;mso-width-relative:margin;mso-height-relative:margin">
            <v:textbox style="mso-fit-shape-to-text:t">
              <w:txbxContent>
                <w:p w:rsidR="004C3F75" w:rsidRPr="004C3F75" w:rsidRDefault="004C3F75">
                  <w:pPr>
                    <w:rPr>
                      <w:sz w:val="16"/>
                    </w:rPr>
                  </w:pPr>
                  <w:r w:rsidRPr="004C3F75">
                    <w:rPr>
                      <w:b/>
                      <w:sz w:val="16"/>
                    </w:rPr>
                    <w:t>Данные о ценах в 2011 на товар Х в зоне проекта 1 (первичные данные):</w:t>
                  </w:r>
                  <w:r w:rsidRPr="004C3F75">
                    <w:rPr>
                      <w:sz w:val="16"/>
                    </w:rPr>
                    <w:t xml:space="preserve"> пик цен между июнем и августом отражает сезонные тенденции</w:t>
                  </w:r>
                </w:p>
              </w:txbxContent>
            </v:textbox>
          </v:shape>
        </w:pict>
      </w:r>
      <w:r w:rsidR="001B3CE8" w:rsidRPr="009329FE">
        <w:rPr>
          <w:rFonts w:cs="Arial"/>
          <w:noProof/>
          <w:lang w:eastAsia="ru-RU"/>
        </w:rPr>
        <w:drawing>
          <wp:inline distT="0" distB="0" distL="0" distR="0">
            <wp:extent cx="4394835" cy="3296126"/>
            <wp:effectExtent l="0" t="0" r="0" b="6350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279" cy="329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CE8" w:rsidRPr="009329FE" w:rsidRDefault="001B3CE8" w:rsidP="00F004BC">
      <w:pPr>
        <w:pStyle w:val="af1"/>
        <w:numPr>
          <w:ilvl w:val="1"/>
          <w:numId w:val="2"/>
        </w:numPr>
        <w:spacing w:before="240" w:after="360"/>
        <w:ind w:left="1434" w:hanging="357"/>
        <w:contextualSpacing w:val="0"/>
        <w:rPr>
          <w:rFonts w:cs="Arial"/>
        </w:rPr>
      </w:pPr>
      <w:r>
        <w:t>Если тенденции отличаются (как для зоны проекта 2), вам следует провести дальнейшее исследование, чтобы понять причину.</w:t>
      </w:r>
      <w:r w:rsidR="004C3F75">
        <w:t xml:space="preserve">  </w:t>
      </w:r>
      <w:r>
        <w:t>Причина, вероятно, связана с непредвиденным шоком и может иметь отношение к проекту.</w:t>
      </w:r>
    </w:p>
    <w:p w:rsidR="001B3CE8" w:rsidRPr="009329FE" w:rsidRDefault="006B6232" w:rsidP="001B3CE8">
      <w:pPr>
        <w:jc w:val="center"/>
        <w:rPr>
          <w:rFonts w:cs="Arial"/>
        </w:rPr>
      </w:pPr>
      <w:r w:rsidRPr="006B6232">
        <w:rPr>
          <w:noProof/>
          <w:lang w:eastAsia="ru-RU"/>
        </w:rPr>
        <w:pict>
          <v:shape id="_x0000_s1034" type="#_x0000_t202" style="position:absolute;left:0;text-align:left;margin-left:101.8pt;margin-top:63.75pt;width:166.25pt;height:41.55pt;z-index:251668480;mso-height-percent:200;mso-height-percent:200;mso-width-relative:margin;mso-height-relative:margin">
            <v:textbox style="mso-fit-shape-to-text:t">
              <w:txbxContent>
                <w:p w:rsidR="00AC57A6" w:rsidRPr="004C3F75" w:rsidRDefault="00AC57A6" w:rsidP="00AC57A6">
                  <w:pPr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Серия архивных цен</w:t>
                  </w:r>
                  <w:r w:rsidRPr="004C3F75">
                    <w:rPr>
                      <w:b/>
                      <w:sz w:val="16"/>
                    </w:rPr>
                    <w:t xml:space="preserve"> на товар Х (</w:t>
                  </w:r>
                  <w:r>
                    <w:rPr>
                      <w:b/>
                      <w:sz w:val="16"/>
                    </w:rPr>
                    <w:t>вторичные</w:t>
                  </w:r>
                  <w:r w:rsidRPr="004C3F75">
                    <w:rPr>
                      <w:b/>
                      <w:sz w:val="16"/>
                    </w:rPr>
                    <w:t xml:space="preserve"> данные):</w:t>
                  </w:r>
                  <w:r w:rsidRPr="004C3F75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сезонный пик между</w:t>
                  </w:r>
                  <w:r w:rsidRPr="004C3F75">
                    <w:rPr>
                      <w:sz w:val="16"/>
                    </w:rPr>
                    <w:t xml:space="preserve"> июн</w:t>
                  </w:r>
                  <w:r>
                    <w:rPr>
                      <w:sz w:val="16"/>
                    </w:rPr>
                    <w:t>ем и августом</w:t>
                  </w:r>
                </w:p>
              </w:txbxContent>
            </v:textbox>
          </v:shape>
        </w:pict>
      </w:r>
      <w:r w:rsidRPr="006B6232">
        <w:rPr>
          <w:noProof/>
          <w:lang w:eastAsia="ru-RU"/>
        </w:rPr>
        <w:pict>
          <v:shape id="_x0000_s1033" type="#_x0000_t202" style="position:absolute;left:0;text-align:left;margin-left:171.6pt;margin-top:5.25pt;width:213.85pt;height:50.75pt;z-index:251667456;mso-height-percent:200;mso-height-percent:200;mso-width-relative:margin;mso-height-relative:margin">
            <v:textbox style="mso-fit-shape-to-text:t">
              <w:txbxContent>
                <w:p w:rsidR="00AC57A6" w:rsidRPr="004C3F75" w:rsidRDefault="00AC57A6" w:rsidP="00AC57A6">
                  <w:pPr>
                    <w:rPr>
                      <w:sz w:val="16"/>
                    </w:rPr>
                  </w:pPr>
                  <w:r w:rsidRPr="004C3F75">
                    <w:rPr>
                      <w:b/>
                      <w:sz w:val="16"/>
                    </w:rPr>
                    <w:t xml:space="preserve">Данные о ценах в 2011 на товар Х в зоне проекта </w:t>
                  </w:r>
                  <w:r>
                    <w:rPr>
                      <w:b/>
                      <w:sz w:val="16"/>
                    </w:rPr>
                    <w:t>2</w:t>
                  </w:r>
                  <w:r w:rsidRPr="004C3F75">
                    <w:rPr>
                      <w:b/>
                      <w:sz w:val="16"/>
                    </w:rPr>
                    <w:t xml:space="preserve"> (первичные данные):</w:t>
                  </w:r>
                  <w:r w:rsidRPr="004C3F75">
                    <w:rPr>
                      <w:sz w:val="16"/>
                    </w:rPr>
                    <w:t xml:space="preserve"> пик цен </w:t>
                  </w:r>
                  <w:r>
                    <w:rPr>
                      <w:sz w:val="16"/>
                    </w:rPr>
                    <w:t>в феврале-апреле не</w:t>
                  </w:r>
                  <w:r w:rsidRPr="004C3F75">
                    <w:rPr>
                      <w:sz w:val="16"/>
                    </w:rPr>
                    <w:t xml:space="preserve"> отражает сезонные тенденции</w:t>
                  </w:r>
                  <w:r>
                    <w:rPr>
                      <w:sz w:val="16"/>
                    </w:rPr>
                    <w:t>, вероятно, обусловлен другими факторами</w:t>
                  </w:r>
                </w:p>
              </w:txbxContent>
            </v:textbox>
          </v:shape>
        </w:pict>
      </w:r>
      <w:r w:rsidR="001B3CE8" w:rsidRPr="009329FE">
        <w:rPr>
          <w:rFonts w:cs="Arial"/>
          <w:noProof/>
          <w:lang w:eastAsia="ru-RU"/>
        </w:rPr>
        <w:drawing>
          <wp:inline distT="0" distB="0" distL="0" distR="0">
            <wp:extent cx="4383476" cy="3287607"/>
            <wp:effectExtent l="0" t="0" r="10795" b="0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170" cy="328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CE8" w:rsidRPr="009329FE" w:rsidRDefault="001B3CE8" w:rsidP="001B3CE8">
      <w:pPr>
        <w:rPr>
          <w:rFonts w:cs="Arial"/>
        </w:rPr>
      </w:pPr>
    </w:p>
    <w:p w:rsidR="001B3CE8" w:rsidRPr="009329FE" w:rsidRDefault="001B3CE8" w:rsidP="001B3CE8">
      <w:pPr>
        <w:rPr>
          <w:rFonts w:cs="Arial"/>
        </w:rPr>
      </w:pPr>
    </w:p>
    <w:p w:rsidR="001B3CE8" w:rsidRPr="009329FE" w:rsidRDefault="00F713EA" w:rsidP="001F7E82">
      <w:pPr>
        <w:pStyle w:val="2"/>
        <w:rPr>
          <w:rFonts w:cs="Arial"/>
        </w:rPr>
      </w:pPr>
      <w:r>
        <w:lastRenderedPageBreak/>
        <w:t>3.</w:t>
      </w:r>
      <w:r>
        <w:tab/>
        <w:t>Тенденции на всех рынках</w:t>
      </w:r>
    </w:p>
    <w:p w:rsidR="001B3CE8" w:rsidRPr="009329FE" w:rsidRDefault="001B3CE8" w:rsidP="001B3CE8">
      <w:pPr>
        <w:rPr>
          <w:rFonts w:cs="Arial"/>
        </w:rPr>
      </w:pPr>
      <w:r>
        <w:t>Проверьте, является ли изменение в цене специфичным для товара (товаров), мониторинг которого вы проводите, или может быть связано с тенденциями на всех рынках.</w:t>
      </w:r>
    </w:p>
    <w:p w:rsidR="001B3CE8" w:rsidRPr="009329FE" w:rsidRDefault="001B3CE8" w:rsidP="001B3CE8">
      <w:pPr>
        <w:rPr>
          <w:rFonts w:cs="Arial"/>
        </w:rPr>
      </w:pPr>
      <w:r>
        <w:t>Вы можете использовать данные о ценах на товар, мониторинг которого проводите, на разных рынках.</w:t>
      </w:r>
    </w:p>
    <w:p w:rsidR="001B3CE8" w:rsidRPr="009329FE" w:rsidRDefault="001B3CE8" w:rsidP="00F004BC">
      <w:pPr>
        <w:pStyle w:val="Bullet2"/>
      </w:pPr>
      <w:r>
        <w:t>Нанесите данные о ценах для каждого рынка в зависимости от времени на один и тот же график.</w:t>
      </w:r>
    </w:p>
    <w:p w:rsidR="001B3CE8" w:rsidRPr="009329FE" w:rsidRDefault="001B3CE8" w:rsidP="00F004BC">
      <w:pPr>
        <w:pStyle w:val="Bullet2"/>
      </w:pPr>
      <w:r>
        <w:t>Сравните линии для разных рынков.</w:t>
      </w:r>
    </w:p>
    <w:p w:rsidR="001B3CE8" w:rsidRPr="009329FE" w:rsidRDefault="001B3CE8" w:rsidP="00F004BC">
      <w:pPr>
        <w:pStyle w:val="af1"/>
        <w:numPr>
          <w:ilvl w:val="1"/>
          <w:numId w:val="2"/>
        </w:numPr>
        <w:spacing w:before="120" w:after="120"/>
        <w:ind w:left="1434" w:hanging="357"/>
        <w:contextualSpacing w:val="0"/>
        <w:rPr>
          <w:rFonts w:cs="Arial"/>
        </w:rPr>
      </w:pPr>
      <w:r>
        <w:t>Если они с</w:t>
      </w:r>
      <w:r w:rsidR="00AC57A6">
        <w:t>л</w:t>
      </w:r>
      <w:r>
        <w:t>едуют одному образцу, вероятно, что изменения цен, которые вы наблюдали, отражают общие изменения на всех рынках, и проблема носит общий характер.</w:t>
      </w:r>
    </w:p>
    <w:p w:rsidR="001B3CE8" w:rsidRPr="009329FE" w:rsidRDefault="006B6232" w:rsidP="00F004BC">
      <w:pPr>
        <w:pStyle w:val="af1"/>
        <w:numPr>
          <w:ilvl w:val="1"/>
          <w:numId w:val="2"/>
        </w:numPr>
        <w:spacing w:before="120" w:after="360"/>
        <w:ind w:left="1434" w:hanging="357"/>
        <w:contextualSpacing w:val="0"/>
        <w:rPr>
          <w:rFonts w:cs="Arial"/>
        </w:rPr>
      </w:pPr>
      <w:r w:rsidRPr="006B6232">
        <w:rPr>
          <w:noProof/>
          <w:lang w:eastAsia="ru-RU"/>
        </w:rPr>
        <w:pict>
          <v:shape id="_x0000_s1036" type="#_x0000_t202" style="position:absolute;left:0;text-align:left;margin-left:100.45pt;margin-top:40.15pt;width:136.85pt;height:63pt;z-index:251671552">
            <v:textbox>
              <w:txbxContent>
                <w:p w:rsidR="00AC57A6" w:rsidRDefault="00AC57A6">
                  <w:r>
                    <w:t>Изменение цены на рынке 4 не следует той же тенденции, что на других рынках</w:t>
                  </w:r>
                </w:p>
              </w:txbxContent>
            </v:textbox>
          </v:shape>
        </w:pict>
      </w:r>
      <w:r w:rsidR="001B3CE8">
        <w:t>Если тенденции отличаются, вам следует провести дальнейшее исследование, чтобы понять причину.</w:t>
      </w:r>
      <w:r w:rsidR="00AC57A6">
        <w:t xml:space="preserve">  </w:t>
      </w:r>
      <w:r w:rsidR="001B3CE8">
        <w:t>Причина, вероятно, локализована и может иметь отношение к проекту.</w:t>
      </w:r>
    </w:p>
    <w:p w:rsidR="001B3CE8" w:rsidRPr="009329FE" w:rsidRDefault="006B6232" w:rsidP="001B3CE8">
      <w:pPr>
        <w:jc w:val="center"/>
        <w:rPr>
          <w:rFonts w:cs="Arial"/>
        </w:rPr>
      </w:pPr>
      <w:r w:rsidRPr="006B6232">
        <w:rPr>
          <w:noProof/>
        </w:rPr>
        <w:pict>
          <v:shape id="_x0000_s1035" type="#_x0000_t202" style="position:absolute;left:0;text-align:left;margin-left:273.3pt;margin-top:134.65pt;width:181.85pt;height:36.95pt;z-index:251670528;mso-height-percent:200;mso-height-percent:200;mso-width-relative:margin;mso-height-relative:margin">
            <v:textbox style="mso-fit-shape-to-text:t">
              <w:txbxContent>
                <w:p w:rsidR="00AC57A6" w:rsidRDefault="00AC57A6">
                  <w:r>
                    <w:t>Цены на разных рынках следуют одной средней тенденции</w:t>
                  </w:r>
                </w:p>
              </w:txbxContent>
            </v:textbox>
          </v:shape>
        </w:pict>
      </w:r>
      <w:r w:rsidR="001B3CE8" w:rsidRPr="009329FE">
        <w:rPr>
          <w:rFonts w:cs="Arial"/>
          <w:noProof/>
          <w:lang w:eastAsia="ru-RU"/>
        </w:rPr>
        <w:drawing>
          <wp:inline distT="0" distB="0" distL="0" distR="0">
            <wp:extent cx="4394835" cy="3296126"/>
            <wp:effectExtent l="0" t="0" r="0" b="6350"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372" cy="329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CE8" w:rsidRPr="009329FE" w:rsidRDefault="00F713EA" w:rsidP="001F7E82">
      <w:pPr>
        <w:pStyle w:val="2"/>
        <w:rPr>
          <w:rFonts w:cs="Arial"/>
        </w:rPr>
      </w:pPr>
      <w:r>
        <w:t>4.</w:t>
      </w:r>
      <w:r>
        <w:tab/>
        <w:t>Влияние проекта</w:t>
      </w:r>
    </w:p>
    <w:p w:rsidR="001B3CE8" w:rsidRPr="009329FE" w:rsidRDefault="001B3CE8" w:rsidP="001B3CE8">
      <w:pPr>
        <w:rPr>
          <w:rFonts w:cs="Arial"/>
        </w:rPr>
      </w:pPr>
      <w:r>
        <w:t>Если вы нашли, что наблюдаемые изменения цен могут иметь отношение к проекту, вам следует исследовать природу (спрос, предложение, конкуренция на рынке и т.д.) и причины проблемы.</w:t>
      </w:r>
      <w:r w:rsidR="00AC57A6">
        <w:t xml:space="preserve"> </w:t>
      </w:r>
      <w:r>
        <w:t>Для этого рекомендуется провести экспертные интервью, чтобы перепроверить данные.</w:t>
      </w:r>
    </w:p>
    <w:p w:rsidR="001B3CE8" w:rsidRPr="009329FE" w:rsidRDefault="001B3CE8" w:rsidP="001F7E82">
      <w:pPr>
        <w:pStyle w:val="3"/>
        <w:rPr>
          <w:rFonts w:cs="Arial"/>
        </w:rPr>
      </w:pPr>
      <w:r>
        <w:t>Выбор экспертов</w:t>
      </w:r>
    </w:p>
    <w:p w:rsidR="001B3CE8" w:rsidRPr="009329FE" w:rsidRDefault="001B3CE8" w:rsidP="00F004BC">
      <w:pPr>
        <w:pStyle w:val="Bullet2"/>
      </w:pPr>
      <w:r>
        <w:t>Определите, на каком рынке (на каких рынках) происходят изменения цен.</w:t>
      </w:r>
    </w:p>
    <w:p w:rsidR="001B3CE8" w:rsidRPr="009329FE" w:rsidRDefault="001B3CE8" w:rsidP="00F004BC">
      <w:pPr>
        <w:pStyle w:val="af1"/>
        <w:numPr>
          <w:ilvl w:val="1"/>
          <w:numId w:val="4"/>
        </w:numPr>
        <w:ind w:left="1431" w:hanging="357"/>
        <w:rPr>
          <w:rFonts w:cs="Arial"/>
        </w:rPr>
      </w:pPr>
      <w:r>
        <w:t>Если они происходят на одном рынке:  проведите интервью с местными торговцами.</w:t>
      </w:r>
    </w:p>
    <w:p w:rsidR="001B3CE8" w:rsidRPr="009329FE" w:rsidRDefault="001B3CE8" w:rsidP="00F004BC">
      <w:pPr>
        <w:pStyle w:val="af1"/>
        <w:numPr>
          <w:ilvl w:val="1"/>
          <w:numId w:val="4"/>
        </w:numPr>
        <w:ind w:left="1431"/>
        <w:contextualSpacing w:val="0"/>
        <w:rPr>
          <w:rFonts w:cs="Arial"/>
        </w:rPr>
      </w:pPr>
      <w:r>
        <w:t>Если они происходят на нескольких рынках, проведите интервью с оптовиками, представителями администраций рынков или правительственными чиновниками.</w:t>
      </w:r>
    </w:p>
    <w:p w:rsidR="001B3CE8" w:rsidRPr="009329FE" w:rsidRDefault="001B3CE8" w:rsidP="001F7E82">
      <w:pPr>
        <w:pStyle w:val="3"/>
        <w:rPr>
          <w:rFonts w:cs="Arial"/>
        </w:rPr>
      </w:pPr>
      <w:r>
        <w:t>Контрольный список для интервью</w:t>
      </w:r>
    </w:p>
    <w:p w:rsidR="001B3CE8" w:rsidRPr="009329FE" w:rsidRDefault="001B3CE8" w:rsidP="00F004BC">
      <w:pPr>
        <w:pStyle w:val="Bullet2"/>
      </w:pPr>
      <w:r>
        <w:t xml:space="preserve">Обратитесь к инструментам </w:t>
      </w:r>
      <w:r w:rsidR="00AC57A6">
        <w:t xml:space="preserve">Руководства по оценке рынков </w:t>
      </w:r>
      <w:r>
        <w:t>MAG  1.6 (интервью с торговцами), сфокусируйтесь на том, как проект мог повлиять на:</w:t>
      </w:r>
    </w:p>
    <w:p w:rsidR="001B3CE8" w:rsidRPr="009329FE" w:rsidRDefault="001B3CE8" w:rsidP="001B3CE8">
      <w:pPr>
        <w:pStyle w:val="af1"/>
        <w:numPr>
          <w:ilvl w:val="1"/>
          <w:numId w:val="4"/>
        </w:numPr>
        <w:ind w:left="1434" w:hanging="357"/>
        <w:rPr>
          <w:rFonts w:cs="Arial"/>
        </w:rPr>
      </w:pPr>
      <w:r>
        <w:lastRenderedPageBreak/>
        <w:t>Затраты торговцев (транспорт, хранение, утечки)</w:t>
      </w:r>
    </w:p>
    <w:p w:rsidR="001B3CE8" w:rsidRPr="009329FE" w:rsidRDefault="001B3CE8" w:rsidP="001B3CE8">
      <w:pPr>
        <w:pStyle w:val="af1"/>
        <w:numPr>
          <w:ilvl w:val="1"/>
          <w:numId w:val="4"/>
        </w:numPr>
        <w:ind w:left="1434" w:hanging="357"/>
        <w:rPr>
          <w:rFonts w:cs="Arial"/>
        </w:rPr>
      </w:pPr>
      <w:r>
        <w:t>Наличие товаров</w:t>
      </w:r>
    </w:p>
    <w:p w:rsidR="001B3CE8" w:rsidRPr="009329FE" w:rsidRDefault="001B3CE8" w:rsidP="001B3CE8">
      <w:pPr>
        <w:pStyle w:val="af1"/>
        <w:numPr>
          <w:ilvl w:val="1"/>
          <w:numId w:val="4"/>
        </w:numPr>
        <w:ind w:left="1434" w:hanging="357"/>
        <w:rPr>
          <w:rFonts w:cs="Arial"/>
        </w:rPr>
      </w:pPr>
      <w:r>
        <w:t>Объёмы торговцев</w:t>
      </w:r>
    </w:p>
    <w:p w:rsidR="001B3CE8" w:rsidRPr="009329FE" w:rsidRDefault="001B3CE8" w:rsidP="001B3CE8">
      <w:pPr>
        <w:pStyle w:val="af1"/>
        <w:numPr>
          <w:ilvl w:val="1"/>
          <w:numId w:val="4"/>
        </w:numPr>
        <w:ind w:left="1434" w:hanging="357"/>
        <w:rPr>
          <w:rFonts w:cs="Arial"/>
        </w:rPr>
      </w:pPr>
      <w:r>
        <w:t>Структуру рынка (число работающих торговцев, тип и качество продукта и т.д.)</w:t>
      </w:r>
    </w:p>
    <w:p w:rsidR="001B3CE8" w:rsidRPr="009329FE" w:rsidRDefault="001B3CE8" w:rsidP="001B3CE8">
      <w:pPr>
        <w:pStyle w:val="af1"/>
        <w:numPr>
          <w:ilvl w:val="1"/>
          <w:numId w:val="4"/>
        </w:numPr>
        <w:ind w:left="1434" w:hanging="357"/>
        <w:rPr>
          <w:rFonts w:cs="Arial"/>
        </w:rPr>
      </w:pPr>
      <w:r>
        <w:t>Уровень спроса</w:t>
      </w:r>
    </w:p>
    <w:p w:rsidR="00F119A3" w:rsidRPr="009329FE" w:rsidRDefault="001B3CE8" w:rsidP="001B3CE8">
      <w:pPr>
        <w:pStyle w:val="af1"/>
        <w:numPr>
          <w:ilvl w:val="1"/>
          <w:numId w:val="4"/>
        </w:numPr>
        <w:ind w:left="1434" w:hanging="357"/>
        <w:rPr>
          <w:rFonts w:cs="Arial"/>
        </w:rPr>
      </w:pPr>
      <w:r>
        <w:t>Инфраструктуру, услуги и внешние факторы</w:t>
      </w:r>
    </w:p>
    <w:sectPr w:rsidR="00F119A3" w:rsidRPr="009329FE" w:rsidSect="001F7E82">
      <w:headerReference w:type="default" r:id="rId12"/>
      <w:footerReference w:type="default" r:id="rId13"/>
      <w:pgSz w:w="11900" w:h="16840"/>
      <w:pgMar w:top="1134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F84" w:rsidRDefault="009F1F84">
      <w:pPr>
        <w:spacing w:after="0"/>
      </w:pPr>
      <w:r>
        <w:separator/>
      </w:r>
    </w:p>
  </w:endnote>
  <w:endnote w:type="continuationSeparator" w:id="1">
    <w:p w:rsidR="009F1F84" w:rsidRDefault="009F1F8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E82" w:rsidRPr="00B45C74" w:rsidRDefault="006B6232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1F7E82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F00503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1F7E82" w:rsidRPr="001F7E82" w:rsidRDefault="001F7E82" w:rsidP="00ED1B2B">
    <w:pPr>
      <w:pStyle w:val="a7"/>
    </w:pPr>
    <w:r>
      <w:rPr>
        <w:b/>
      </w:rPr>
      <w:t>Модуль 5.</w:t>
    </w:r>
    <w:r w:rsidR="00F00503">
      <w:t xml:space="preserve"> Раздел</w:t>
    </w:r>
    <w:r>
      <w:t xml:space="preserve"> 3.</w:t>
    </w:r>
    <w:r w:rsidR="00F00503">
      <w:t xml:space="preserve"> Подраздел</w:t>
    </w:r>
    <w:r>
      <w:t xml:space="preserve"> 2. </w:t>
    </w:r>
    <w:fldSimple w:instr=" STYLEREF  H1 \t  \* MERGEFORMAT ">
      <w:r w:rsidR="00F00503" w:rsidRPr="00F00503">
        <w:rPr>
          <w:bCs/>
          <w:noProof/>
        </w:rPr>
        <w:t xml:space="preserve">Инструмент: Анализ изменения </w:t>
      </w:r>
      <w:r w:rsidR="00F00503">
        <w:rPr>
          <w:noProof/>
        </w:rPr>
        <w:t>цен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F84" w:rsidRDefault="009F1F84">
      <w:pPr>
        <w:spacing w:after="0"/>
      </w:pPr>
      <w:r>
        <w:separator/>
      </w:r>
    </w:p>
  </w:footnote>
  <w:footnote w:type="continuationSeparator" w:id="1">
    <w:p w:rsidR="009F1F84" w:rsidRDefault="009F1F84">
      <w:pPr>
        <w:spacing w:after="0"/>
      </w:pPr>
      <w:r>
        <w:continuationSeparator/>
      </w:r>
    </w:p>
  </w:footnote>
  <w:footnote w:id="2">
    <w:p w:rsidR="001B3CE8" w:rsidRPr="009329FE" w:rsidRDefault="001B3CE8" w:rsidP="009329FE">
      <w:pPr>
        <w:pStyle w:val="a3"/>
      </w:pPr>
      <w:r>
        <w:rPr>
          <w:rStyle w:val="a5"/>
          <w:szCs w:val="16"/>
        </w:rPr>
        <w:footnoteRef/>
      </w:r>
      <w:r>
        <w:t xml:space="preserve"> Наиболее широко</w:t>
      </w:r>
      <w:r w:rsidR="004C3F75">
        <w:t xml:space="preserve"> </w:t>
      </w:r>
      <w:r>
        <w:t>распространённый способ вычисления инфляции - с помощью индексов цен.</w:t>
      </w:r>
      <w:r w:rsidR="004C3F75">
        <w:t xml:space="preserve">  </w:t>
      </w:r>
      <w:r>
        <w:t>Одним из самых популярных является Индекс потребительских цен (ИПЦ).</w:t>
      </w:r>
      <w:r w:rsidR="004C3F75">
        <w:t xml:space="preserve">  </w:t>
      </w:r>
      <w:r>
        <w:t>Он измеряет цену набора (корзины) товаров и услуг для типичного потребителя с течением времени.</w:t>
      </w:r>
      <w:r w:rsidR="004C3F75">
        <w:t xml:space="preserve">  </w:t>
      </w:r>
      <w:r>
        <w:t xml:space="preserve">Данные о ИПЦ для большинства стран доступны в базе данных Всемирного банка на сайте </w:t>
      </w:r>
      <w:hyperlink r:id="rId1" w:history="1">
        <w:r>
          <w:rPr>
            <w:rStyle w:val="af5"/>
          </w:rPr>
          <w:t>http://data.worldbank.org/indicator/FP.CPI.TOTL.ZG</w:t>
        </w:r>
      </w:hyperlink>
      <w:r>
        <w:t>.</w:t>
      </w:r>
      <w:r w:rsidR="004C3F75">
        <w:t xml:space="preserve">  </w:t>
      </w:r>
      <w:r>
        <w:t xml:space="preserve">Более </w:t>
      </w:r>
      <w:r w:rsidR="004C3F75">
        <w:t>конкретную</w:t>
      </w:r>
      <w:r>
        <w:t xml:space="preserve"> и свежую информацию можно найти в местных статистических бюро на страновом уровне.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E82" w:rsidRPr="00074036" w:rsidRDefault="001F7E82" w:rsidP="00173FF2">
    <w:pPr>
      <w:pStyle w:val="afa"/>
      <w:rPr>
        <w:szCs w:val="16"/>
      </w:rPr>
    </w:pPr>
    <w:r>
      <w:rPr>
        <w:rStyle w:val="Pantone485"/>
      </w:rPr>
      <w:t>Международное движение Красного Креста и Красного Полумесяца</w:t>
    </w:r>
    <w:r w:rsidR="004C3F75">
      <w:rPr>
        <w:rStyle w:val="Pantone485"/>
      </w:rPr>
      <w:t xml:space="preserve"> </w:t>
    </w:r>
    <w:r>
      <w:rPr>
        <w:rStyle w:val="af3"/>
        <w:szCs w:val="16"/>
      </w:rPr>
      <w:t>I</w:t>
    </w:r>
    <w:r w:rsidR="004C3F75">
      <w:rPr>
        <w:rStyle w:val="af3"/>
        <w:szCs w:val="16"/>
      </w:rPr>
      <w:t xml:space="preserve"> </w:t>
    </w:r>
    <w:r w:rsidR="00F00503">
      <w:rPr>
        <w:b/>
        <w:szCs w:val="16"/>
      </w:rPr>
      <w:t>Методические материалы по вопросам предоставления наличных денежных средств в условиях ЧС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4272A"/>
    <w:multiLevelType w:val="hybridMultilevel"/>
    <w:tmpl w:val="B4E65FE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ED528C"/>
    <w:multiLevelType w:val="hybridMultilevel"/>
    <w:tmpl w:val="54083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7434E"/>
    <w:multiLevelType w:val="hybridMultilevel"/>
    <w:tmpl w:val="718A3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E62CF"/>
    <w:multiLevelType w:val="hybridMultilevel"/>
    <w:tmpl w:val="E88CDB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15B3A7B"/>
    <w:multiLevelType w:val="hybridMultilevel"/>
    <w:tmpl w:val="CE8A271C"/>
    <w:lvl w:ilvl="0" w:tplc="E5429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linkStyl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CE8"/>
    <w:rsid w:val="0008719F"/>
    <w:rsid w:val="00110B9C"/>
    <w:rsid w:val="00181C0E"/>
    <w:rsid w:val="001B3CE8"/>
    <w:rsid w:val="001F7E82"/>
    <w:rsid w:val="00217E9A"/>
    <w:rsid w:val="0028711B"/>
    <w:rsid w:val="002D4480"/>
    <w:rsid w:val="002F5142"/>
    <w:rsid w:val="003A52AA"/>
    <w:rsid w:val="004C3F75"/>
    <w:rsid w:val="005A1006"/>
    <w:rsid w:val="00610F52"/>
    <w:rsid w:val="00667E3B"/>
    <w:rsid w:val="006B6232"/>
    <w:rsid w:val="006B62F4"/>
    <w:rsid w:val="00794B38"/>
    <w:rsid w:val="00854BEB"/>
    <w:rsid w:val="008A7C97"/>
    <w:rsid w:val="008C55B1"/>
    <w:rsid w:val="009329FE"/>
    <w:rsid w:val="009D2F57"/>
    <w:rsid w:val="009F1F84"/>
    <w:rsid w:val="00AC57A6"/>
    <w:rsid w:val="00B32B9C"/>
    <w:rsid w:val="00C2631C"/>
    <w:rsid w:val="00CA2E5E"/>
    <w:rsid w:val="00CB2AE5"/>
    <w:rsid w:val="00CD6BDC"/>
    <w:rsid w:val="00EC1879"/>
    <w:rsid w:val="00F004BC"/>
    <w:rsid w:val="00F00503"/>
    <w:rsid w:val="00F713EA"/>
    <w:rsid w:val="00F71417"/>
    <w:rsid w:val="00FA0153"/>
    <w:rsid w:val="00FD42A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5E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CA2E5E"/>
  </w:style>
  <w:style w:type="paragraph" w:styleId="2">
    <w:name w:val="heading 2"/>
    <w:basedOn w:val="a"/>
    <w:next w:val="a"/>
    <w:link w:val="20"/>
    <w:uiPriority w:val="9"/>
    <w:unhideWhenUsed/>
    <w:qFormat/>
    <w:rsid w:val="00CA2E5E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CA2E5E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CE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E5E"/>
    <w:rPr>
      <w:rFonts w:ascii="Arial" w:eastAsiaTheme="minorEastAsia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CA2E5E"/>
    <w:rPr>
      <w:rFonts w:ascii="Arial" w:eastAsiaTheme="minorEastAsia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CA2E5E"/>
    <w:rPr>
      <w:rFonts w:ascii="Arial" w:eastAsiaTheme="minorEastAsia" w:hAnsi="Arial" w:cs="Times New Roman"/>
      <w:b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1B3CE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/>
    </w:rPr>
  </w:style>
  <w:style w:type="paragraph" w:customStyle="1" w:styleId="Title1">
    <w:name w:val="Title 1"/>
    <w:basedOn w:val="a"/>
    <w:qFormat/>
    <w:rsid w:val="001B3CE8"/>
    <w:rPr>
      <w:rFonts w:ascii="Baskerville" w:hAnsi="Baskerville"/>
      <w:smallCaps/>
      <w:sz w:val="56"/>
    </w:rPr>
  </w:style>
  <w:style w:type="paragraph" w:styleId="a3">
    <w:name w:val="footnote text"/>
    <w:basedOn w:val="a"/>
    <w:link w:val="a4"/>
    <w:uiPriority w:val="99"/>
    <w:unhideWhenUsed/>
    <w:rsid w:val="00CA2E5E"/>
    <w:pPr>
      <w:spacing w:after="0"/>
    </w:pPr>
    <w:rPr>
      <w:sz w:val="16"/>
      <w:szCs w:val="22"/>
    </w:rPr>
  </w:style>
  <w:style w:type="character" w:customStyle="1" w:styleId="TestonotaapidipaginaCarattere">
    <w:name w:val="Testo nota a piè di pagina Carattere"/>
    <w:basedOn w:val="a0"/>
    <w:uiPriority w:val="99"/>
    <w:semiHidden/>
    <w:rsid w:val="001B3CE8"/>
    <w:rPr>
      <w:rFonts w:asciiTheme="majorHAnsi" w:eastAsiaTheme="minorEastAsia" w:hAnsiTheme="majorHAnsi" w:cs="MyriadPro-Regular"/>
      <w:lang w:val="ru-RU"/>
    </w:rPr>
  </w:style>
  <w:style w:type="character" w:customStyle="1" w:styleId="a4">
    <w:name w:val="Текст сноски Знак"/>
    <w:basedOn w:val="a0"/>
    <w:link w:val="a3"/>
    <w:uiPriority w:val="99"/>
    <w:rsid w:val="00CA2E5E"/>
    <w:rPr>
      <w:rFonts w:ascii="Arial" w:eastAsiaTheme="minorEastAsia" w:hAnsi="Arial" w:cs="Times New Roman"/>
      <w:sz w:val="16"/>
      <w:szCs w:val="22"/>
    </w:rPr>
  </w:style>
  <w:style w:type="character" w:styleId="a5">
    <w:name w:val="footnote reference"/>
    <w:basedOn w:val="a0"/>
    <w:uiPriority w:val="99"/>
    <w:unhideWhenUsed/>
    <w:rsid w:val="00CA2E5E"/>
    <w:rPr>
      <w:vertAlign w:val="superscript"/>
    </w:rPr>
  </w:style>
  <w:style w:type="paragraph" w:styleId="a6">
    <w:name w:val="Normal (Web)"/>
    <w:basedOn w:val="a"/>
    <w:uiPriority w:val="99"/>
    <w:rsid w:val="001B3CE8"/>
    <w:pPr>
      <w:spacing w:after="136" w:line="204" w:lineRule="atLeast"/>
    </w:pPr>
    <w:rPr>
      <w:rFonts w:ascii="Verdana" w:eastAsia="Arial Unicode MS" w:hAnsi="Verdana" w:cs="Arial Unicode MS"/>
      <w:sz w:val="15"/>
      <w:szCs w:val="15"/>
    </w:rPr>
  </w:style>
  <w:style w:type="paragraph" w:styleId="a7">
    <w:name w:val="footer"/>
    <w:basedOn w:val="a"/>
    <w:link w:val="a8"/>
    <w:uiPriority w:val="99"/>
    <w:unhideWhenUsed/>
    <w:rsid w:val="00CA2E5E"/>
    <w:pPr>
      <w:spacing w:after="0"/>
      <w:jc w:val="left"/>
    </w:pPr>
    <w:rPr>
      <w:sz w:val="16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CA2E5E"/>
    <w:rPr>
      <w:rFonts w:ascii="Arial" w:eastAsiaTheme="minorEastAsia" w:hAnsi="Arial" w:cs="Times New Roman"/>
      <w:sz w:val="16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A2E5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2E5E"/>
    <w:rPr>
      <w:rFonts w:ascii="Lucida Grande" w:eastAsiaTheme="minorEastAsia" w:hAnsi="Lucida Grande" w:cs="Lucida Grande"/>
      <w:sz w:val="18"/>
      <w:szCs w:val="18"/>
    </w:rPr>
  </w:style>
  <w:style w:type="character" w:styleId="ab">
    <w:name w:val="annotation reference"/>
    <w:basedOn w:val="a0"/>
    <w:uiPriority w:val="99"/>
    <w:unhideWhenUsed/>
    <w:rsid w:val="00CA2E5E"/>
    <w:rPr>
      <w:sz w:val="18"/>
      <w:szCs w:val="18"/>
    </w:rPr>
  </w:style>
  <w:style w:type="paragraph" w:styleId="ac">
    <w:name w:val="annotation text"/>
    <w:basedOn w:val="a"/>
    <w:link w:val="ad"/>
    <w:unhideWhenUsed/>
    <w:rsid w:val="001B3CE8"/>
  </w:style>
  <w:style w:type="character" w:customStyle="1" w:styleId="ad">
    <w:name w:val="Текст примечания Знак"/>
    <w:basedOn w:val="a0"/>
    <w:link w:val="ac"/>
    <w:rsid w:val="001B3CE8"/>
    <w:rPr>
      <w:rFonts w:asciiTheme="majorHAnsi" w:eastAsiaTheme="minorEastAsia" w:hAnsiTheme="majorHAnsi" w:cs="MyriadPro-Regular"/>
      <w:sz w:val="20"/>
      <w:szCs w:val="20"/>
      <w:lang w:val="ru-RU"/>
    </w:rPr>
  </w:style>
  <w:style w:type="paragraph" w:styleId="ae">
    <w:name w:val="annotation subject"/>
    <w:basedOn w:val="a"/>
    <w:link w:val="af"/>
    <w:uiPriority w:val="99"/>
    <w:semiHidden/>
    <w:unhideWhenUsed/>
    <w:rsid w:val="00CA2E5E"/>
    <w:rPr>
      <w:b/>
      <w:bCs/>
    </w:rPr>
  </w:style>
  <w:style w:type="character" w:customStyle="1" w:styleId="af">
    <w:name w:val="Тема примечания Знак"/>
    <w:basedOn w:val="a0"/>
    <w:link w:val="ae"/>
    <w:uiPriority w:val="99"/>
    <w:semiHidden/>
    <w:rsid w:val="00CA2E5E"/>
    <w:rPr>
      <w:rFonts w:ascii="Arial" w:eastAsiaTheme="minorEastAsia" w:hAnsi="Arial" w:cs="Times New Roman"/>
      <w:b/>
      <w:bCs/>
      <w:sz w:val="20"/>
      <w:szCs w:val="20"/>
    </w:rPr>
  </w:style>
  <w:style w:type="table" w:styleId="af0">
    <w:name w:val="Table Grid"/>
    <w:basedOn w:val="a1"/>
    <w:uiPriority w:val="59"/>
    <w:rsid w:val="00CA2E5E"/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a"/>
    <w:uiPriority w:val="34"/>
    <w:qFormat/>
    <w:rsid w:val="001B3CE8"/>
    <w:pPr>
      <w:spacing w:after="0"/>
      <w:ind w:left="720"/>
      <w:contextualSpacing/>
      <w:jc w:val="left"/>
    </w:pPr>
    <w:rPr>
      <w:rFonts w:ascii="Calibri" w:eastAsia="Cambria" w:hAnsi="Calibri"/>
      <w:sz w:val="24"/>
      <w:szCs w:val="24"/>
    </w:rPr>
  </w:style>
  <w:style w:type="paragraph" w:styleId="af1">
    <w:name w:val="List Paragraph"/>
    <w:basedOn w:val="a"/>
    <w:link w:val="af2"/>
    <w:uiPriority w:val="34"/>
    <w:qFormat/>
    <w:rsid w:val="00CA2E5E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styleId="af3">
    <w:name w:val="page number"/>
    <w:basedOn w:val="a0"/>
    <w:uiPriority w:val="99"/>
    <w:unhideWhenUsed/>
    <w:rsid w:val="00CA2E5E"/>
    <w:rPr>
      <w:b/>
    </w:rPr>
  </w:style>
  <w:style w:type="table" w:styleId="af4">
    <w:name w:val="Light Shading"/>
    <w:basedOn w:val="a1"/>
    <w:uiPriority w:val="60"/>
    <w:rsid w:val="001B3CE8"/>
    <w:rPr>
      <w:rFonts w:asciiTheme="majorHAnsi" w:eastAsiaTheme="minorEastAsia" w:hAnsiTheme="majorHAnsi" w:cs="ArialMT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List Accent 1"/>
    <w:basedOn w:val="a1"/>
    <w:uiPriority w:val="61"/>
    <w:rsid w:val="001B3CE8"/>
    <w:rPr>
      <w:rFonts w:asciiTheme="majorHAnsi" w:eastAsiaTheme="minorEastAsia" w:hAnsiTheme="majorHAnsi" w:cs="ArialM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">
    <w:name w:val="Medium Shading 1 Accent 1"/>
    <w:basedOn w:val="a1"/>
    <w:uiPriority w:val="63"/>
    <w:rsid w:val="001B3CE8"/>
    <w:rPr>
      <w:rFonts w:asciiTheme="majorHAnsi" w:eastAsiaTheme="minorEastAsia" w:hAnsiTheme="majorHAnsi" w:cs="ArialMT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0">
    <w:name w:val="Light Shading Accent 1"/>
    <w:basedOn w:val="a1"/>
    <w:uiPriority w:val="60"/>
    <w:rsid w:val="001B3CE8"/>
    <w:rPr>
      <w:rFonts w:asciiTheme="majorHAnsi" w:eastAsiaTheme="minorEastAsia" w:hAnsiTheme="majorHAnsi" w:cs="ArialMT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5">
    <w:name w:val="Hyperlink"/>
    <w:basedOn w:val="a0"/>
    <w:uiPriority w:val="99"/>
    <w:unhideWhenUsed/>
    <w:rsid w:val="00CA2E5E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CA2E5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B3CE8"/>
  </w:style>
  <w:style w:type="table" w:styleId="-2">
    <w:name w:val="Light Shading Accent 2"/>
    <w:basedOn w:val="a1"/>
    <w:uiPriority w:val="60"/>
    <w:rsid w:val="001B3CE8"/>
    <w:rPr>
      <w:rFonts w:asciiTheme="majorHAnsi" w:eastAsiaTheme="minorEastAsia" w:hAnsiTheme="majorHAnsi" w:cs="ArialMT"/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Light List Accent 2"/>
    <w:basedOn w:val="a1"/>
    <w:uiPriority w:val="61"/>
    <w:rsid w:val="001B3CE8"/>
    <w:rPr>
      <w:rFonts w:asciiTheme="majorHAnsi" w:eastAsiaTheme="minorEastAsia" w:hAnsiTheme="majorHAnsi" w:cs="ArialMT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2">
    <w:name w:val="Medium Shading 1 Accent 2"/>
    <w:basedOn w:val="a1"/>
    <w:uiPriority w:val="63"/>
    <w:rsid w:val="001B3CE8"/>
    <w:rPr>
      <w:rFonts w:asciiTheme="majorHAnsi" w:eastAsiaTheme="minorEastAsia" w:hAnsiTheme="majorHAnsi" w:cs="ArialMT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1">
    <w:name w:val="Colorful List Accent 2"/>
    <w:basedOn w:val="a1"/>
    <w:uiPriority w:val="72"/>
    <w:rsid w:val="001B3CE8"/>
    <w:rPr>
      <w:rFonts w:asciiTheme="majorHAnsi" w:eastAsiaTheme="minorEastAsia" w:hAnsiTheme="majorHAnsi" w:cs="ArialMT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-2">
    <w:name w:val="Medium Grid 3 Accent 2"/>
    <w:basedOn w:val="a1"/>
    <w:uiPriority w:val="69"/>
    <w:rsid w:val="001B3CE8"/>
    <w:rPr>
      <w:rFonts w:asciiTheme="majorHAnsi" w:eastAsiaTheme="minorEastAsia" w:hAnsiTheme="majorHAnsi" w:cs="ArialM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af2">
    <w:name w:val="Абзац списка Знак"/>
    <w:basedOn w:val="a0"/>
    <w:link w:val="af1"/>
    <w:uiPriority w:val="34"/>
    <w:rsid w:val="00CA2E5E"/>
    <w:rPr>
      <w:rFonts w:ascii="Arial" w:hAnsi="Arial"/>
      <w:sz w:val="20"/>
      <w:szCs w:val="22"/>
    </w:rPr>
  </w:style>
  <w:style w:type="paragraph" w:styleId="af7">
    <w:name w:val="Revision"/>
    <w:hidden/>
    <w:uiPriority w:val="99"/>
    <w:semiHidden/>
    <w:rsid w:val="00CA2E5E"/>
    <w:rPr>
      <w:rFonts w:ascii="Arial" w:eastAsiaTheme="minorEastAsia" w:hAnsi="Arial" w:cs="Arial"/>
      <w:sz w:val="21"/>
      <w:szCs w:val="21"/>
    </w:rPr>
  </w:style>
  <w:style w:type="paragraph" w:styleId="af8">
    <w:name w:val="Plain Text"/>
    <w:basedOn w:val="a"/>
    <w:link w:val="af9"/>
    <w:uiPriority w:val="99"/>
    <w:unhideWhenUsed/>
    <w:rsid w:val="001B3CE8"/>
    <w:pPr>
      <w:spacing w:after="0"/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af9">
    <w:name w:val="Текст Знак"/>
    <w:basedOn w:val="a0"/>
    <w:link w:val="af8"/>
    <w:uiPriority w:val="99"/>
    <w:rsid w:val="001B3CE8"/>
    <w:rPr>
      <w:rFonts w:ascii="Calibri" w:hAnsi="Calibri"/>
      <w:sz w:val="22"/>
      <w:szCs w:val="21"/>
      <w:lang w:val="ru-RU"/>
    </w:rPr>
  </w:style>
  <w:style w:type="paragraph" w:customStyle="1" w:styleId="BodyA">
    <w:name w:val="Body A"/>
    <w:rsid w:val="001B3CE8"/>
    <w:rPr>
      <w:rFonts w:ascii="Helvetica" w:eastAsia="ヒラギノ角ゴ Pro W3" w:hAnsi="Helvetica" w:cs="Times New Roman"/>
      <w:color w:val="000000"/>
    </w:rPr>
  </w:style>
  <w:style w:type="paragraph" w:customStyle="1" w:styleId="Reference">
    <w:name w:val="Reference"/>
    <w:basedOn w:val="a"/>
    <w:qFormat/>
    <w:rsid w:val="001B3CE8"/>
    <w:pPr>
      <w:spacing w:after="0"/>
      <w:ind w:left="567" w:hanging="567"/>
    </w:pPr>
    <w:rPr>
      <w:rFonts w:ascii="Calibri" w:hAnsi="Calibri" w:cstheme="minorBidi"/>
      <w:lang w:eastAsia="ja-JP"/>
    </w:rPr>
  </w:style>
  <w:style w:type="paragraph" w:styleId="11">
    <w:name w:val="toc 1"/>
    <w:basedOn w:val="a"/>
    <w:next w:val="a"/>
    <w:autoRedefine/>
    <w:uiPriority w:val="39"/>
    <w:unhideWhenUsed/>
    <w:rsid w:val="001B3CE8"/>
  </w:style>
  <w:style w:type="paragraph" w:styleId="21">
    <w:name w:val="toc 2"/>
    <w:basedOn w:val="a"/>
    <w:next w:val="a"/>
    <w:autoRedefine/>
    <w:uiPriority w:val="39"/>
    <w:unhideWhenUsed/>
    <w:rsid w:val="001B3CE8"/>
    <w:pPr>
      <w:tabs>
        <w:tab w:val="left" w:pos="567"/>
        <w:tab w:val="right" w:leader="dot" w:pos="8290"/>
      </w:tabs>
      <w:ind w:left="200"/>
    </w:pPr>
  </w:style>
  <w:style w:type="paragraph" w:styleId="31">
    <w:name w:val="toc 3"/>
    <w:basedOn w:val="a"/>
    <w:next w:val="a"/>
    <w:autoRedefine/>
    <w:uiPriority w:val="39"/>
    <w:unhideWhenUsed/>
    <w:rsid w:val="001B3CE8"/>
    <w:pPr>
      <w:ind w:left="400"/>
    </w:pPr>
  </w:style>
  <w:style w:type="paragraph" w:styleId="41">
    <w:name w:val="toc 4"/>
    <w:basedOn w:val="a"/>
    <w:next w:val="a"/>
    <w:autoRedefine/>
    <w:uiPriority w:val="39"/>
    <w:unhideWhenUsed/>
    <w:rsid w:val="001B3CE8"/>
    <w:pPr>
      <w:ind w:left="600"/>
    </w:pPr>
  </w:style>
  <w:style w:type="paragraph" w:styleId="5">
    <w:name w:val="toc 5"/>
    <w:basedOn w:val="a"/>
    <w:next w:val="a"/>
    <w:autoRedefine/>
    <w:uiPriority w:val="39"/>
    <w:unhideWhenUsed/>
    <w:rsid w:val="001B3CE8"/>
    <w:pPr>
      <w:ind w:left="800"/>
    </w:pPr>
  </w:style>
  <w:style w:type="paragraph" w:styleId="6">
    <w:name w:val="toc 6"/>
    <w:basedOn w:val="a"/>
    <w:next w:val="a"/>
    <w:autoRedefine/>
    <w:uiPriority w:val="39"/>
    <w:unhideWhenUsed/>
    <w:rsid w:val="001B3CE8"/>
    <w:pPr>
      <w:ind w:left="1000"/>
    </w:pPr>
  </w:style>
  <w:style w:type="paragraph" w:styleId="7">
    <w:name w:val="toc 7"/>
    <w:basedOn w:val="a"/>
    <w:next w:val="a"/>
    <w:autoRedefine/>
    <w:uiPriority w:val="39"/>
    <w:unhideWhenUsed/>
    <w:rsid w:val="001B3CE8"/>
    <w:pPr>
      <w:ind w:left="1200"/>
    </w:pPr>
  </w:style>
  <w:style w:type="paragraph" w:styleId="8">
    <w:name w:val="toc 8"/>
    <w:basedOn w:val="a"/>
    <w:next w:val="a"/>
    <w:autoRedefine/>
    <w:uiPriority w:val="39"/>
    <w:unhideWhenUsed/>
    <w:rsid w:val="001B3CE8"/>
    <w:pPr>
      <w:ind w:left="1400"/>
    </w:pPr>
  </w:style>
  <w:style w:type="paragraph" w:styleId="9">
    <w:name w:val="toc 9"/>
    <w:basedOn w:val="a"/>
    <w:next w:val="a"/>
    <w:autoRedefine/>
    <w:uiPriority w:val="39"/>
    <w:unhideWhenUsed/>
    <w:rsid w:val="001B3CE8"/>
    <w:pPr>
      <w:ind w:left="1600"/>
    </w:pPr>
  </w:style>
  <w:style w:type="paragraph" w:styleId="afa">
    <w:name w:val="header"/>
    <w:basedOn w:val="a"/>
    <w:link w:val="afb"/>
    <w:uiPriority w:val="99"/>
    <w:unhideWhenUsed/>
    <w:rsid w:val="00CA2E5E"/>
    <w:pPr>
      <w:spacing w:after="0" w:line="288" w:lineRule="auto"/>
      <w:jc w:val="left"/>
    </w:pPr>
    <w:rPr>
      <w:sz w:val="16"/>
    </w:rPr>
  </w:style>
  <w:style w:type="character" w:customStyle="1" w:styleId="afb">
    <w:name w:val="Верхний колонтитул Знак"/>
    <w:basedOn w:val="a0"/>
    <w:link w:val="afa"/>
    <w:uiPriority w:val="99"/>
    <w:rsid w:val="00CA2E5E"/>
    <w:rPr>
      <w:rFonts w:ascii="Arial" w:eastAsiaTheme="minorEastAsia" w:hAnsi="Arial" w:cs="Times New Roman"/>
      <w:sz w:val="16"/>
      <w:szCs w:val="20"/>
    </w:rPr>
  </w:style>
  <w:style w:type="paragraph" w:customStyle="1" w:styleId="Default">
    <w:name w:val="Default"/>
    <w:rsid w:val="00CA2E5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paragraph" w:customStyle="1" w:styleId="BasicParagraph">
    <w:name w:val="[Basic Paragraph]"/>
    <w:basedOn w:val="a"/>
    <w:uiPriority w:val="99"/>
    <w:rsid w:val="00CA2E5E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CA2E5E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CA2E5E"/>
    <w:pPr>
      <w:numPr>
        <w:numId w:val="8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CA2E5E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CA2E5E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fa"/>
    <w:rsid w:val="00CA2E5E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CA2E5E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CA2E5E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CA2E5E"/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f1"/>
    <w:rsid w:val="00CA2E5E"/>
    <w:pPr>
      <w:numPr>
        <w:numId w:val="9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CA2E5E"/>
    <w:pPr>
      <w:numPr>
        <w:ilvl w:val="1"/>
        <w:numId w:val="6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CA2E5E"/>
    <w:pPr>
      <w:numPr>
        <w:numId w:val="7"/>
      </w:numPr>
    </w:pPr>
    <w:rPr>
      <w:rFonts w:eastAsia="MS Mincho"/>
      <w:b/>
      <w:sz w:val="22"/>
    </w:rPr>
  </w:style>
  <w:style w:type="paragraph" w:customStyle="1" w:styleId="Bullet3">
    <w:name w:val="Bullet 3"/>
    <w:basedOn w:val="af1"/>
    <w:qFormat/>
    <w:rsid w:val="00CA2E5E"/>
    <w:pPr>
      <w:numPr>
        <w:numId w:val="10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CA2E5E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CA2E5E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CA2E5E"/>
    <w:pPr>
      <w:keepNext/>
      <w:keepLines/>
      <w:framePr w:hSpace="141" w:wrap="around" w:vAnchor="text" w:hAnchor="margin" w:y="402"/>
      <w:numPr>
        <w:numId w:val="11"/>
      </w:numPr>
      <w:spacing w:beforeLines="60" w:afterLines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ata.worldbank.org/indicator/FP.CPI.TOTL.Z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49</TotalTime>
  <Pages>5</Pages>
  <Words>619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Independent Consultant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Creti Pantaleo</dc:creator>
  <cp:keywords/>
  <cp:lastModifiedBy>User</cp:lastModifiedBy>
  <cp:revision>21</cp:revision>
  <cp:lastPrinted>2015-10-13T17:52:00Z</cp:lastPrinted>
  <dcterms:created xsi:type="dcterms:W3CDTF">2014-12-10T09:28:00Z</dcterms:created>
  <dcterms:modified xsi:type="dcterms:W3CDTF">2017-04-20T12:14:00Z</dcterms:modified>
</cp:coreProperties>
</file>