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2F" w:rsidRPr="00B122EA" w:rsidRDefault="00F5312F" w:rsidP="00474FD4">
      <w:pPr>
        <w:pStyle w:val="H1"/>
      </w:pPr>
      <w:r>
        <w:t>Дорожная карта для оценки программы</w:t>
      </w:r>
    </w:p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/>
      </w:tblPr>
      <w:tblGrid>
        <w:gridCol w:w="2410"/>
        <w:gridCol w:w="2236"/>
        <w:gridCol w:w="2462"/>
        <w:gridCol w:w="2462"/>
      </w:tblGrid>
      <w:tr w:rsidR="006A7984" w:rsidTr="00E652A3">
        <w:tc>
          <w:tcPr>
            <w:tcW w:w="9570" w:type="dxa"/>
            <w:gridSpan w:val="4"/>
          </w:tcPr>
          <w:p w:rsidR="006A7984" w:rsidRPr="007836E8" w:rsidRDefault="006A7984" w:rsidP="00E652A3">
            <w:pPr>
              <w:jc w:val="center"/>
              <w:rPr>
                <w:b/>
              </w:rPr>
            </w:pPr>
            <w:r w:rsidRPr="007836E8">
              <w:rPr>
                <w:b/>
              </w:rPr>
              <w:t>МОНИТОРИНГ И ОЦЕНКА</w:t>
            </w:r>
          </w:p>
        </w:tc>
      </w:tr>
      <w:tr w:rsidR="006A7984" w:rsidTr="00E652A3">
        <w:tc>
          <w:tcPr>
            <w:tcW w:w="2410" w:type="dxa"/>
          </w:tcPr>
          <w:p w:rsidR="006A7984" w:rsidRDefault="006A7984" w:rsidP="006A7984">
            <w:pPr>
              <w:pStyle w:val="a5"/>
              <w:numPr>
                <w:ilvl w:val="0"/>
                <w:numId w:val="15"/>
              </w:numPr>
              <w:tabs>
                <w:tab w:val="left" w:pos="425"/>
                <w:tab w:val="left" w:pos="605"/>
              </w:tabs>
              <w:ind w:left="0" w:firstLine="17"/>
              <w:jc w:val="left"/>
            </w:pPr>
            <w:r>
              <w:t>Планирование МиО ПДП</w:t>
            </w:r>
          </w:p>
        </w:tc>
        <w:tc>
          <w:tcPr>
            <w:tcW w:w="2236" w:type="dxa"/>
          </w:tcPr>
          <w:p w:rsidR="006A7984" w:rsidRDefault="006A7984" w:rsidP="006A7984">
            <w:pPr>
              <w:pStyle w:val="a5"/>
              <w:numPr>
                <w:ilvl w:val="0"/>
                <w:numId w:val="15"/>
              </w:numPr>
              <w:tabs>
                <w:tab w:val="left" w:pos="348"/>
              </w:tabs>
              <w:ind w:left="127" w:hanging="35"/>
              <w:jc w:val="left"/>
            </w:pPr>
            <w:r>
              <w:t>Мониторинг программы</w:t>
            </w:r>
          </w:p>
        </w:tc>
        <w:tc>
          <w:tcPr>
            <w:tcW w:w="2462" w:type="dxa"/>
          </w:tcPr>
          <w:p w:rsidR="006A7984" w:rsidRDefault="006A7984" w:rsidP="006A7984">
            <w:pPr>
              <w:pStyle w:val="a5"/>
              <w:numPr>
                <w:ilvl w:val="0"/>
                <w:numId w:val="15"/>
              </w:numPr>
              <w:tabs>
                <w:tab w:val="left" w:pos="361"/>
              </w:tabs>
              <w:ind w:left="79" w:hanging="87"/>
              <w:jc w:val="left"/>
            </w:pPr>
            <w:r>
              <w:t>Мониторинг рынка</w:t>
            </w:r>
          </w:p>
        </w:tc>
        <w:tc>
          <w:tcPr>
            <w:tcW w:w="2462" w:type="dxa"/>
          </w:tcPr>
          <w:p w:rsidR="006A7984" w:rsidRDefault="006A7984" w:rsidP="006A7984">
            <w:pPr>
              <w:pStyle w:val="a5"/>
              <w:numPr>
                <w:ilvl w:val="0"/>
                <w:numId w:val="15"/>
              </w:numPr>
              <w:tabs>
                <w:tab w:val="left" w:pos="329"/>
              </w:tabs>
              <w:ind w:left="14" w:firstLine="2"/>
              <w:jc w:val="left"/>
            </w:pPr>
            <w:r>
              <w:t>Оценка ПДП</w:t>
            </w:r>
          </w:p>
        </w:tc>
      </w:tr>
      <w:tr w:rsidR="006A7984" w:rsidTr="006A7984">
        <w:tc>
          <w:tcPr>
            <w:tcW w:w="2410" w:type="dxa"/>
            <w:shd w:val="clear" w:color="auto" w:fill="auto"/>
          </w:tcPr>
          <w:p w:rsidR="006A7984" w:rsidRDefault="006A7984" w:rsidP="00E652A3">
            <w:pPr>
              <w:jc w:val="left"/>
            </w:pPr>
            <w:r>
              <w:t>.1 Разработать стратегию МиО</w:t>
            </w:r>
          </w:p>
          <w:p w:rsidR="006A7984" w:rsidRDefault="006A7984" w:rsidP="00E652A3">
            <w:pPr>
              <w:jc w:val="left"/>
            </w:pPr>
            <w:r>
              <w:t>.2 Повысить квалификацию персонала</w:t>
            </w:r>
          </w:p>
        </w:tc>
        <w:tc>
          <w:tcPr>
            <w:tcW w:w="2236" w:type="dxa"/>
            <w:shd w:val="clear" w:color="auto" w:fill="auto"/>
          </w:tcPr>
          <w:p w:rsidR="006A7984" w:rsidRDefault="006A7984" w:rsidP="00E652A3">
            <w:pPr>
              <w:jc w:val="left"/>
            </w:pPr>
            <w:r>
              <w:t>.1 Исходные показатели</w:t>
            </w:r>
          </w:p>
          <w:p w:rsidR="006A7984" w:rsidRDefault="006A7984" w:rsidP="00E652A3">
            <w:pPr>
              <w:jc w:val="left"/>
            </w:pPr>
            <w:r>
              <w:t>.2 Мониторинг обналичивания</w:t>
            </w:r>
          </w:p>
          <w:p w:rsidR="006A7984" w:rsidRDefault="006A7984" w:rsidP="00E652A3">
            <w:pPr>
              <w:jc w:val="left"/>
            </w:pPr>
            <w:r>
              <w:t>.3 Мониторинг после раздачи</w:t>
            </w:r>
          </w:p>
        </w:tc>
        <w:tc>
          <w:tcPr>
            <w:tcW w:w="2462" w:type="dxa"/>
            <w:shd w:val="clear" w:color="auto" w:fill="auto"/>
          </w:tcPr>
          <w:p w:rsidR="006A7984" w:rsidRDefault="006A7984" w:rsidP="00E652A3">
            <w:pPr>
              <w:jc w:val="left"/>
            </w:pPr>
            <w:r>
              <w:t>.1 Мониторинг торговцев</w:t>
            </w:r>
          </w:p>
          <w:p w:rsidR="006A7984" w:rsidRDefault="006A7984" w:rsidP="00E652A3">
            <w:pPr>
              <w:jc w:val="left"/>
            </w:pPr>
            <w:r>
              <w:t>.2 Мониторинг цен</w:t>
            </w:r>
          </w:p>
          <w:p w:rsidR="006A7984" w:rsidRDefault="006A7984" w:rsidP="00E652A3">
            <w:pPr>
              <w:jc w:val="left"/>
            </w:pPr>
            <w:r>
              <w:t>.3 Реагирование на изменения цен</w:t>
            </w:r>
          </w:p>
        </w:tc>
        <w:tc>
          <w:tcPr>
            <w:tcW w:w="2462" w:type="dxa"/>
            <w:shd w:val="clear" w:color="auto" w:fill="B8CCE4" w:themeFill="accent1" w:themeFillTint="66"/>
          </w:tcPr>
          <w:p w:rsidR="006A7984" w:rsidRDefault="006A7984" w:rsidP="00E652A3">
            <w:pPr>
              <w:jc w:val="left"/>
            </w:pPr>
            <w:r>
              <w:t>.1 Сформулировать критерии и вопросы для оценки</w:t>
            </w:r>
          </w:p>
          <w:p w:rsidR="006A7984" w:rsidRDefault="006A7984" w:rsidP="00E652A3">
            <w:pPr>
              <w:jc w:val="left"/>
            </w:pPr>
            <w:r>
              <w:t>.2 Подготовить ТЗ для оценки</w:t>
            </w:r>
          </w:p>
          <w:p w:rsidR="006A7984" w:rsidRDefault="006A7984" w:rsidP="00E652A3">
            <w:pPr>
              <w:jc w:val="left"/>
            </w:pPr>
            <w:r>
              <w:t>.3 Написать отчёты</w:t>
            </w:r>
          </w:p>
        </w:tc>
      </w:tr>
    </w:tbl>
    <w:p w:rsidR="005F333D" w:rsidRPr="00B122EA" w:rsidRDefault="000B39D3" w:rsidP="00474FD4">
      <w:pPr>
        <w:pStyle w:val="2"/>
      </w:pPr>
      <w:r>
        <w:t>ВВЕДЕНИЕ</w:t>
      </w:r>
    </w:p>
    <w:p w:rsidR="00E95A33" w:rsidRPr="00B122EA" w:rsidRDefault="00E95A33" w:rsidP="004B0469">
      <w:pPr>
        <w:rPr>
          <w:rFonts w:eastAsia="Times New Roman" w:cs="Arial"/>
        </w:rPr>
      </w:pPr>
      <w:r>
        <w:t>Оценка программы включает в себя систематическую и объективную оценку продолжающейся или законченной операции, её структуры, особенностей реализации и результатов.</w:t>
      </w:r>
      <w:r w:rsidR="006A7984">
        <w:t xml:space="preserve">  </w:t>
      </w:r>
      <w:r>
        <w:t>Цель состоит в том, чтобы определить актуальность и степень достижения целей, качество разработки, эффективность, степень воздействия и устойчивость.</w:t>
      </w:r>
      <w:r w:rsidR="006A7984">
        <w:t xml:space="preserve">  </w:t>
      </w:r>
      <w:r>
        <w:t xml:space="preserve">Информация, полученная в ходе </w:t>
      </w:r>
      <w:r w:rsidR="00710FB5">
        <w:t xml:space="preserve">проведения </w:t>
      </w:r>
      <w:r>
        <w:t>оценки, должн</w:t>
      </w:r>
      <w:r w:rsidR="006A7984">
        <w:t>а</w:t>
      </w:r>
      <w:r>
        <w:t xml:space="preserve"> быть достоверной и полезной, с её помощью получатели услуг и доноры должны иметь возможность использовать извлечённые уроки при принятии решений</w:t>
      </w:r>
      <w:r w:rsidRPr="00F361CA">
        <w:rPr>
          <w:rStyle w:val="ac"/>
          <w:rFonts w:eastAsia="Times New Roman" w:cs="Arial"/>
        </w:rPr>
        <w:footnoteReference w:id="2"/>
      </w:r>
      <w:r w:rsidR="006A7984">
        <w:t>.</w:t>
      </w:r>
    </w:p>
    <w:p w:rsidR="001512AE" w:rsidRPr="00B122EA" w:rsidRDefault="000B39D3" w:rsidP="004B0469">
      <w:r>
        <w:t>В данной дорожной карте представлено краткое руководство по различным типам оценки, а также информация о том, как установить критерии оценки и вопросы, подготовить технические задания и отчёты.</w:t>
      </w:r>
    </w:p>
    <w:p w:rsidR="001512AE" w:rsidRPr="00B122EA" w:rsidRDefault="001512AE" w:rsidP="004B0469">
      <w:r>
        <w:t>В данной дорожной карте также выражены предположения о то</w:t>
      </w:r>
      <w:r w:rsidR="00A666A3">
        <w:t>м, какие инструменты Методических материалов по вопросам предоставления наличных денежных средств в условиях ЧС</w:t>
      </w:r>
      <w:r>
        <w:t xml:space="preserve"> наиболее полезны для данного </w:t>
      </w:r>
      <w:r w:rsidR="00A666A3">
        <w:t>раздела</w:t>
      </w:r>
      <w:r>
        <w:t xml:space="preserve"> и </w:t>
      </w:r>
      <w:r w:rsidR="00A666A3">
        <w:t>подразделов</w:t>
      </w:r>
      <w:r>
        <w:t>.</w:t>
      </w:r>
      <w:r w:rsidR="006A7984">
        <w:t xml:space="preserve">  </w:t>
      </w:r>
      <w:r>
        <w:t>Эти инструменты будет необходимо скорректировать согласно вашим потребностям и условиям.</w:t>
      </w:r>
    </w:p>
    <w:p w:rsidR="001512AE" w:rsidRPr="00B122EA" w:rsidRDefault="001512AE" w:rsidP="004B0469">
      <w:r>
        <w:t xml:space="preserve">Вы должны всегда стремиться соблюдать минимальные стандарты, перечисленные </w:t>
      </w:r>
      <w:r w:rsidR="00A666A3">
        <w:t>в этом разделе</w:t>
      </w:r>
      <w:r>
        <w:t>.  Это поможет повысить уровень качества ваших действий.</w:t>
      </w:r>
    </w:p>
    <w:p w:rsidR="001512AE" w:rsidRPr="00B122EA" w:rsidRDefault="001512AE" w:rsidP="004B0469">
      <w:r>
        <w:t xml:space="preserve">Вероятно, по мере того как завершаются процессы и информация поступает в каждый </w:t>
      </w:r>
      <w:r w:rsidR="00A666A3">
        <w:t>подраздел</w:t>
      </w:r>
      <w:r>
        <w:t xml:space="preserve">, для принятия решений вам потребуется переходить от одного </w:t>
      </w:r>
      <w:r w:rsidR="00A666A3">
        <w:t>подраздела</w:t>
      </w:r>
      <w:r>
        <w:t xml:space="preserve"> к другому.</w:t>
      </w:r>
    </w:p>
    <w:p w:rsidR="001512AE" w:rsidRPr="00B122EA" w:rsidRDefault="001512AE" w:rsidP="004B0469">
      <w:r>
        <w:t xml:space="preserve">Если вам потребуется более детальное руководство в вопросах </w:t>
      </w:r>
      <w:r w:rsidR="00710FB5">
        <w:t xml:space="preserve">проведения </w:t>
      </w:r>
      <w:r>
        <w:t>оценки программы, обратитесь к справочным документам, предложенным в конце данной дорожной карты.</w:t>
      </w:r>
    </w:p>
    <w:p w:rsidR="005F333D" w:rsidRPr="00B122EA" w:rsidRDefault="000B39D3" w:rsidP="00474FD4">
      <w:pPr>
        <w:pStyle w:val="2"/>
      </w:pPr>
      <w:r>
        <w:t>МИНИМАЛЬНЫЕ СТАНДАРТЫ</w:t>
      </w:r>
    </w:p>
    <w:p w:rsidR="005F333D" w:rsidRPr="00B122EA" w:rsidRDefault="00E95A33" w:rsidP="004B0469">
      <w:pPr>
        <w:pStyle w:val="Bullet1"/>
      </w:pPr>
      <w:r>
        <w:t xml:space="preserve">Любая программа всегда должна включать компонент оценки, который позволит вам извлечь уроки, улучшить методы и принципы работы в будущем, а также повысит степень </w:t>
      </w:r>
      <w:r w:rsidR="006A7984">
        <w:t>ответственности и отчётности</w:t>
      </w:r>
      <w:r>
        <w:t>.</w:t>
      </w:r>
    </w:p>
    <w:p w:rsidR="005F333D" w:rsidRPr="00B122EA" w:rsidRDefault="000B39D3" w:rsidP="004B0469">
      <w:pPr>
        <w:pStyle w:val="Bullet1"/>
      </w:pPr>
      <w:r>
        <w:t>Проведение оценки следует запланировать на стадии разработки программы.</w:t>
      </w:r>
    </w:p>
    <w:p w:rsidR="005F333D" w:rsidRPr="00B122EA" w:rsidRDefault="000B39D3" w:rsidP="004B0469">
      <w:pPr>
        <w:pStyle w:val="Bullet1"/>
      </w:pPr>
      <w:r>
        <w:lastRenderedPageBreak/>
        <w:t>Лица, осуществляющие оценку программы, не должны входить в команду, занимавшуюся её реализацией.</w:t>
      </w:r>
    </w:p>
    <w:p w:rsidR="005F333D" w:rsidRPr="00B122EA" w:rsidRDefault="000B39D3" w:rsidP="004B0469">
      <w:pPr>
        <w:pStyle w:val="Bullet1"/>
      </w:pPr>
      <w:r>
        <w:t xml:space="preserve">В ходе </w:t>
      </w:r>
      <w:r w:rsidR="006A7984">
        <w:t xml:space="preserve">проведения </w:t>
      </w:r>
      <w:r>
        <w:t>оценки необходимо консультироваться и с бенефициарами, и с не-бенефициарами.</w:t>
      </w:r>
    </w:p>
    <w:p w:rsidR="005F333D" w:rsidRPr="00B122EA" w:rsidRDefault="000B39D3" w:rsidP="004B0469">
      <w:pPr>
        <w:pStyle w:val="Bullet1"/>
      </w:pPr>
      <w:r>
        <w:t xml:space="preserve">Оценку следует проводить в сотрудничестве с другими агентствами по оказанию помощи, это позволит снизить затраты и административную </w:t>
      </w:r>
      <w:r w:rsidR="006A7984">
        <w:t>нагрузку</w:t>
      </w:r>
      <w:r>
        <w:t xml:space="preserve"> на сообщества.</w:t>
      </w:r>
    </w:p>
    <w:p w:rsidR="005F333D" w:rsidRPr="00B122EA" w:rsidRDefault="000B39D3" w:rsidP="004B0469">
      <w:pPr>
        <w:pStyle w:val="Bullet1"/>
      </w:pPr>
      <w:r>
        <w:t>Результаты оценки должны быть доступны широким массам, в особенности лицам, ответственным за выработку политики, и оперативным сотрудникам.</w:t>
      </w:r>
    </w:p>
    <w:p w:rsidR="005F333D" w:rsidRPr="00B122EA" w:rsidRDefault="000B39D3" w:rsidP="002839D9">
      <w:pPr>
        <w:pStyle w:val="2"/>
        <w:keepLines/>
      </w:pPr>
      <w:r>
        <w:t>ТИПЫ ОЦЕНКИ</w:t>
      </w:r>
    </w:p>
    <w:p w:rsidR="005F333D" w:rsidRPr="00B122EA" w:rsidRDefault="000B39D3" w:rsidP="002839D9">
      <w:pPr>
        <w:keepNext/>
        <w:keepLines/>
      </w:pPr>
      <w:r>
        <w:t>В зависимости от того, когда она проводится, оценка может быть следующих типов</w:t>
      </w:r>
      <w:r w:rsidRPr="00F361CA">
        <w:rPr>
          <w:vertAlign w:val="superscript"/>
        </w:rPr>
        <w:footnoteReference w:id="3"/>
      </w:r>
      <w:r>
        <w:t>:</w:t>
      </w:r>
    </w:p>
    <w:p w:rsidR="005F333D" w:rsidRPr="00B122EA" w:rsidRDefault="000B39D3" w:rsidP="004B0469">
      <w:r>
        <w:rPr>
          <w:u w:val="single"/>
        </w:rPr>
        <w:t>Оценка в режиме реального времени</w:t>
      </w:r>
      <w:r>
        <w:t>, которая часто проводится на начальной стадии программы.</w:t>
      </w:r>
      <w:r w:rsidR="006A7984">
        <w:t xml:space="preserve">  </w:t>
      </w:r>
      <w:r>
        <w:t xml:space="preserve">Оценка такого типа может быть характерна для ситуаций после гуманитарных катастроф или конфликтов, где может не существовать </w:t>
      </w:r>
      <w:r w:rsidR="00710FB5">
        <w:t>исходных</w:t>
      </w:r>
      <w:r>
        <w:t xml:space="preserve"> параметров, </w:t>
      </w:r>
      <w:r w:rsidR="00710FB5">
        <w:t>уровень преемственности</w:t>
      </w:r>
      <w:r>
        <w:t xml:space="preserve"> в </w:t>
      </w:r>
      <w:r w:rsidR="006A7984">
        <w:t>организациях</w:t>
      </w:r>
      <w:r>
        <w:t xml:space="preserve"> может быть крайне низк</w:t>
      </w:r>
      <w:r w:rsidR="00710FB5">
        <w:t>им</w:t>
      </w:r>
      <w:r>
        <w:t xml:space="preserve"> </w:t>
      </w:r>
      <w:r w:rsidR="006A7984">
        <w:t>ввиду</w:t>
      </w:r>
      <w:r>
        <w:t xml:space="preserve"> быстрой сменяемости </w:t>
      </w:r>
      <w:r w:rsidR="006A7984">
        <w:t>персонала</w:t>
      </w:r>
      <w:r>
        <w:t>, а угроза безопасности может затруднить проведение интервью и опросов.</w:t>
      </w:r>
    </w:p>
    <w:p w:rsidR="005F333D" w:rsidRPr="00B122EA" w:rsidRDefault="000B39D3" w:rsidP="004B0469">
      <w:r>
        <w:rPr>
          <w:u w:val="single"/>
        </w:rPr>
        <w:t>Оценка на середине срока работы программы</w:t>
      </w:r>
      <w:r>
        <w:t xml:space="preserve"> имеет целью оценить, является ли программа всё ещё актуальной, и какой прогресс был сделан на пути к достижению целей.</w:t>
      </w:r>
      <w:r w:rsidR="006A7984">
        <w:t xml:space="preserve">  </w:t>
      </w:r>
      <w:r>
        <w:t>Оценка такого типа даёт возможность скорректировать программу, чтобы её целей можно было достичь в ожидаемые сроки.</w:t>
      </w:r>
    </w:p>
    <w:p w:rsidR="005F333D" w:rsidRPr="00B122EA" w:rsidRDefault="000B39D3" w:rsidP="004B0469">
      <w:r>
        <w:rPr>
          <w:u w:val="single"/>
        </w:rPr>
        <w:t>Итоговая оценка</w:t>
      </w:r>
      <w:r>
        <w:t>, которую обычно выполняют ближе к концу стадии реализации проекта.</w:t>
      </w:r>
      <w:r w:rsidR="006A7984">
        <w:t xml:space="preserve">  </w:t>
      </w:r>
      <w:r>
        <w:t>В ходе такой оценки определяют, в какой степени были достигнуты ожидаемые цели и результаты.</w:t>
      </w:r>
    </w:p>
    <w:p w:rsidR="005F333D" w:rsidRPr="00B122EA" w:rsidRDefault="00A666A3" w:rsidP="00474FD4">
      <w:pPr>
        <w:pStyle w:val="2"/>
      </w:pPr>
      <w:r>
        <w:t>ПОДРАЗДЕЛЫ</w:t>
      </w:r>
      <w:r w:rsidR="000B39D3">
        <w:t xml:space="preserve"> И ИНСТРУМЕНТЫ</w:t>
      </w:r>
    </w:p>
    <w:p w:rsidR="005F333D" w:rsidRPr="00B122EA" w:rsidRDefault="000B39D3" w:rsidP="009015B0">
      <w:pPr>
        <w:pStyle w:val="3"/>
      </w:pPr>
      <w:r>
        <w:t>Задайте критерии оценки и вопросы</w:t>
      </w:r>
    </w:p>
    <w:p w:rsidR="005F333D" w:rsidRPr="00B122EA" w:rsidRDefault="000B39D3" w:rsidP="00F361CA">
      <w:pPr>
        <w:rPr>
          <w:b/>
        </w:rPr>
      </w:pPr>
      <w:r>
        <w:t>На этой стадии важно определить «аспекты» для оценки.</w:t>
      </w:r>
      <w:r w:rsidR="006A7984">
        <w:t xml:space="preserve">  </w:t>
      </w:r>
      <w:r>
        <w:t xml:space="preserve">Эти аспекты позволят составить план оценки, а также послужат </w:t>
      </w:r>
      <w:r w:rsidR="006A7984">
        <w:t>основой</w:t>
      </w:r>
      <w:r>
        <w:t xml:space="preserve"> для разработки вопросов, на которые надо ответить в ходе </w:t>
      </w:r>
      <w:r w:rsidR="00710FB5">
        <w:t xml:space="preserve">проведения </w:t>
      </w:r>
      <w:r>
        <w:t>оценки.</w:t>
      </w:r>
      <w:r w:rsidR="006A7984">
        <w:t xml:space="preserve">  </w:t>
      </w:r>
      <w:r>
        <w:t xml:space="preserve">Это </w:t>
      </w:r>
      <w:r w:rsidR="006A7984">
        <w:t>даст возможность</w:t>
      </w:r>
      <w:r>
        <w:t xml:space="preserve"> сотрудникам, проводящим оценку, прийти к чётким выводам и выработать рекомендации.</w:t>
      </w:r>
      <w:r w:rsidR="006A7984">
        <w:t xml:space="preserve">  </w:t>
      </w:r>
      <w:r>
        <w:t>К определению аспектов и формулировке вопросов для оценки следует привлечь основных партнёров.</w:t>
      </w:r>
      <w:r w:rsidR="006A7984">
        <w:t xml:space="preserve">  </w:t>
      </w:r>
      <w:r>
        <w:t xml:space="preserve">Вы найдёте основные вопросы для оценки среди инструментов этого </w:t>
      </w:r>
      <w:r w:rsidR="00A666A3">
        <w:t>подраздела</w:t>
      </w:r>
      <w:r>
        <w:t>.</w:t>
      </w:r>
    </w:p>
    <w:p w:rsidR="005F333D" w:rsidRPr="00B122EA" w:rsidRDefault="009C525A" w:rsidP="004B0469">
      <w:r>
        <w:t>Выполняя оценку программ денежных переводов, следует учесть потенциальное косвенное воздействие на местную экономику.</w:t>
      </w:r>
      <w:r w:rsidR="006A7984">
        <w:t xml:space="preserve">  </w:t>
      </w:r>
      <w:r>
        <w:t>Анализ мультипликационного эффекта выводит оценку за пределы воздействия на бенефициаров, так как будет необходимо учесть и воздействие на других местных субъектов.</w:t>
      </w:r>
      <w:r w:rsidR="006A7984">
        <w:t xml:space="preserve">  </w:t>
      </w:r>
      <w:r>
        <w:t xml:space="preserve">Среди инструментов этого </w:t>
      </w:r>
      <w:r w:rsidR="00A666A3">
        <w:t>подраздела</w:t>
      </w:r>
      <w:r>
        <w:t xml:space="preserve"> вы найдёте пошаговое руководство и инструменты для проведения оценки мультипликационного воздействия на местную экономику.</w:t>
      </w:r>
    </w:p>
    <w:p w:rsidR="005F333D" w:rsidRPr="00B122EA" w:rsidRDefault="000B39D3" w:rsidP="009015B0">
      <w:pPr>
        <w:pStyle w:val="3"/>
      </w:pPr>
      <w:r>
        <w:t>Подготовка технического задания (ТЗ)</w:t>
      </w:r>
    </w:p>
    <w:p w:rsidR="005F333D" w:rsidRPr="00B122EA" w:rsidRDefault="000B39D3" w:rsidP="004B0469">
      <w:r>
        <w:t>В технических заданиях должны быть чётко определены цель и охват оценки, представлено подробное руководство по проведению оценки, объяснено, какие результаты ожидаются, и кому о них следует доложить.</w:t>
      </w:r>
    </w:p>
    <w:p w:rsidR="005F333D" w:rsidRPr="00B122EA" w:rsidRDefault="000B39D3" w:rsidP="004B0469">
      <w:r>
        <w:t xml:space="preserve">Вы найдёте бланк ТЗ в инструментах этого </w:t>
      </w:r>
      <w:r w:rsidR="00A666A3">
        <w:t>подраздела</w:t>
      </w:r>
      <w:r>
        <w:t>.</w:t>
      </w:r>
      <w:r w:rsidR="006A7984">
        <w:t xml:space="preserve">  </w:t>
      </w:r>
      <w:r>
        <w:t>Кроме того, вы найдёте контрольный список, по которому вы сможете проверить, учли ли вы все ключевые аспекты при разработке ТЗ.</w:t>
      </w:r>
    </w:p>
    <w:p w:rsidR="005F333D" w:rsidRPr="00B122EA" w:rsidRDefault="000B39D3" w:rsidP="009015B0">
      <w:pPr>
        <w:pStyle w:val="3"/>
      </w:pPr>
      <w:r>
        <w:t>Подробные отчёты</w:t>
      </w:r>
    </w:p>
    <w:p w:rsidR="005F333D" w:rsidRPr="00B122EA" w:rsidRDefault="000B39D3" w:rsidP="004B0469">
      <w:pPr>
        <w:spacing w:after="360"/>
      </w:pPr>
      <w:r>
        <w:t>Отчёты об оценке должны быть ясными, с минимальным использованием технического языка, должны включать следующие элементы:  резюме проекта, профиль оцениваемых мероприятий, описание использованных методов оценки, основные результаты, извлечённые уроки, выводы и рекомендации.</w:t>
      </w:r>
      <w:r w:rsidR="006A7984">
        <w:t xml:space="preserve">  </w:t>
      </w:r>
      <w:r>
        <w:t xml:space="preserve">Среди инструментов этого </w:t>
      </w:r>
      <w:r w:rsidR="00A666A3">
        <w:t>подраздела</w:t>
      </w:r>
      <w:r>
        <w:t xml:space="preserve"> вы найдёте бланк отчёта об оценке, а также шаблоны для конкретных случаев.</w:t>
      </w:r>
    </w:p>
    <w:tbl>
      <w:tblPr>
        <w:tblStyle w:val="TableGray"/>
        <w:tblW w:w="0" w:type="auto"/>
        <w:tblLook w:val="04A0"/>
      </w:tblPr>
      <w:tblGrid>
        <w:gridCol w:w="9848"/>
      </w:tblGrid>
      <w:tr w:rsidR="00474FD4" w:rsidTr="00474FD4">
        <w:tc>
          <w:tcPr>
            <w:tcW w:w="9848" w:type="dxa"/>
          </w:tcPr>
          <w:p w:rsidR="00474FD4" w:rsidRPr="00B122EA" w:rsidRDefault="00474FD4" w:rsidP="00474FD4">
            <w:pPr>
              <w:pStyle w:val="RefTitre"/>
            </w:pPr>
            <w:r>
              <w:lastRenderedPageBreak/>
              <w:t>СПРАВОЧНЫЕ ДОКУМЕНТЫ</w:t>
            </w:r>
          </w:p>
          <w:p w:rsidR="00474FD4" w:rsidRPr="00F361CA" w:rsidRDefault="00474FD4" w:rsidP="00474FD4">
            <w:pPr>
              <w:pStyle w:val="RefItem1"/>
              <w:rPr>
                <w:rStyle w:val="af1"/>
                <w:rFonts w:ascii="Calibri" w:eastAsia="Times New Roman" w:hAnsi="Calibri"/>
                <w:sz w:val="22"/>
                <w:szCs w:val="22"/>
              </w:rPr>
            </w:pPr>
            <w:r>
              <w:t>Оценка гуманитарных действий с использованием критериев ОЭСР-Комитета помощи в целях развития / Evaluating humanitarian action using the OECD-DAC criteria.</w:t>
            </w:r>
            <w:r w:rsidR="006A7984">
              <w:t xml:space="preserve"> </w:t>
            </w:r>
            <w:r>
              <w:t xml:space="preserve">ALNAP </w:t>
            </w:r>
            <w:hyperlink r:id="rId7" w:history="1">
              <w:r>
                <w:rPr>
                  <w:rStyle w:val="af1"/>
                  <w:rFonts w:ascii="Calibri" w:hAnsi="Calibri"/>
                  <w:sz w:val="22"/>
                  <w:szCs w:val="22"/>
                </w:rPr>
                <w:t>http://www.alnap.org/resource/5253</w:t>
              </w:r>
            </w:hyperlink>
          </w:p>
          <w:p w:rsidR="009C525A" w:rsidRDefault="009C525A" w:rsidP="00474FD4">
            <w:pPr>
              <w:pStyle w:val="RefItem1"/>
            </w:pPr>
            <w:r>
              <w:t>МФОККиКП (2011) Руководство по мониторингу и оценке проектов/программ  /  Project/programme monitoring and evaluation (M&amp;E) guide</w:t>
            </w:r>
          </w:p>
        </w:tc>
      </w:tr>
    </w:tbl>
    <w:p w:rsidR="005F333D" w:rsidRPr="00073E17" w:rsidRDefault="005F333D" w:rsidP="005F333D">
      <w:pPr>
        <w:rPr>
          <w:sz w:val="22"/>
          <w:szCs w:val="22"/>
        </w:rPr>
      </w:pPr>
    </w:p>
    <w:sectPr w:rsidR="005F333D" w:rsidRPr="00073E17" w:rsidSect="00474FD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938" w:rsidRDefault="007D0938" w:rsidP="005F333D">
      <w:r>
        <w:separator/>
      </w:r>
    </w:p>
  </w:endnote>
  <w:endnote w:type="continuationSeparator" w:id="1">
    <w:p w:rsidR="007D0938" w:rsidRDefault="007D0938" w:rsidP="005F3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33" w:rsidRPr="00B45C74" w:rsidRDefault="00690C9D" w:rsidP="00E95A33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E95A33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A666A3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E95A33" w:rsidRPr="003A3500" w:rsidRDefault="00E95A33" w:rsidP="00E95A33">
    <w:pPr>
      <w:pStyle w:val="af"/>
    </w:pPr>
    <w:r>
      <w:rPr>
        <w:b/>
      </w:rPr>
      <w:t>Модуль 5.</w:t>
    </w:r>
    <w:r w:rsidR="00A666A3">
      <w:t xml:space="preserve"> Раздел</w:t>
    </w:r>
    <w:r>
      <w:t xml:space="preserve"> 4.Дорожная карта для оценки ПДП</w:t>
    </w:r>
    <w:fldSimple w:instr=" STYLEREF  H1 \t  \* MERGEFORMAT ">
      <w:r w:rsidR="00A666A3" w:rsidRPr="00A666A3">
        <w:rPr>
          <w:i/>
          <w:noProof/>
        </w:rPr>
        <w:t>Дорожная карта для оценки программы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33" w:rsidRPr="00B45C74" w:rsidRDefault="00690C9D" w:rsidP="00E95A33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E95A33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A666A3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E95A33" w:rsidRPr="00474FD4" w:rsidRDefault="00E95A33" w:rsidP="00E95A33">
    <w:pPr>
      <w:pStyle w:val="af"/>
    </w:pPr>
    <w:r>
      <w:rPr>
        <w:b/>
      </w:rPr>
      <w:t>Модуль 5.</w:t>
    </w:r>
    <w:r w:rsidR="00A666A3">
      <w:t xml:space="preserve"> Раздел</w:t>
    </w:r>
    <w:r>
      <w:t xml:space="preserve"> 4. </w:t>
    </w:r>
    <w:fldSimple w:instr=" STYLEREF  H1 \t  \* MERGEFORMAT ">
      <w:r w:rsidR="00A666A3" w:rsidRPr="00A666A3">
        <w:rPr>
          <w:bCs/>
          <w:noProof/>
        </w:rPr>
        <w:t>Дорожная карта для оценки</w:t>
      </w:r>
      <w:r w:rsidR="00A666A3">
        <w:rPr>
          <w:noProof/>
        </w:rPr>
        <w:t xml:space="preserve"> программы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938" w:rsidRDefault="007D0938" w:rsidP="00B719EB">
      <w:pPr>
        <w:spacing w:after="0"/>
      </w:pPr>
      <w:r>
        <w:separator/>
      </w:r>
    </w:p>
  </w:footnote>
  <w:footnote w:type="continuationSeparator" w:id="1">
    <w:p w:rsidR="007D0938" w:rsidRDefault="007D0938" w:rsidP="005F333D">
      <w:r>
        <w:continuationSeparator/>
      </w:r>
    </w:p>
  </w:footnote>
  <w:footnote w:id="2">
    <w:p w:rsidR="00E95A33" w:rsidRPr="005145BC" w:rsidRDefault="00E95A33" w:rsidP="00E95A33">
      <w:pPr>
        <w:rPr>
          <w:rFonts w:eastAsia="Times New Roman" w:cs="Arial"/>
          <w:sz w:val="16"/>
          <w:szCs w:val="16"/>
        </w:rPr>
      </w:pPr>
      <w:r>
        <w:rPr>
          <w:rStyle w:val="ac"/>
          <w:rFonts w:cs="Arial"/>
          <w:sz w:val="16"/>
          <w:szCs w:val="16"/>
        </w:rPr>
        <w:footnoteRef/>
      </w:r>
      <w:r>
        <w:rPr>
          <w:sz w:val="16"/>
          <w:szCs w:val="16"/>
        </w:rPr>
        <w:t>МФОККиКП (2011) Руководство по мониторингу и оценке проектов/программ  /  IFRC (2011) Project/programme monitoring and evaluation (M&amp;E) guide</w:t>
      </w:r>
    </w:p>
  </w:footnote>
  <w:footnote w:id="3">
    <w:p w:rsidR="00E95A33" w:rsidRPr="00B719EB" w:rsidRDefault="00E95A33" w:rsidP="00B719EB">
      <w:pPr>
        <w:pStyle w:val="aa"/>
        <w:rPr>
          <w:rFonts w:cs="Arial"/>
          <w:szCs w:val="16"/>
        </w:rPr>
      </w:pPr>
      <w:r>
        <w:rPr>
          <w:rStyle w:val="ac"/>
          <w:rFonts w:cs="Arial"/>
          <w:szCs w:val="16"/>
        </w:rPr>
        <w:footnoteRef/>
      </w:r>
      <w:r>
        <w:t xml:space="preserve"> ПРООН.</w:t>
      </w:r>
      <w:r w:rsidR="006A7984">
        <w:t xml:space="preserve">  </w:t>
      </w:r>
      <w:r>
        <w:t>Руководство по планированию, мониторингу и оценке для результатов развития / Handbook on Planning, Monitoring and Evaluating for Development Results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33" w:rsidRPr="00074036" w:rsidRDefault="00E95A33" w:rsidP="00E95A33">
    <w:pPr>
      <w:pStyle w:val="ad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710FB5">
      <w:rPr>
        <w:rStyle w:val="Pantone485"/>
      </w:rPr>
      <w:t xml:space="preserve"> </w:t>
    </w:r>
    <w:r>
      <w:rPr>
        <w:rStyle w:val="af7"/>
        <w:bCs/>
        <w:szCs w:val="16"/>
      </w:rPr>
      <w:t>I</w:t>
    </w:r>
    <w:r w:rsidR="00710FB5">
      <w:rPr>
        <w:rStyle w:val="af7"/>
        <w:bCs/>
        <w:szCs w:val="16"/>
      </w:rPr>
      <w:t xml:space="preserve"> </w:t>
    </w:r>
    <w:r>
      <w:rPr>
        <w:szCs w:val="16"/>
      </w:rPr>
      <w:t>Денежные переводы при чрезвычайных ситуациях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33" w:rsidRDefault="00E95A33" w:rsidP="00E95A33">
    <w:pPr>
      <w:pStyle w:val="Header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1080135</wp:posOffset>
          </wp:positionH>
          <wp:positionV relativeFrom="page">
            <wp:posOffset>377825</wp:posOffset>
          </wp:positionV>
          <wp:extent cx="633730" cy="719512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" cy="719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5A33" w:rsidRDefault="00E95A33" w:rsidP="00E95A33">
    <w:pPr>
      <w:pStyle w:val="Header1"/>
    </w:pPr>
  </w:p>
  <w:p w:rsidR="00E95A33" w:rsidRDefault="00E95A33" w:rsidP="00E95A33">
    <w:pPr>
      <w:pStyle w:val="ad"/>
      <w:rPr>
        <w:color w:val="DC281E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3366135</wp:posOffset>
          </wp:positionH>
          <wp:positionV relativeFrom="page">
            <wp:posOffset>784225</wp:posOffset>
          </wp:positionV>
          <wp:extent cx="3200400" cy="299867"/>
          <wp:effectExtent l="0" t="0" r="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299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5A33" w:rsidRDefault="00E95A33" w:rsidP="00E95A33">
    <w:pPr>
      <w:pStyle w:val="ad"/>
      <w:spacing w:line="240" w:lineRule="auto"/>
      <w:rPr>
        <w:b/>
        <w:color w:val="DC281E"/>
        <w:sz w:val="24"/>
        <w:szCs w:val="24"/>
      </w:rPr>
    </w:pPr>
  </w:p>
  <w:p w:rsidR="00E95A33" w:rsidRDefault="00E95A33" w:rsidP="00E95A33">
    <w:pPr>
      <w:pStyle w:val="ad"/>
      <w:spacing w:line="240" w:lineRule="auto"/>
      <w:rPr>
        <w:b/>
        <w:color w:val="DC281E"/>
        <w:sz w:val="24"/>
        <w:szCs w:val="24"/>
      </w:rPr>
    </w:pPr>
  </w:p>
  <w:p w:rsidR="00E95A33" w:rsidRPr="00474FD4" w:rsidRDefault="00A666A3" w:rsidP="00E95A33">
    <w:pPr>
      <w:pStyle w:val="Header1"/>
      <w:rPr>
        <w:rFonts w:ascii="Arial Bold" w:hAnsi="Arial Bold"/>
        <w:color w:val="DC281E"/>
      </w:rPr>
    </w:pPr>
    <w:r>
      <w:rPr>
        <w:rFonts w:ascii="Arial Bold" w:hAnsi="Arial Bold"/>
        <w:color w:val="DC281E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B54"/>
    <w:multiLevelType w:val="hybridMultilevel"/>
    <w:tmpl w:val="3DA09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2202E"/>
    <w:multiLevelType w:val="hybridMultilevel"/>
    <w:tmpl w:val="9F087486"/>
    <w:lvl w:ilvl="0" w:tplc="FFCE2EEA">
      <w:start w:val="1"/>
      <w:numFmt w:val="bullet"/>
      <w:lvlText w:val=""/>
      <w:lvlJc w:val="left"/>
      <w:pPr>
        <w:ind w:left="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">
    <w:nsid w:val="45E10361"/>
    <w:multiLevelType w:val="hybridMultilevel"/>
    <w:tmpl w:val="C2E4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1278FB"/>
    <w:multiLevelType w:val="multilevel"/>
    <w:tmpl w:val="0A0E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E06E8"/>
    <w:multiLevelType w:val="hybridMultilevel"/>
    <w:tmpl w:val="A742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C358E5"/>
    <w:multiLevelType w:val="multilevel"/>
    <w:tmpl w:val="0926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404AF2"/>
    <w:multiLevelType w:val="multilevel"/>
    <w:tmpl w:val="C5C8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85F45"/>
    <w:multiLevelType w:val="multilevel"/>
    <w:tmpl w:val="5F82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C61B75"/>
    <w:multiLevelType w:val="multilevel"/>
    <w:tmpl w:val="016A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  <w:num w:numId="12">
    <w:abstractNumId w:val="7"/>
  </w:num>
  <w:num w:numId="13">
    <w:abstractNumId w:val="12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linkStyl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5844"/>
    <w:rsid w:val="00031578"/>
    <w:rsid w:val="000B39D3"/>
    <w:rsid w:val="001512AE"/>
    <w:rsid w:val="001A3A22"/>
    <w:rsid w:val="001D3874"/>
    <w:rsid w:val="001F37D6"/>
    <w:rsid w:val="002572B7"/>
    <w:rsid w:val="00261BCE"/>
    <w:rsid w:val="002839D9"/>
    <w:rsid w:val="00303C2E"/>
    <w:rsid w:val="00331673"/>
    <w:rsid w:val="00353131"/>
    <w:rsid w:val="003F370B"/>
    <w:rsid w:val="00400CDB"/>
    <w:rsid w:val="004157EC"/>
    <w:rsid w:val="00474FD4"/>
    <w:rsid w:val="00477DFE"/>
    <w:rsid w:val="004B0469"/>
    <w:rsid w:val="004C4824"/>
    <w:rsid w:val="004D0D98"/>
    <w:rsid w:val="004E7185"/>
    <w:rsid w:val="005F333D"/>
    <w:rsid w:val="00626258"/>
    <w:rsid w:val="00632AA1"/>
    <w:rsid w:val="00643D5E"/>
    <w:rsid w:val="00653DA1"/>
    <w:rsid w:val="00690C9D"/>
    <w:rsid w:val="006924B8"/>
    <w:rsid w:val="006A7984"/>
    <w:rsid w:val="00710FB5"/>
    <w:rsid w:val="00770DAF"/>
    <w:rsid w:val="007B74DA"/>
    <w:rsid w:val="007D0938"/>
    <w:rsid w:val="007E447F"/>
    <w:rsid w:val="007F31E8"/>
    <w:rsid w:val="008A2E84"/>
    <w:rsid w:val="008B0A16"/>
    <w:rsid w:val="008F3426"/>
    <w:rsid w:val="009015B0"/>
    <w:rsid w:val="00912D4D"/>
    <w:rsid w:val="009B3BC4"/>
    <w:rsid w:val="009C525A"/>
    <w:rsid w:val="00A666A3"/>
    <w:rsid w:val="00AF0551"/>
    <w:rsid w:val="00B122EA"/>
    <w:rsid w:val="00B719EB"/>
    <w:rsid w:val="00B820BA"/>
    <w:rsid w:val="00BE5F6A"/>
    <w:rsid w:val="00C01636"/>
    <w:rsid w:val="00C51F60"/>
    <w:rsid w:val="00CB2C56"/>
    <w:rsid w:val="00D46B58"/>
    <w:rsid w:val="00D54A05"/>
    <w:rsid w:val="00DB0B54"/>
    <w:rsid w:val="00DD5844"/>
    <w:rsid w:val="00E95A33"/>
    <w:rsid w:val="00F02158"/>
    <w:rsid w:val="00F361CA"/>
    <w:rsid w:val="00F5312F"/>
    <w:rsid w:val="00F73653"/>
    <w:rsid w:val="00FA3C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="ArialMT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24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4C4824"/>
  </w:style>
  <w:style w:type="paragraph" w:styleId="2">
    <w:name w:val="heading 2"/>
    <w:basedOn w:val="a"/>
    <w:next w:val="a"/>
    <w:link w:val="20"/>
    <w:uiPriority w:val="9"/>
    <w:unhideWhenUsed/>
    <w:qFormat/>
    <w:rsid w:val="004C4824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4C4824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82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824"/>
    <w:rPr>
      <w:rFonts w:ascii="Lucida Grande" w:hAnsi="Lucida Grande" w:cs="Lucida Grande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C4824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7">
    <w:name w:val="Table Grid"/>
    <w:basedOn w:val="a1"/>
    <w:uiPriority w:val="59"/>
    <w:rsid w:val="004C4824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F35D1"/>
    <w:pPr>
      <w:spacing w:before="100" w:beforeAutospacing="1" w:after="100" w:afterAutospacing="1"/>
    </w:pPr>
    <w:rPr>
      <w:rFonts w:ascii="Times" w:hAnsi="Times"/>
    </w:rPr>
  </w:style>
  <w:style w:type="character" w:styleId="a9">
    <w:name w:val="Strong"/>
    <w:basedOn w:val="a0"/>
    <w:uiPriority w:val="22"/>
    <w:qFormat/>
    <w:rsid w:val="0052540E"/>
    <w:rPr>
      <w:b/>
      <w:bCs/>
    </w:rPr>
  </w:style>
  <w:style w:type="character" w:customStyle="1" w:styleId="apple-converted-space">
    <w:name w:val="apple-converted-space"/>
    <w:basedOn w:val="a0"/>
    <w:rsid w:val="0052540E"/>
  </w:style>
  <w:style w:type="paragraph" w:styleId="aa">
    <w:name w:val="footnote text"/>
    <w:basedOn w:val="a"/>
    <w:link w:val="ab"/>
    <w:uiPriority w:val="99"/>
    <w:unhideWhenUsed/>
    <w:rsid w:val="004C4824"/>
    <w:pPr>
      <w:spacing w:after="0"/>
    </w:pPr>
    <w:rPr>
      <w:sz w:val="16"/>
      <w:szCs w:val="22"/>
    </w:rPr>
  </w:style>
  <w:style w:type="character" w:customStyle="1" w:styleId="ab">
    <w:name w:val="Текст сноски Знак"/>
    <w:basedOn w:val="a0"/>
    <w:link w:val="aa"/>
    <w:uiPriority w:val="99"/>
    <w:rsid w:val="004C4824"/>
    <w:rPr>
      <w:rFonts w:ascii="Arial" w:hAnsi="Arial" w:cs="Times New Roman"/>
      <w:sz w:val="16"/>
      <w:szCs w:val="22"/>
    </w:rPr>
  </w:style>
  <w:style w:type="character" w:styleId="ac">
    <w:name w:val="footnote reference"/>
    <w:basedOn w:val="a0"/>
    <w:uiPriority w:val="99"/>
    <w:unhideWhenUsed/>
    <w:rsid w:val="004C482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C4824"/>
    <w:rPr>
      <w:rFonts w:ascii="Arial" w:hAnsi="Arial" w:cs="Times New Roman"/>
      <w:b/>
      <w:sz w:val="40"/>
      <w:szCs w:val="52"/>
    </w:rPr>
  </w:style>
  <w:style w:type="character" w:customStyle="1" w:styleId="a6">
    <w:name w:val="Абзац списка Знак"/>
    <w:basedOn w:val="a0"/>
    <w:link w:val="a5"/>
    <w:uiPriority w:val="34"/>
    <w:rsid w:val="004C4824"/>
    <w:rPr>
      <w:rFonts w:ascii="Arial" w:eastAsiaTheme="minorHAnsi" w:hAnsi="Arial" w:cstheme="minorBidi"/>
      <w:szCs w:val="22"/>
    </w:rPr>
  </w:style>
  <w:style w:type="paragraph" w:styleId="ad">
    <w:name w:val="header"/>
    <w:basedOn w:val="a"/>
    <w:link w:val="ae"/>
    <w:uiPriority w:val="99"/>
    <w:unhideWhenUsed/>
    <w:rsid w:val="004C4824"/>
    <w:pPr>
      <w:spacing w:after="0" w:line="288" w:lineRule="auto"/>
      <w:jc w:val="left"/>
    </w:pPr>
    <w:rPr>
      <w:sz w:val="16"/>
    </w:rPr>
  </w:style>
  <w:style w:type="character" w:customStyle="1" w:styleId="ae">
    <w:name w:val="Верхний колонтитул Знак"/>
    <w:basedOn w:val="a0"/>
    <w:link w:val="ad"/>
    <w:uiPriority w:val="99"/>
    <w:rsid w:val="004C4824"/>
    <w:rPr>
      <w:rFonts w:ascii="Arial" w:hAnsi="Arial" w:cs="Times New Roman"/>
      <w:sz w:val="16"/>
    </w:rPr>
  </w:style>
  <w:style w:type="paragraph" w:styleId="af">
    <w:name w:val="footer"/>
    <w:basedOn w:val="a"/>
    <w:link w:val="af0"/>
    <w:uiPriority w:val="99"/>
    <w:unhideWhenUsed/>
    <w:rsid w:val="004C4824"/>
    <w:pPr>
      <w:spacing w:after="0"/>
      <w:jc w:val="left"/>
    </w:pPr>
    <w:rPr>
      <w:sz w:val="16"/>
      <w:szCs w:val="18"/>
    </w:rPr>
  </w:style>
  <w:style w:type="character" w:customStyle="1" w:styleId="af0">
    <w:name w:val="Нижний колонтитул Знак"/>
    <w:basedOn w:val="a0"/>
    <w:link w:val="af"/>
    <w:uiPriority w:val="99"/>
    <w:rsid w:val="004C4824"/>
    <w:rPr>
      <w:rFonts w:ascii="Arial" w:hAnsi="Arial" w:cs="Times New Roman"/>
      <w:sz w:val="16"/>
      <w:szCs w:val="18"/>
    </w:rPr>
  </w:style>
  <w:style w:type="character" w:styleId="af1">
    <w:name w:val="Hyperlink"/>
    <w:basedOn w:val="a0"/>
    <w:uiPriority w:val="99"/>
    <w:unhideWhenUsed/>
    <w:rsid w:val="004C482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C4824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C4824"/>
    <w:rPr>
      <w:rFonts w:ascii="Arial" w:hAnsi="Arial" w:cs="Times New Roman"/>
      <w:b/>
      <w:sz w:val="22"/>
      <w:szCs w:val="24"/>
    </w:rPr>
  </w:style>
  <w:style w:type="paragraph" w:customStyle="1" w:styleId="Default">
    <w:name w:val="Default"/>
    <w:rsid w:val="004C482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4C482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FD4"/>
  </w:style>
  <w:style w:type="character" w:customStyle="1" w:styleId="af4">
    <w:name w:val="Текст примечания Знак"/>
    <w:basedOn w:val="a0"/>
    <w:link w:val="af3"/>
    <w:uiPriority w:val="99"/>
    <w:semiHidden/>
    <w:rsid w:val="00474FD4"/>
    <w:rPr>
      <w:rFonts w:ascii="Arial" w:hAnsi="Arial" w:cs="Times New Roman"/>
    </w:rPr>
  </w:style>
  <w:style w:type="paragraph" w:styleId="af5">
    <w:name w:val="annotation subject"/>
    <w:basedOn w:val="a"/>
    <w:link w:val="af6"/>
    <w:uiPriority w:val="99"/>
    <w:semiHidden/>
    <w:unhideWhenUsed/>
    <w:rsid w:val="004C4824"/>
    <w:rPr>
      <w:b/>
      <w:bCs/>
    </w:rPr>
  </w:style>
  <w:style w:type="character" w:customStyle="1" w:styleId="af6">
    <w:name w:val="Тема примечания Знак"/>
    <w:basedOn w:val="a0"/>
    <w:link w:val="af5"/>
    <w:uiPriority w:val="99"/>
    <w:semiHidden/>
    <w:rsid w:val="004C4824"/>
    <w:rPr>
      <w:rFonts w:ascii="Arial" w:hAnsi="Arial" w:cs="Times New Roman"/>
      <w:b/>
      <w:bCs/>
    </w:rPr>
  </w:style>
  <w:style w:type="character" w:styleId="af7">
    <w:name w:val="page number"/>
    <w:basedOn w:val="a0"/>
    <w:uiPriority w:val="99"/>
    <w:unhideWhenUsed/>
    <w:rsid w:val="004C4824"/>
    <w:rPr>
      <w:b/>
    </w:rPr>
  </w:style>
  <w:style w:type="character" w:styleId="af8">
    <w:name w:val="FollowedHyperlink"/>
    <w:basedOn w:val="a0"/>
    <w:uiPriority w:val="99"/>
    <w:semiHidden/>
    <w:unhideWhenUsed/>
    <w:rsid w:val="004C4824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4C4824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4C4824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4C4824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4C4824"/>
    <w:pPr>
      <w:numPr>
        <w:numId w:val="11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4C4824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4C4824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d"/>
    <w:rsid w:val="004C4824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4C4824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4C4824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4C4824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5"/>
    <w:rsid w:val="004C4824"/>
    <w:pPr>
      <w:numPr>
        <w:numId w:val="12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4C4824"/>
    <w:pPr>
      <w:numPr>
        <w:ilvl w:val="1"/>
        <w:numId w:val="9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4C4824"/>
    <w:pPr>
      <w:numPr>
        <w:numId w:val="10"/>
      </w:numPr>
    </w:pPr>
    <w:rPr>
      <w:rFonts w:eastAsia="MS Mincho"/>
      <w:b/>
      <w:sz w:val="22"/>
    </w:rPr>
  </w:style>
  <w:style w:type="paragraph" w:customStyle="1" w:styleId="Bullet3">
    <w:name w:val="Bullet 3"/>
    <w:basedOn w:val="a5"/>
    <w:qFormat/>
    <w:rsid w:val="004C4824"/>
    <w:pPr>
      <w:numPr>
        <w:numId w:val="13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4C4824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4C4824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4C4824"/>
    <w:pPr>
      <w:keepNext/>
      <w:keepLines/>
      <w:framePr w:hSpace="141" w:wrap="around" w:vAnchor="text" w:hAnchor="margin" w:y="402"/>
      <w:numPr>
        <w:numId w:val="14"/>
      </w:numPr>
      <w:spacing w:beforeLines="60" w:afterLines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7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nap.org/resource/525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20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User</cp:lastModifiedBy>
  <cp:revision>8</cp:revision>
  <cp:lastPrinted>2015-10-13T19:09:00Z</cp:lastPrinted>
  <dcterms:created xsi:type="dcterms:W3CDTF">2016-08-03T14:13:00Z</dcterms:created>
  <dcterms:modified xsi:type="dcterms:W3CDTF">2017-04-20T12:10:00Z</dcterms:modified>
</cp:coreProperties>
</file>