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0C5F" w14:textId="660469BD" w:rsidR="00C95FA8" w:rsidRDefault="00164DF1">
      <w:pPr>
        <w:pStyle w:val="Heading2"/>
        <w:keepLines w:val="0"/>
        <w:tabs>
          <w:tab w:val="left" w:pos="510"/>
          <w:tab w:val="left" w:pos="680"/>
          <w:tab w:val="left" w:pos="851"/>
          <w:tab w:val="left" w:pos="1021"/>
        </w:tabs>
        <w:spacing w:before="300" w:after="140" w:line="240" w:lineRule="auto"/>
        <w:rPr>
          <w:color w:val="FF0000"/>
          <w:sz w:val="28"/>
          <w:szCs w:val="28"/>
        </w:rPr>
      </w:pPr>
      <w:r w:rsidRPr="00164DF1">
        <w:rPr>
          <w:color w:val="FF0000"/>
          <w:sz w:val="28"/>
        </w:rPr>
        <w:t>Répartition des coûts</w:t>
      </w:r>
    </w:p>
    <w:p w14:paraId="08B60C60" w14:textId="525971A5" w:rsidR="00C95FA8" w:rsidRDefault="003F7294">
      <w:pPr>
        <w:tabs>
          <w:tab w:val="left" w:pos="340"/>
        </w:tabs>
        <w:spacing w:after="140" w:line="240" w:lineRule="auto"/>
      </w:pPr>
      <w:r>
        <w:t xml:space="preserve">L'objectif de cette section est de </w:t>
      </w:r>
      <w:r w:rsidR="001959D7" w:rsidRPr="001959D7">
        <w:t>donner au</w:t>
      </w:r>
      <w:r w:rsidR="00324513">
        <w:t>x</w:t>
      </w:r>
      <w:r w:rsidR="001959D7" w:rsidRPr="001959D7">
        <w:t xml:space="preserve"> SN une idée du coût</w:t>
      </w:r>
      <w:r>
        <w:t xml:space="preserve"> de l'utilisation de RedRose. Ces coûts sont divisés en coûts de mise en œuvre (coûts uniques d'installation et de formation pour la mise en œuvre initiale) et en coûts permanents/de fonctionnement (coûts permanents par programme de trésorerie).</w:t>
      </w:r>
    </w:p>
    <w:p w14:paraId="08B60C61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62" w14:textId="77777777" w:rsidR="00C95FA8" w:rsidRDefault="003F7294">
      <w:pPr>
        <w:tabs>
          <w:tab w:val="left" w:pos="340"/>
        </w:tabs>
        <w:spacing w:after="140" w:line="240" w:lineRule="auto"/>
        <w:rPr>
          <w:b/>
        </w:rPr>
      </w:pPr>
      <w:r>
        <w:rPr>
          <w:b/>
        </w:rPr>
        <w:t>Coût initial de mise en place</w:t>
      </w:r>
    </w:p>
    <w:p w14:paraId="08B60C63" w14:textId="77777777" w:rsidR="00C95FA8" w:rsidRDefault="003F7294">
      <w:pPr>
        <w:tabs>
          <w:tab w:val="left" w:pos="340"/>
        </w:tabs>
        <w:spacing w:after="140" w:line="240" w:lineRule="auto"/>
      </w:pPr>
      <w:r>
        <w:t>Voici les principaux facteurs à prendre en compte lors du calcul du coût de la mise en place initiale :</w:t>
      </w:r>
    </w:p>
    <w:p w14:paraId="08B60C64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65" w14:textId="77777777" w:rsidR="00C95FA8" w:rsidRDefault="00C95FA8">
      <w:pPr>
        <w:tabs>
          <w:tab w:val="left" w:pos="340"/>
        </w:tabs>
        <w:spacing w:after="140"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95FA8" w14:paraId="08B60C69" w14:textId="77777777"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6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Facteur de coût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7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8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Commentaires</w:t>
            </w:r>
          </w:p>
        </w:tc>
      </w:tr>
      <w:tr w:rsidR="00C95FA8" w14:paraId="08B60C6D" w14:textId="77777777"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A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Frais de service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B" w14:textId="77777777" w:rsidR="00C95FA8" w:rsidRDefault="003F7294">
            <w:pPr>
              <w:widowControl w:val="0"/>
              <w:spacing w:line="240" w:lineRule="auto"/>
            </w:pPr>
            <w:r>
              <w:t>La tarification est basée sur un modèle de paiement à l'utilisation</w:t>
            </w:r>
          </w:p>
        </w:tc>
        <w:tc>
          <w:tcPr>
            <w:tcW w:w="31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C" w14:textId="77777777" w:rsidR="00C95FA8" w:rsidRDefault="00C9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FA8" w14:paraId="08B60C7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E" w14:textId="4C6995B1" w:rsidR="00C95FA8" w:rsidRDefault="0076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637C1">
              <w:t>Distribution en espèces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6F" w14:textId="28C00F0C" w:rsidR="00C95FA8" w:rsidRDefault="003F7294" w:rsidP="004C5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tarification est basée sur le </w:t>
            </w:r>
            <w:r w:rsidR="004C56EB">
              <w:t>pourcentage</w:t>
            </w:r>
            <w:r>
              <w:t xml:space="preserve"> du total des transferts monétaires </w:t>
            </w:r>
            <w:r>
              <w:rPr>
                <w:i/>
              </w:rPr>
              <w:t xml:space="preserve">effectivement </w:t>
            </w:r>
            <w:r>
              <w:t xml:space="preserve">versés. Pas </w:t>
            </w:r>
            <w:r w:rsidR="004C56EB">
              <w:t xml:space="preserve">sur </w:t>
            </w:r>
            <w:r>
              <w:t>le montant prévu.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0" w14:textId="77777777" w:rsidR="00C95FA8" w:rsidRDefault="00C9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FA8" w14:paraId="08B60C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2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Distribution en nature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3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tarification est basée sur des niveaux de volume de transactions.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4" w14:textId="77777777" w:rsidR="00C95FA8" w:rsidRDefault="00C9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FA8" w14:paraId="08B60C79" w14:textId="77777777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6" w14:textId="77777777" w:rsidR="00C95FA8" w:rsidRDefault="003F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Matériel informatique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7" w14:textId="77777777" w:rsidR="00C95FA8" w:rsidRDefault="00C9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8" w14:textId="77777777" w:rsidR="00C95FA8" w:rsidRDefault="00C95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95FA8" w14:paraId="08B60C7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A" w14:textId="77777777" w:rsidR="00C95FA8" w:rsidRDefault="003F7294">
            <w:pPr>
              <w:widowControl w:val="0"/>
              <w:spacing w:line="240" w:lineRule="auto"/>
            </w:pPr>
            <w:r>
              <w:t>Téléphones portables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B" w14:textId="77777777" w:rsidR="00C95FA8" w:rsidRDefault="003F7294">
            <w:pPr>
              <w:widowControl w:val="0"/>
              <w:spacing w:line="240" w:lineRule="auto"/>
            </w:pPr>
            <w:r>
              <w:t>S'ils ne sont utilisés que pour l'enregistrement de base des bénéficiaires et la lecture des codes-barres, utilisez la version Android v.1.0 au minimum.</w:t>
            </w:r>
          </w:p>
          <w:p w14:paraId="08B60C7C" w14:textId="77777777" w:rsidR="00C95FA8" w:rsidRDefault="00C95FA8">
            <w:pPr>
              <w:widowControl w:val="0"/>
              <w:spacing w:line="240" w:lineRule="auto"/>
            </w:pPr>
          </w:p>
          <w:p w14:paraId="08B60C7D" w14:textId="77777777" w:rsidR="00C95FA8" w:rsidRDefault="003F7294">
            <w:pPr>
              <w:widowControl w:val="0"/>
              <w:spacing w:line="240" w:lineRule="auto"/>
            </w:pPr>
            <w:r>
              <w:t>Si vous utilisez des coupons électroniques ou des cartes à puce, vous devez avoir au moins la version 4.2.2 d'Android.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7E" w14:textId="5693417F" w:rsidR="00C95FA8" w:rsidRDefault="003F7294" w:rsidP="001A0AF9">
            <w:pPr>
              <w:widowControl w:val="0"/>
              <w:spacing w:line="240" w:lineRule="auto"/>
            </w:pPr>
            <w:r>
              <w:t xml:space="preserve">Peuvent être achetés à l'échelon local (pas via RedRose), mais </w:t>
            </w:r>
            <w:r w:rsidR="001A0AF9" w:rsidRPr="001A0AF9">
              <w:t xml:space="preserve">veuillez </w:t>
            </w:r>
            <w:r>
              <w:t xml:space="preserve"> vérifier les spécifications auprès de RedRose et tester l'appareil avant d'acheter en gros, car certains appareils peuvent présenter des différences </w:t>
            </w:r>
            <w:r w:rsidR="001A0AF9">
              <w:t xml:space="preserve">dans la </w:t>
            </w:r>
            <w:r>
              <w:t>configuration du système.</w:t>
            </w:r>
          </w:p>
        </w:tc>
      </w:tr>
      <w:tr w:rsidR="00C95FA8" w14:paraId="08B60C8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0" w14:textId="77777777" w:rsidR="00C95FA8" w:rsidRDefault="003F7294">
            <w:pPr>
              <w:widowControl w:val="0"/>
              <w:spacing w:line="240" w:lineRule="auto"/>
            </w:pPr>
            <w:r>
              <w:t>Cartes à puce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1" w14:textId="77777777" w:rsidR="00C95FA8" w:rsidRDefault="003F7294">
            <w:pPr>
              <w:widowControl w:val="0"/>
              <w:spacing w:line="240" w:lineRule="auto"/>
            </w:pPr>
            <w:r>
              <w:t xml:space="preserve">Peuvent être utilisées pour </w:t>
            </w:r>
            <w:r>
              <w:lastRenderedPageBreak/>
              <w:t>les programmes de coupons électroniques, ou si le programme doit être distribué plusieurs fois ou avec plusieurs produits ou actifs.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2" w14:textId="6A44875E" w:rsidR="00C95FA8" w:rsidRDefault="003F7294">
            <w:pPr>
              <w:widowControl w:val="0"/>
              <w:spacing w:line="240" w:lineRule="auto"/>
            </w:pPr>
            <w:r>
              <w:lastRenderedPageBreak/>
              <w:t xml:space="preserve">Si vous n'utilisez pas de carte </w:t>
            </w:r>
            <w:r>
              <w:lastRenderedPageBreak/>
              <w:t>à puce, vous avez comme alternative l'impression de coupons papier, laquelle est déjà incluse dans les frais de service. Ces coupons imprimés sont valables pour une distribution unique.</w:t>
            </w:r>
          </w:p>
        </w:tc>
      </w:tr>
      <w:tr w:rsidR="00C95FA8" w14:paraId="08B60C8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4" w14:textId="77777777" w:rsidR="00C95FA8" w:rsidRDefault="003F7294">
            <w:pPr>
              <w:widowControl w:val="0"/>
              <w:spacing w:line="240" w:lineRule="auto"/>
            </w:pPr>
            <w:r>
              <w:lastRenderedPageBreak/>
              <w:t>Imprimante portable et rouleaux de papier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5" w14:textId="77777777" w:rsidR="00C95FA8" w:rsidRDefault="003F7294">
            <w:pPr>
              <w:widowControl w:val="0"/>
              <w:spacing w:line="240" w:lineRule="auto"/>
            </w:pPr>
            <w:r>
              <w:t>Pour les programmes de coupons électroniques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6" w14:textId="77777777" w:rsidR="00C95FA8" w:rsidRDefault="00C95FA8">
            <w:pPr>
              <w:widowControl w:val="0"/>
              <w:spacing w:line="240" w:lineRule="auto"/>
            </w:pPr>
          </w:p>
        </w:tc>
      </w:tr>
      <w:tr w:rsidR="00C95FA8" w14:paraId="08B60C8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8" w14:textId="77777777" w:rsidR="00C95FA8" w:rsidRDefault="003F7294">
            <w:pPr>
              <w:widowControl w:val="0"/>
              <w:spacing w:line="240" w:lineRule="auto"/>
            </w:pPr>
            <w:r>
              <w:t>Scanners biométriques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9" w14:textId="77777777" w:rsidR="00C95FA8" w:rsidRDefault="003F7294">
            <w:pPr>
              <w:widowControl w:val="0"/>
              <w:spacing w:line="240" w:lineRule="auto"/>
            </w:pPr>
            <w:r>
              <w:t>Pour le scan et la vérification biométrique des empreintes digitales.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A" w14:textId="77777777" w:rsidR="00C95FA8" w:rsidRDefault="003F7294">
            <w:pPr>
              <w:widowControl w:val="0"/>
              <w:spacing w:line="240" w:lineRule="auto"/>
            </w:pPr>
            <w:r>
              <w:t>Veuillez consulter votre politique de protection des données et les réglementations locales concernant la collecte et le stockage des données biométriques.</w:t>
            </w:r>
          </w:p>
        </w:tc>
      </w:tr>
      <w:tr w:rsidR="00C95FA8" w14:paraId="08B60C8F" w14:textId="77777777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C" w14:textId="77777777" w:rsidR="00C95FA8" w:rsidRDefault="003F729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Personnalisation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D" w14:textId="77777777" w:rsidR="00C95FA8" w:rsidRDefault="00C95FA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8E" w14:textId="77777777" w:rsidR="00C95FA8" w:rsidRDefault="00C95FA8">
            <w:pPr>
              <w:widowControl w:val="0"/>
              <w:spacing w:line="240" w:lineRule="auto"/>
            </w:pPr>
          </w:p>
        </w:tc>
      </w:tr>
      <w:tr w:rsidR="00C95FA8" w14:paraId="08B60C9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0" w14:textId="77777777" w:rsidR="00C95FA8" w:rsidRDefault="003F7294">
            <w:pPr>
              <w:widowControl w:val="0"/>
              <w:spacing w:line="240" w:lineRule="auto"/>
            </w:pPr>
            <w:r>
              <w:t>Si certaines exigences doivent être mises en œuvre par l'équipe de développement de RedRose, une estimation de l'effort à fournir sera fournie et chiffrée.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1" w14:textId="77777777" w:rsidR="00C95FA8" w:rsidRDefault="003F7294">
            <w:pPr>
              <w:widowControl w:val="0"/>
              <w:spacing w:line="240" w:lineRule="auto"/>
            </w:pPr>
            <w:r>
              <w:t>La tarification est basée sur les jours-hommes nécessaires à la mise en œuvre.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2" w14:textId="34AF24EB" w:rsidR="00C95FA8" w:rsidRDefault="003F7294">
            <w:pPr>
              <w:widowControl w:val="0"/>
              <w:spacing w:line="240" w:lineRule="auto"/>
            </w:pPr>
            <w:r>
              <w:t xml:space="preserve">Par exemple, </w:t>
            </w:r>
            <w:r w:rsidR="00FA11DC" w:rsidRPr="00FA11DC">
              <w:t xml:space="preserve">l'intégration des </w:t>
            </w:r>
            <w:r w:rsidR="00AA2DA5">
              <w:t>PSF</w:t>
            </w:r>
          </w:p>
        </w:tc>
      </w:tr>
      <w:tr w:rsidR="00C95FA8" w14:paraId="08B60C97" w14:textId="77777777"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4" w14:textId="77777777" w:rsidR="00C95FA8" w:rsidRDefault="003F729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Formation et assistance sur site</w:t>
            </w: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5" w14:textId="77777777" w:rsidR="00C95FA8" w:rsidRDefault="00C95FA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6" w14:textId="77777777" w:rsidR="00C95FA8" w:rsidRDefault="00C95FA8">
            <w:pPr>
              <w:widowControl w:val="0"/>
              <w:spacing w:line="240" w:lineRule="auto"/>
            </w:pPr>
          </w:p>
        </w:tc>
      </w:tr>
      <w:tr w:rsidR="00C95FA8" w14:paraId="08B60C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8" w14:textId="3E281D31" w:rsidR="00C95FA8" w:rsidRDefault="003F7294">
            <w:pPr>
              <w:widowControl w:val="0"/>
              <w:spacing w:line="240" w:lineRule="auto"/>
            </w:pPr>
            <w:r>
              <w:t xml:space="preserve">Si nécessaire, des techniciens RedRose peuvent être invités à se rendre sur place, à assurer la formation, à mettre en place le système et </w:t>
            </w:r>
            <w:r w:rsidR="00B85697" w:rsidRPr="00B85697">
              <w:t>à soutenir</w:t>
            </w:r>
            <w:r w:rsidR="00B85697">
              <w:t xml:space="preserve"> </w:t>
            </w:r>
            <w:r>
              <w:t>le processus de distribution.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9" w14:textId="23F4C821" w:rsidR="00C95FA8" w:rsidRDefault="003F7294">
            <w:pPr>
              <w:widowControl w:val="0"/>
              <w:spacing w:line="240" w:lineRule="auto"/>
            </w:pPr>
            <w:r>
              <w:t xml:space="preserve">Le prix </w:t>
            </w:r>
            <w:r w:rsidR="00B85697" w:rsidRPr="00B85697">
              <w:t>est basé</w:t>
            </w:r>
            <w:r>
              <w:t xml:space="preserve"> sur une visite préliminaire d'une semaine sur place. Les jours supplémentaires sont facturés sur la base du tarif journalier.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0C9A" w14:textId="00AE5FFA" w:rsidR="00C95FA8" w:rsidRDefault="003F7294">
            <w:pPr>
              <w:widowControl w:val="0"/>
              <w:spacing w:line="240" w:lineRule="auto"/>
            </w:pPr>
            <w:r>
              <w:t xml:space="preserve">Pour les SN dont les besoins pourraient être satisfaits par des solutions clés en mains, </w:t>
            </w:r>
            <w:r w:rsidR="00B85697" w:rsidRPr="00B85697">
              <w:t>il est possible de demander un soutien par les pairs à d'autres SN</w:t>
            </w:r>
            <w:r>
              <w:t xml:space="preserve"> ayant plus d'expérience dans la région. Il est également possible de demander au point focal de transferts monétaires de la FICR de vous fournir une aide supplémentaire ou régionale.</w:t>
            </w:r>
          </w:p>
        </w:tc>
      </w:tr>
    </w:tbl>
    <w:p w14:paraId="08B60C9C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9D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9E" w14:textId="77777777" w:rsidR="00C95FA8" w:rsidRDefault="003F7294">
      <w:pPr>
        <w:tabs>
          <w:tab w:val="left" w:pos="340"/>
        </w:tabs>
        <w:spacing w:after="140" w:line="240" w:lineRule="auto"/>
        <w:rPr>
          <w:b/>
        </w:rPr>
      </w:pPr>
      <w:r>
        <w:rPr>
          <w:b/>
        </w:rPr>
        <w:lastRenderedPageBreak/>
        <w:t>Coût d'exploitation/de fonctionnement</w:t>
      </w:r>
    </w:p>
    <w:p w14:paraId="08B60C9F" w14:textId="3CA49FF6" w:rsidR="00C95FA8" w:rsidRDefault="003F7294">
      <w:pPr>
        <w:tabs>
          <w:tab w:val="left" w:pos="340"/>
        </w:tabs>
        <w:spacing w:after="140" w:line="240" w:lineRule="auto"/>
      </w:pPr>
      <w:r>
        <w:t xml:space="preserve">Comme mentionné ci-dessus, les frais de service sont basés sur un modèle de paiement prépayé. </w:t>
      </w:r>
      <w:r w:rsidR="00145B22" w:rsidRPr="00145B22">
        <w:t>Il n'y a pas</w:t>
      </w:r>
      <w:r w:rsidR="00145B22">
        <w:t xml:space="preserve"> </w:t>
      </w:r>
      <w:r>
        <w:t>de frais de licence mensuels car l'assistance et la maintenance sont déjà incluses dans les frais de service. Voici quelques facteurs à prendre en compte pour les coûts de fonctionnement :</w:t>
      </w:r>
    </w:p>
    <w:p w14:paraId="08B60CA0" w14:textId="77777777" w:rsidR="00C95FA8" w:rsidRDefault="003F7294">
      <w:pPr>
        <w:numPr>
          <w:ilvl w:val="0"/>
          <w:numId w:val="1"/>
        </w:numPr>
        <w:tabs>
          <w:tab w:val="left" w:pos="340"/>
        </w:tabs>
        <w:spacing w:after="140" w:line="240" w:lineRule="auto"/>
      </w:pPr>
      <w:r>
        <w:t>Coût d'utilisation des logiciels par programme de transferts monétaires (pourcentage)</w:t>
      </w:r>
    </w:p>
    <w:p w14:paraId="08B60CA1" w14:textId="77777777" w:rsidR="00C95FA8" w:rsidRDefault="003F7294">
      <w:pPr>
        <w:numPr>
          <w:ilvl w:val="0"/>
          <w:numId w:val="1"/>
        </w:numPr>
        <w:tabs>
          <w:tab w:val="left" w:pos="340"/>
        </w:tabs>
        <w:spacing w:after="140" w:line="240" w:lineRule="auto"/>
      </w:pPr>
      <w:r>
        <w:t>Ressources/capacités locales nécessaires à la maintenance et à l'utilisation RedRose pour les programmes futurs</w:t>
      </w:r>
    </w:p>
    <w:p w14:paraId="08B60CA2" w14:textId="77777777" w:rsidR="00C95FA8" w:rsidRDefault="003F7294">
      <w:pPr>
        <w:numPr>
          <w:ilvl w:val="0"/>
          <w:numId w:val="1"/>
        </w:numPr>
        <w:tabs>
          <w:tab w:val="left" w:pos="340"/>
        </w:tabs>
        <w:spacing w:after="140" w:line="240" w:lineRule="auto"/>
      </w:pPr>
      <w:r>
        <w:t>Formation continue du nouveau personnel (rotation du personnel)</w:t>
      </w:r>
    </w:p>
    <w:p w14:paraId="08B60CA3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A4" w14:textId="77777777" w:rsidR="00C95FA8" w:rsidRDefault="003F7294">
      <w:pPr>
        <w:tabs>
          <w:tab w:val="left" w:pos="340"/>
        </w:tabs>
        <w:spacing w:after="140" w:line="240" w:lineRule="auto"/>
        <w:rPr>
          <w:b/>
        </w:rPr>
      </w:pPr>
      <w:r>
        <w:rPr>
          <w:b/>
        </w:rPr>
        <w:t>Prix indicatif</w:t>
      </w:r>
    </w:p>
    <w:p w14:paraId="08B60CA5" w14:textId="3EC6A1CB" w:rsidR="00C95FA8" w:rsidRDefault="003F7294">
      <w:pPr>
        <w:tabs>
          <w:tab w:val="left" w:pos="340"/>
        </w:tabs>
        <w:spacing w:after="140" w:line="240" w:lineRule="auto"/>
      </w:pPr>
      <w:r>
        <w:t xml:space="preserve">Sur la base de certains aspects de la mise en œuvre de RedRose, le coût initial de la mise en place pourrait se situer entre 7 000 et 10 000 CHF, la majeure partie du coût étant consacrée à la formation et à une certaine personnalisation. Ensuite, l'utilisation ultérieure pour les opérations pourrait se situer entre 1 500 et 3 000 CHF pour un faible volume (500 </w:t>
      </w:r>
      <w:r w:rsidR="004C56EB">
        <w:t xml:space="preserve">ménages </w:t>
      </w:r>
      <w:r>
        <w:t>avec un mélange de contributions en nature et en espèces) et autour de 7 000 CHF pour un volume moyen. Le coût de revient change en fonction des facteurs mentionnés ci-dessus.</w:t>
      </w:r>
    </w:p>
    <w:p w14:paraId="08B60CA6" w14:textId="77777777" w:rsidR="00C95FA8" w:rsidRDefault="00C95FA8">
      <w:pPr>
        <w:tabs>
          <w:tab w:val="left" w:pos="340"/>
        </w:tabs>
        <w:spacing w:after="140" w:line="240" w:lineRule="auto"/>
      </w:pPr>
    </w:p>
    <w:p w14:paraId="08B60CA7" w14:textId="77777777" w:rsidR="00C95FA8" w:rsidRDefault="003F7294">
      <w:pPr>
        <w:tabs>
          <w:tab w:val="left" w:pos="340"/>
        </w:tabs>
        <w:spacing w:after="140" w:line="240" w:lineRule="auto"/>
      </w:pPr>
      <w:r>
        <w:rPr>
          <w:highlight w:val="green"/>
        </w:rPr>
        <w:t>Pour obtenir un modèle avec les éléments de coût détaillés et les taux négociés, veuillez contacter le point focal de transferts monétaires de votre région.</w:t>
      </w:r>
    </w:p>
    <w:sectPr w:rsidR="00C95FA8" w:rsidSect="003016F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5ED99" w14:textId="77777777" w:rsidR="003D5EE4" w:rsidRDefault="003D5EE4">
      <w:pPr>
        <w:spacing w:line="240" w:lineRule="auto"/>
      </w:pPr>
      <w:r>
        <w:separator/>
      </w:r>
    </w:p>
  </w:endnote>
  <w:endnote w:type="continuationSeparator" w:id="0">
    <w:p w14:paraId="7C4FE8B8" w14:textId="77777777" w:rsidR="003D5EE4" w:rsidRDefault="003D5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9904" w14:textId="77777777" w:rsidR="003D5EE4" w:rsidRDefault="003D5EE4">
      <w:pPr>
        <w:spacing w:line="240" w:lineRule="auto"/>
      </w:pPr>
      <w:r>
        <w:separator/>
      </w:r>
    </w:p>
  </w:footnote>
  <w:footnote w:type="continuationSeparator" w:id="0">
    <w:p w14:paraId="563A3F65" w14:textId="77777777" w:rsidR="003D5EE4" w:rsidRDefault="003D5E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0CAC" w14:textId="77777777" w:rsidR="00C95FA8" w:rsidRDefault="003F7294">
    <w:pPr>
      <w:tabs>
        <w:tab w:val="right" w:pos="9360"/>
      </w:tabs>
    </w:pPr>
    <w:r>
      <w:rPr>
        <w:noProof/>
        <w:lang w:val="en-US" w:eastAsia="en-US"/>
      </w:rPr>
      <w:drawing>
        <wp:inline distT="114300" distB="114300" distL="114300" distR="114300" wp14:anchorId="08B60CAF" wp14:editId="08B60CB0">
          <wp:extent cx="1666875" cy="381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114300" distB="114300" distL="114300" distR="114300" wp14:anchorId="08B60CB1" wp14:editId="08B60CB2">
          <wp:extent cx="1533525" cy="381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B60CAD" w14:textId="77777777" w:rsidR="00C95FA8" w:rsidRDefault="007C14F0">
    <w:pPr>
      <w:tabs>
        <w:tab w:val="right" w:pos="9360"/>
      </w:tabs>
    </w:pPr>
    <w:r>
      <w:pict w14:anchorId="08B60CB3">
        <v:rect id="_x0000_i1025" style="width:0;height:1.5pt" o:hralign="center" o:hrstd="t" o:hr="t" fillcolor="#a0a0a0" stroked="f"/>
      </w:pict>
    </w:r>
  </w:p>
  <w:p w14:paraId="08B60CAE" w14:textId="77777777" w:rsidR="00C95FA8" w:rsidRDefault="00C95FA8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E0513"/>
    <w:multiLevelType w:val="multilevel"/>
    <w:tmpl w:val="AC5CB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A8"/>
    <w:rsid w:val="00145B22"/>
    <w:rsid w:val="00164DF1"/>
    <w:rsid w:val="001959D7"/>
    <w:rsid w:val="001A0AF9"/>
    <w:rsid w:val="001B1B46"/>
    <w:rsid w:val="003016FE"/>
    <w:rsid w:val="003113A9"/>
    <w:rsid w:val="00324513"/>
    <w:rsid w:val="003D5EE4"/>
    <w:rsid w:val="003F7294"/>
    <w:rsid w:val="004C56EB"/>
    <w:rsid w:val="007637C1"/>
    <w:rsid w:val="007C7DBF"/>
    <w:rsid w:val="00915404"/>
    <w:rsid w:val="009547F1"/>
    <w:rsid w:val="00A73D84"/>
    <w:rsid w:val="00AA2DA5"/>
    <w:rsid w:val="00AF6C1F"/>
    <w:rsid w:val="00B85697"/>
    <w:rsid w:val="00C95FA8"/>
    <w:rsid w:val="00FA11D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8B60C5F"/>
  <w15:docId w15:val="{B3FFC58C-B46E-44FA-B147-68A9F3F7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FE"/>
  </w:style>
  <w:style w:type="paragraph" w:styleId="Heading1">
    <w:name w:val="heading 1"/>
    <w:basedOn w:val="Normal"/>
    <w:next w:val="Normal"/>
    <w:uiPriority w:val="9"/>
    <w:qFormat/>
    <w:rsid w:val="003016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3016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016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016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016F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016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016F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016F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16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F7840F6E344AB40C044C29E59C03" ma:contentTypeVersion="13" ma:contentTypeDescription="Create a new document." ma:contentTypeScope="" ma:versionID="5b20626b780a01b54f1e1e2981735e13">
  <xsd:schema xmlns:xsd="http://www.w3.org/2001/XMLSchema" xmlns:xs="http://www.w3.org/2001/XMLSchema" xmlns:p="http://schemas.microsoft.com/office/2006/metadata/properties" xmlns:ns2="e6c24eca-9ce1-4bce-9f53-c530de1e36b9" xmlns:ns3="ec39db0a-91b8-4ee4-a164-f162d8a0f727" targetNamespace="http://schemas.microsoft.com/office/2006/metadata/properties" ma:root="true" ma:fieldsID="d31b524bafd122bf68884ccf1f7a8efa" ns2:_="" ns3:_="">
    <xsd:import namespace="e6c24eca-9ce1-4bce-9f53-c530de1e36b9"/>
    <xsd:import namespace="ec39db0a-91b8-4ee4-a164-f162d8a0f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4eca-9ce1-4bce-9f53-c530de1e3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9db0a-91b8-4ee4-a164-f162d8a0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5EE5-7C50-4AB5-AA3B-63E04A723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75072-49F1-451F-B007-ED3F3B1A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4eca-9ce1-4bce-9f53-c530de1e36b9"/>
    <ds:schemaRef ds:uri="ec39db0a-91b8-4ee4-a164-f162d8a0f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A84FC-945D-43AF-9CD0-C92B51E9CA4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6c24eca-9ce1-4bce-9f53-c530de1e36b9"/>
    <ds:schemaRef ds:uri="http://purl.org/dc/dcmitype/"/>
    <ds:schemaRef ds:uri="ec39db0a-91b8-4ee4-a164-f162d8a0f727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 Global Language Services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Stefania Imperia</cp:lastModifiedBy>
  <cp:revision>2</cp:revision>
  <dcterms:created xsi:type="dcterms:W3CDTF">2021-08-03T12:19:00Z</dcterms:created>
  <dcterms:modified xsi:type="dcterms:W3CDTF">2021-08-03T12:19:00Z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0x0101007146F7840F6E344AB40C044C29E59C03</vt:lpwstr>
  </property>
</Properties>
</file>