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DFCD4" w14:textId="77777777" w:rsidR="0098695F" w:rsidRDefault="00043E1E">
      <w:pPr>
        <w:spacing w:before="41"/>
        <w:ind w:left="3330"/>
        <w:rPr>
          <w:b/>
        </w:rPr>
      </w:pPr>
      <w:r>
        <w:rPr>
          <w:b/>
          <w:color w:val="4F81BC"/>
        </w:rPr>
        <w:t>Surge Role Profile – CVA Officer</w:t>
      </w:r>
    </w:p>
    <w:p w14:paraId="7CC9096F" w14:textId="77777777" w:rsidR="0098695F" w:rsidRDefault="0098695F">
      <w:pPr>
        <w:pStyle w:val="BodyText"/>
        <w:ind w:left="0" w:firstLine="0"/>
        <w:rPr>
          <w:b/>
        </w:rPr>
      </w:pPr>
    </w:p>
    <w:p w14:paraId="477BDEE9" w14:textId="77777777" w:rsidR="0098695F" w:rsidRDefault="0098695F">
      <w:pPr>
        <w:pStyle w:val="BodyText"/>
        <w:ind w:left="0" w:firstLine="0"/>
        <w:rPr>
          <w:b/>
          <w:sz w:val="25"/>
        </w:rPr>
      </w:pPr>
    </w:p>
    <w:tbl>
      <w:tblPr>
        <w:tblW w:w="0" w:type="auto"/>
        <w:tblInd w:w="123" w:type="dxa"/>
        <w:tblBorders>
          <w:top w:val="single" w:sz="4" w:space="0" w:color="87796C"/>
          <w:left w:val="single" w:sz="4" w:space="0" w:color="87796C"/>
          <w:bottom w:val="single" w:sz="4" w:space="0" w:color="87796C"/>
          <w:right w:val="single" w:sz="4" w:space="0" w:color="87796C"/>
          <w:insideH w:val="single" w:sz="4" w:space="0" w:color="87796C"/>
          <w:insideV w:val="single" w:sz="4" w:space="0" w:color="87796C"/>
        </w:tblBorders>
        <w:tblLayout w:type="fixed"/>
        <w:tblCellMar>
          <w:left w:w="0" w:type="dxa"/>
          <w:right w:w="0" w:type="dxa"/>
        </w:tblCellMar>
        <w:tblLook w:val="01E0" w:firstRow="1" w:lastRow="1" w:firstColumn="1" w:lastColumn="1" w:noHBand="0" w:noVBand="0"/>
      </w:tblPr>
      <w:tblGrid>
        <w:gridCol w:w="3374"/>
        <w:gridCol w:w="5983"/>
      </w:tblGrid>
      <w:tr w:rsidR="0098695F" w14:paraId="35773212" w14:textId="77777777">
        <w:trPr>
          <w:trHeight w:val="340"/>
        </w:trPr>
        <w:tc>
          <w:tcPr>
            <w:tcW w:w="3374" w:type="dxa"/>
          </w:tcPr>
          <w:p w14:paraId="76236696" w14:textId="77777777" w:rsidR="0098695F" w:rsidRDefault="00043E1E">
            <w:pPr>
              <w:pStyle w:val="TableParagraph"/>
              <w:spacing w:before="8"/>
              <w:ind w:left="105"/>
              <w:rPr>
                <w:b/>
                <w:sz w:val="20"/>
              </w:rPr>
            </w:pPr>
            <w:r>
              <w:rPr>
                <w:b/>
                <w:sz w:val="20"/>
              </w:rPr>
              <w:t>Job Title</w:t>
            </w:r>
          </w:p>
        </w:tc>
        <w:tc>
          <w:tcPr>
            <w:tcW w:w="5983" w:type="dxa"/>
          </w:tcPr>
          <w:p w14:paraId="47236F72" w14:textId="77777777" w:rsidR="0098695F" w:rsidRDefault="00043E1E">
            <w:pPr>
              <w:pStyle w:val="TableParagraph"/>
              <w:spacing w:before="8"/>
              <w:ind w:left="105"/>
              <w:rPr>
                <w:sz w:val="20"/>
              </w:rPr>
            </w:pPr>
            <w:r>
              <w:rPr>
                <w:sz w:val="20"/>
              </w:rPr>
              <w:t>Cash and Vouchers Assistance (CVA) Officer (Implementation)</w:t>
            </w:r>
          </w:p>
        </w:tc>
      </w:tr>
      <w:tr w:rsidR="0098695F" w14:paraId="6C73A312" w14:textId="77777777">
        <w:trPr>
          <w:trHeight w:val="339"/>
        </w:trPr>
        <w:tc>
          <w:tcPr>
            <w:tcW w:w="3374" w:type="dxa"/>
          </w:tcPr>
          <w:p w14:paraId="38C8A538" w14:textId="77777777" w:rsidR="0098695F" w:rsidRDefault="00043E1E">
            <w:pPr>
              <w:pStyle w:val="TableParagraph"/>
              <w:spacing w:before="8"/>
              <w:ind w:left="105"/>
              <w:rPr>
                <w:b/>
                <w:sz w:val="20"/>
              </w:rPr>
            </w:pPr>
            <w:r>
              <w:rPr>
                <w:b/>
                <w:sz w:val="20"/>
              </w:rPr>
              <w:t>Classification Level</w:t>
            </w:r>
          </w:p>
        </w:tc>
        <w:tc>
          <w:tcPr>
            <w:tcW w:w="5983" w:type="dxa"/>
          </w:tcPr>
          <w:p w14:paraId="04773688" w14:textId="77777777" w:rsidR="0098695F" w:rsidRDefault="00043E1E">
            <w:pPr>
              <w:pStyle w:val="TableParagraph"/>
              <w:spacing w:before="8"/>
              <w:ind w:left="105"/>
              <w:rPr>
                <w:sz w:val="20"/>
              </w:rPr>
            </w:pPr>
            <w:r>
              <w:rPr>
                <w:sz w:val="20"/>
              </w:rPr>
              <w:t>C - Coordination and technical assistance</w:t>
            </w:r>
          </w:p>
        </w:tc>
      </w:tr>
      <w:tr w:rsidR="0098695F" w14:paraId="28930F1A" w14:textId="77777777">
        <w:trPr>
          <w:trHeight w:val="340"/>
        </w:trPr>
        <w:tc>
          <w:tcPr>
            <w:tcW w:w="3374" w:type="dxa"/>
          </w:tcPr>
          <w:p w14:paraId="2B43D510" w14:textId="77777777" w:rsidR="0098695F" w:rsidRDefault="00043E1E">
            <w:pPr>
              <w:pStyle w:val="TableParagraph"/>
              <w:spacing w:before="9"/>
              <w:ind w:left="105"/>
              <w:rPr>
                <w:b/>
                <w:sz w:val="20"/>
              </w:rPr>
            </w:pPr>
            <w:r>
              <w:rPr>
                <w:b/>
                <w:sz w:val="20"/>
              </w:rPr>
              <w:t>Immediate Supervisor’s Title</w:t>
            </w:r>
          </w:p>
        </w:tc>
        <w:tc>
          <w:tcPr>
            <w:tcW w:w="5983" w:type="dxa"/>
          </w:tcPr>
          <w:p w14:paraId="64519376" w14:textId="77777777" w:rsidR="0098695F" w:rsidRDefault="00043E1E">
            <w:pPr>
              <w:pStyle w:val="TableParagraph"/>
              <w:spacing w:before="9"/>
              <w:ind w:left="105"/>
              <w:rPr>
                <w:b/>
                <w:sz w:val="20"/>
              </w:rPr>
            </w:pPr>
            <w:r>
              <w:rPr>
                <w:b/>
                <w:sz w:val="20"/>
              </w:rPr>
              <w:t>To be completed by line manager</w:t>
            </w:r>
          </w:p>
        </w:tc>
      </w:tr>
      <w:tr w:rsidR="0098695F" w14:paraId="011C5415" w14:textId="77777777">
        <w:trPr>
          <w:trHeight w:val="641"/>
        </w:trPr>
        <w:tc>
          <w:tcPr>
            <w:tcW w:w="3374" w:type="dxa"/>
          </w:tcPr>
          <w:p w14:paraId="2CB72E3D" w14:textId="77777777" w:rsidR="0098695F" w:rsidRDefault="00043E1E">
            <w:pPr>
              <w:pStyle w:val="TableParagraph"/>
              <w:spacing w:line="243" w:lineRule="exact"/>
              <w:ind w:left="105"/>
              <w:rPr>
                <w:b/>
                <w:sz w:val="20"/>
              </w:rPr>
            </w:pPr>
            <w:r>
              <w:rPr>
                <w:b/>
                <w:sz w:val="20"/>
              </w:rPr>
              <w:t>Number of Direct Reports</w:t>
            </w:r>
          </w:p>
          <w:p w14:paraId="0A75B32E" w14:textId="77777777" w:rsidR="0098695F" w:rsidRDefault="00043E1E">
            <w:pPr>
              <w:pStyle w:val="TableParagraph"/>
              <w:spacing w:before="77"/>
              <w:ind w:left="105"/>
              <w:rPr>
                <w:b/>
                <w:i/>
                <w:sz w:val="20"/>
              </w:rPr>
            </w:pPr>
            <w:r>
              <w:rPr>
                <w:b/>
                <w:i/>
                <w:sz w:val="20"/>
              </w:rPr>
              <w:t>(if applicable)</w:t>
            </w:r>
          </w:p>
        </w:tc>
        <w:tc>
          <w:tcPr>
            <w:tcW w:w="5983" w:type="dxa"/>
          </w:tcPr>
          <w:p w14:paraId="60679718" w14:textId="77777777" w:rsidR="0098695F" w:rsidRDefault="00043E1E">
            <w:pPr>
              <w:pStyle w:val="TableParagraph"/>
              <w:spacing w:before="159"/>
              <w:ind w:left="105"/>
              <w:rPr>
                <w:b/>
                <w:sz w:val="20"/>
              </w:rPr>
            </w:pPr>
            <w:r>
              <w:rPr>
                <w:b/>
                <w:sz w:val="20"/>
              </w:rPr>
              <w:t>To be completed by line manager</w:t>
            </w:r>
          </w:p>
        </w:tc>
      </w:tr>
      <w:tr w:rsidR="0098695F" w14:paraId="0F6526C3" w14:textId="77777777">
        <w:trPr>
          <w:trHeight w:val="641"/>
        </w:trPr>
        <w:tc>
          <w:tcPr>
            <w:tcW w:w="3374" w:type="dxa"/>
          </w:tcPr>
          <w:p w14:paraId="36D24D5F" w14:textId="77777777" w:rsidR="0098695F" w:rsidRDefault="00043E1E">
            <w:pPr>
              <w:pStyle w:val="TableParagraph"/>
              <w:spacing w:line="243" w:lineRule="exact"/>
              <w:ind w:left="105"/>
              <w:rPr>
                <w:b/>
                <w:sz w:val="20"/>
              </w:rPr>
            </w:pPr>
            <w:r>
              <w:rPr>
                <w:b/>
                <w:sz w:val="20"/>
              </w:rPr>
              <w:t>Number of Indirect Reports</w:t>
            </w:r>
          </w:p>
          <w:p w14:paraId="3CEF01A4" w14:textId="77777777" w:rsidR="0098695F" w:rsidRDefault="00043E1E">
            <w:pPr>
              <w:pStyle w:val="TableParagraph"/>
              <w:spacing w:before="77"/>
              <w:ind w:left="105"/>
              <w:rPr>
                <w:b/>
                <w:i/>
                <w:sz w:val="20"/>
              </w:rPr>
            </w:pPr>
            <w:r>
              <w:rPr>
                <w:b/>
                <w:i/>
                <w:sz w:val="20"/>
              </w:rPr>
              <w:t>(if applicable)</w:t>
            </w:r>
          </w:p>
        </w:tc>
        <w:tc>
          <w:tcPr>
            <w:tcW w:w="5983" w:type="dxa"/>
          </w:tcPr>
          <w:p w14:paraId="381EC480" w14:textId="77777777" w:rsidR="0098695F" w:rsidRDefault="00043E1E">
            <w:pPr>
              <w:pStyle w:val="TableParagraph"/>
              <w:spacing w:before="159"/>
              <w:ind w:left="105"/>
              <w:rPr>
                <w:b/>
                <w:sz w:val="20"/>
              </w:rPr>
            </w:pPr>
            <w:r>
              <w:rPr>
                <w:b/>
                <w:sz w:val="20"/>
              </w:rPr>
              <w:t>To be completed by line manager</w:t>
            </w:r>
          </w:p>
        </w:tc>
      </w:tr>
    </w:tbl>
    <w:p w14:paraId="368CCC86" w14:textId="77777777" w:rsidR="0098695F" w:rsidRDefault="0098695F">
      <w:pPr>
        <w:pStyle w:val="BodyText"/>
        <w:ind w:left="0" w:firstLine="0"/>
        <w:rPr>
          <w:b/>
        </w:rPr>
      </w:pPr>
    </w:p>
    <w:p w14:paraId="528F07AC" w14:textId="77777777" w:rsidR="0098695F" w:rsidRDefault="0098695F">
      <w:pPr>
        <w:pStyle w:val="BodyText"/>
        <w:spacing w:before="9"/>
        <w:ind w:left="0" w:firstLine="0"/>
        <w:rPr>
          <w:b/>
          <w:sz w:val="16"/>
        </w:rPr>
      </w:pPr>
    </w:p>
    <w:p w14:paraId="542626E7" w14:textId="77777777" w:rsidR="0098695F" w:rsidRDefault="00043E1E">
      <w:pPr>
        <w:pStyle w:val="Heading1"/>
        <w:ind w:left="257" w:firstLine="0"/>
        <w:jc w:val="left"/>
      </w:pPr>
      <w:r>
        <w:rPr>
          <w:color w:val="87796C"/>
        </w:rPr>
        <w:t xml:space="preserve">Organizational context (where the job </w:t>
      </w:r>
      <w:proofErr w:type="gramStart"/>
      <w:r>
        <w:rPr>
          <w:color w:val="87796C"/>
        </w:rPr>
        <w:t>is located in</w:t>
      </w:r>
      <w:proofErr w:type="gramEnd"/>
      <w:r>
        <w:rPr>
          <w:color w:val="87796C"/>
        </w:rPr>
        <w:t xml:space="preserve"> the Organization)</w:t>
      </w:r>
    </w:p>
    <w:p w14:paraId="56AF4874" w14:textId="77777777" w:rsidR="0098695F" w:rsidRDefault="004F1518">
      <w:pPr>
        <w:pStyle w:val="BodyText"/>
        <w:spacing w:before="4"/>
        <w:ind w:left="0" w:firstLine="0"/>
        <w:rPr>
          <w:b/>
          <w:sz w:val="16"/>
        </w:rPr>
      </w:pPr>
      <w:r>
        <w:pict w14:anchorId="7F846725">
          <v:shapetype id="_x0000_t202" coordsize="21600,21600" o:spt="202" path="m,l,21600r21600,l21600,xe">
            <v:stroke joinstyle="miter"/>
            <v:path gradientshapeok="t" o:connecttype="rect"/>
          </v:shapetype>
          <v:shape id="_x0000_s1058" type="#_x0000_t202" style="position:absolute;margin-left:66.2pt;margin-top:12.15pt;width:462.9pt;height:72.6pt;z-index:-251658240;mso-wrap-distance-left:0;mso-wrap-distance-right:0;mso-position-horizontal-relative:page" filled="f" strokeweight=".16936mm">
            <v:textbox inset="0,0,0,0">
              <w:txbxContent>
                <w:p w14:paraId="475CD795" w14:textId="77777777" w:rsidR="0098695F" w:rsidRDefault="00043E1E">
                  <w:pPr>
                    <w:pStyle w:val="BodyText"/>
                    <w:spacing w:before="18" w:line="276" w:lineRule="auto"/>
                    <w:ind w:left="111" w:right="106"/>
                    <w:jc w:val="both"/>
                  </w:pPr>
                  <w:r>
                    <w:t>The International Federation of Red Cross and Red Crescent Societies (IFRC) is the world’s largest volunteer- based humanitarian network. IFRC is a membership organisation established by and comprised of its member National Red Cross and Red Crescent Societies. Along with National Societies and the International Committee of the Red Cross (ICRC), the IFRC is part of the International Red Cross and Red Crescent Movement. IFRC’s headquarters is in Geneva, with regional and country offices throughout the world.</w:t>
                  </w:r>
                </w:p>
              </w:txbxContent>
            </v:textbox>
            <w10:wrap type="topAndBottom" anchorx="page"/>
          </v:shape>
        </w:pict>
      </w:r>
    </w:p>
    <w:p w14:paraId="1D7B707F" w14:textId="77777777" w:rsidR="0098695F" w:rsidRDefault="0098695F">
      <w:pPr>
        <w:pStyle w:val="BodyText"/>
        <w:spacing w:before="1"/>
        <w:ind w:left="0" w:firstLine="0"/>
        <w:rPr>
          <w:b/>
          <w:sz w:val="9"/>
        </w:rPr>
      </w:pPr>
    </w:p>
    <w:p w14:paraId="23977043" w14:textId="77777777" w:rsidR="0098695F" w:rsidRDefault="00043E1E">
      <w:pPr>
        <w:spacing w:before="60"/>
        <w:ind w:left="257"/>
        <w:jc w:val="both"/>
        <w:rPr>
          <w:b/>
          <w:sz w:val="20"/>
        </w:rPr>
      </w:pPr>
      <w:r>
        <w:rPr>
          <w:b/>
          <w:sz w:val="20"/>
        </w:rPr>
        <w:t>Job purpose</w:t>
      </w:r>
    </w:p>
    <w:p w14:paraId="03BA6FB1" w14:textId="77777777" w:rsidR="0098695F" w:rsidRDefault="0098695F">
      <w:pPr>
        <w:pStyle w:val="BodyText"/>
        <w:spacing w:before="12"/>
        <w:ind w:left="0" w:firstLine="0"/>
        <w:rPr>
          <w:b/>
          <w:sz w:val="29"/>
        </w:rPr>
      </w:pPr>
    </w:p>
    <w:p w14:paraId="225B995E" w14:textId="77777777" w:rsidR="0098695F" w:rsidRDefault="004F1518">
      <w:pPr>
        <w:pStyle w:val="BodyText"/>
        <w:spacing w:line="276" w:lineRule="auto"/>
        <w:ind w:left="226" w:right="819"/>
        <w:jc w:val="both"/>
      </w:pPr>
      <w:r>
        <w:pict w14:anchorId="157603FC">
          <v:group id="_x0000_s1051" style="position:absolute;left:0;text-align:left;margin-left:64.7pt;margin-top:-6.45pt;width:461.25pt;height:358.9pt;z-index:-252475392;mso-position-horizontal-relative:page" coordorigin="1294,-129" coordsize="9225,7178">
            <v:line id="_x0000_s1057" style="position:absolute" from="1303,-124" to="10508,-124" strokecolor="#87796c" strokeweight=".48pt"/>
            <v:line id="_x0000_s1056" style="position:absolute" from="1298,-129" to="1298,7040" strokecolor="#87796c" strokeweight=".48pt"/>
            <v:rect id="_x0000_s1055" style="position:absolute;left:1293;top:7039;width:10;height:10" fillcolor="#87796c" stroked="f"/>
            <v:line id="_x0000_s1054" style="position:absolute" from="1303,7044" to="10508,7044" strokecolor="#87796c" strokeweight=".48pt"/>
            <v:line id="_x0000_s1053" style="position:absolute" from="10513,-129" to="10513,7040" strokecolor="#87796c" strokeweight=".48pt"/>
            <v:rect id="_x0000_s1052" style="position:absolute;left:10508;top:7039;width:10;height:10" fillcolor="#87796c" stroked="f"/>
            <w10:wrap anchorx="page"/>
          </v:group>
        </w:pict>
      </w:r>
      <w:r w:rsidR="00043E1E">
        <w:t xml:space="preserve">The CVA Technical Officer will work in collaboration with the National Society, other Movement Partners, delegates, NGO’s, national staff, local </w:t>
      </w:r>
      <w:proofErr w:type="gramStart"/>
      <w:r w:rsidR="00043E1E">
        <w:t>authorities</w:t>
      </w:r>
      <w:proofErr w:type="gramEnd"/>
      <w:r w:rsidR="00043E1E">
        <w:t xml:space="preserve"> and affected communities within the mandate of the Movement in order to plan, coordinate and implement the CVA component of a disaster response in relief and recovery. In small/medium scale responses the Officer may have broader responsibilities and even lead a small team.</w:t>
      </w:r>
      <w:r w:rsidR="00043E1E">
        <w:rPr>
          <w:spacing w:val="-4"/>
        </w:rPr>
        <w:t xml:space="preserve"> </w:t>
      </w:r>
      <w:r w:rsidR="00043E1E">
        <w:t>In</w:t>
      </w:r>
      <w:r w:rsidR="00043E1E">
        <w:rPr>
          <w:spacing w:val="-3"/>
        </w:rPr>
        <w:t xml:space="preserve"> </w:t>
      </w:r>
      <w:r w:rsidR="00043E1E">
        <w:t>large</w:t>
      </w:r>
      <w:r w:rsidR="00043E1E">
        <w:rPr>
          <w:spacing w:val="-4"/>
        </w:rPr>
        <w:t xml:space="preserve"> </w:t>
      </w:r>
      <w:r w:rsidR="00043E1E">
        <w:t>scale</w:t>
      </w:r>
      <w:r w:rsidR="00043E1E">
        <w:rPr>
          <w:spacing w:val="-4"/>
        </w:rPr>
        <w:t xml:space="preserve"> </w:t>
      </w:r>
      <w:r w:rsidR="00043E1E">
        <w:t>responses</w:t>
      </w:r>
      <w:r w:rsidR="00043E1E">
        <w:rPr>
          <w:spacing w:val="-3"/>
        </w:rPr>
        <w:t xml:space="preserve"> </w:t>
      </w:r>
      <w:r w:rsidR="00043E1E">
        <w:t>the</w:t>
      </w:r>
      <w:r w:rsidR="00043E1E">
        <w:rPr>
          <w:spacing w:val="-3"/>
        </w:rPr>
        <w:t xml:space="preserve"> </w:t>
      </w:r>
      <w:r w:rsidR="00043E1E">
        <w:t>officer</w:t>
      </w:r>
      <w:r w:rsidR="00043E1E">
        <w:rPr>
          <w:spacing w:val="-2"/>
        </w:rPr>
        <w:t xml:space="preserve"> </w:t>
      </w:r>
      <w:r w:rsidR="00043E1E">
        <w:t>is</w:t>
      </w:r>
      <w:r w:rsidR="00043E1E">
        <w:rPr>
          <w:spacing w:val="-4"/>
        </w:rPr>
        <w:t xml:space="preserve"> </w:t>
      </w:r>
      <w:r w:rsidR="00043E1E">
        <w:t>likely</w:t>
      </w:r>
      <w:r w:rsidR="00043E1E">
        <w:rPr>
          <w:spacing w:val="-2"/>
        </w:rPr>
        <w:t xml:space="preserve"> </w:t>
      </w:r>
      <w:r w:rsidR="00043E1E">
        <w:t>to</w:t>
      </w:r>
      <w:r w:rsidR="00043E1E">
        <w:rPr>
          <w:spacing w:val="-3"/>
        </w:rPr>
        <w:t xml:space="preserve"> </w:t>
      </w:r>
      <w:r w:rsidR="00043E1E">
        <w:t>work</w:t>
      </w:r>
      <w:r w:rsidR="00043E1E">
        <w:rPr>
          <w:spacing w:val="-3"/>
        </w:rPr>
        <w:t xml:space="preserve"> </w:t>
      </w:r>
      <w:r w:rsidR="00043E1E">
        <w:t>under</w:t>
      </w:r>
      <w:r w:rsidR="00043E1E">
        <w:rPr>
          <w:spacing w:val="-5"/>
        </w:rPr>
        <w:t xml:space="preserve"> </w:t>
      </w:r>
      <w:r w:rsidR="00043E1E">
        <w:t>a</w:t>
      </w:r>
      <w:r w:rsidR="00043E1E">
        <w:rPr>
          <w:spacing w:val="-2"/>
        </w:rPr>
        <w:t xml:space="preserve"> </w:t>
      </w:r>
      <w:r w:rsidR="00043E1E">
        <w:t>CVA</w:t>
      </w:r>
      <w:r w:rsidR="00043E1E">
        <w:rPr>
          <w:spacing w:val="-1"/>
        </w:rPr>
        <w:t xml:space="preserve"> </w:t>
      </w:r>
      <w:r w:rsidR="00043E1E">
        <w:t>Coordinator</w:t>
      </w:r>
      <w:r w:rsidR="00043E1E">
        <w:rPr>
          <w:spacing w:val="-5"/>
        </w:rPr>
        <w:t xml:space="preserve"> </w:t>
      </w:r>
      <w:r w:rsidR="00043E1E">
        <w:t>as</w:t>
      </w:r>
      <w:r w:rsidR="00043E1E">
        <w:rPr>
          <w:spacing w:val="-4"/>
        </w:rPr>
        <w:t xml:space="preserve"> </w:t>
      </w:r>
      <w:r w:rsidR="00043E1E">
        <w:t>part</w:t>
      </w:r>
      <w:r w:rsidR="00043E1E">
        <w:rPr>
          <w:spacing w:val="-3"/>
        </w:rPr>
        <w:t xml:space="preserve"> </w:t>
      </w:r>
      <w:r w:rsidR="00043E1E">
        <w:t>of</w:t>
      </w:r>
      <w:r w:rsidR="00043E1E">
        <w:rPr>
          <w:spacing w:val="-3"/>
        </w:rPr>
        <w:t xml:space="preserve"> </w:t>
      </w:r>
      <w:r w:rsidR="00043E1E">
        <w:t>a</w:t>
      </w:r>
      <w:r w:rsidR="00043E1E">
        <w:rPr>
          <w:spacing w:val="-4"/>
        </w:rPr>
        <w:t xml:space="preserve"> </w:t>
      </w:r>
      <w:r w:rsidR="00043E1E">
        <w:t>larger</w:t>
      </w:r>
      <w:r w:rsidR="00043E1E">
        <w:rPr>
          <w:spacing w:val="-4"/>
        </w:rPr>
        <w:t xml:space="preserve"> </w:t>
      </w:r>
      <w:r w:rsidR="00043E1E">
        <w:t>team</w:t>
      </w:r>
      <w:r w:rsidR="00043E1E">
        <w:rPr>
          <w:spacing w:val="-3"/>
        </w:rPr>
        <w:t xml:space="preserve"> </w:t>
      </w:r>
      <w:r w:rsidR="00043E1E">
        <w:t>that may have multiple CVA officers focusing on different</w:t>
      </w:r>
      <w:r w:rsidR="00043E1E">
        <w:rPr>
          <w:spacing w:val="-7"/>
        </w:rPr>
        <w:t xml:space="preserve"> </w:t>
      </w:r>
      <w:r w:rsidR="00043E1E">
        <w:t>tasks.</w:t>
      </w:r>
    </w:p>
    <w:p w14:paraId="2F176A3D" w14:textId="77777777" w:rsidR="0098695F" w:rsidRDefault="00043E1E">
      <w:pPr>
        <w:pStyle w:val="ListParagraph"/>
        <w:numPr>
          <w:ilvl w:val="0"/>
          <w:numId w:val="2"/>
        </w:numPr>
        <w:tabs>
          <w:tab w:val="left" w:pos="946"/>
          <w:tab w:val="left" w:pos="947"/>
        </w:tabs>
        <w:ind w:right="822" w:hanging="3"/>
        <w:rPr>
          <w:sz w:val="20"/>
        </w:rPr>
      </w:pPr>
      <w:r>
        <w:rPr>
          <w:sz w:val="20"/>
        </w:rPr>
        <w:t xml:space="preserve">All CVA roles have the </w:t>
      </w:r>
      <w:proofErr w:type="gramStart"/>
      <w:r>
        <w:rPr>
          <w:sz w:val="20"/>
        </w:rPr>
        <w:t>underlying purpose</w:t>
      </w:r>
      <w:proofErr w:type="gramEnd"/>
      <w:r>
        <w:rPr>
          <w:sz w:val="20"/>
        </w:rPr>
        <w:t xml:space="preserve"> of supporting the National Society consider the use of cash and vouchers as a response modality for an effective response in relief and recovery through technical and strategic support throughout all stages of the project</w:t>
      </w:r>
      <w:r>
        <w:rPr>
          <w:spacing w:val="-3"/>
          <w:sz w:val="20"/>
        </w:rPr>
        <w:t xml:space="preserve"> </w:t>
      </w:r>
      <w:r>
        <w:rPr>
          <w:sz w:val="20"/>
        </w:rPr>
        <w:t>cycle.</w:t>
      </w:r>
    </w:p>
    <w:p w14:paraId="30537DC1" w14:textId="77777777" w:rsidR="0098695F" w:rsidRDefault="00043E1E">
      <w:pPr>
        <w:pStyle w:val="ListParagraph"/>
        <w:numPr>
          <w:ilvl w:val="0"/>
          <w:numId w:val="2"/>
        </w:numPr>
        <w:tabs>
          <w:tab w:val="left" w:pos="946"/>
          <w:tab w:val="left" w:pos="947"/>
        </w:tabs>
        <w:spacing w:before="121"/>
        <w:ind w:right="821" w:hanging="3"/>
        <w:rPr>
          <w:sz w:val="20"/>
        </w:rPr>
      </w:pPr>
      <w:r>
        <w:rPr>
          <w:sz w:val="20"/>
        </w:rPr>
        <w:t>The CVA delegate specifically brings in CVA technical expertise and makes this readily available during preparedness for scaling up CVA, situation analysis, needs assessment, CVA feasibility assessment, response design</w:t>
      </w:r>
      <w:r>
        <w:rPr>
          <w:spacing w:val="-14"/>
          <w:sz w:val="20"/>
        </w:rPr>
        <w:t xml:space="preserve"> </w:t>
      </w:r>
      <w:r>
        <w:rPr>
          <w:sz w:val="20"/>
        </w:rPr>
        <w:t>(including</w:t>
      </w:r>
      <w:r>
        <w:rPr>
          <w:spacing w:val="-13"/>
          <w:sz w:val="20"/>
        </w:rPr>
        <w:t xml:space="preserve"> </w:t>
      </w:r>
      <w:r>
        <w:rPr>
          <w:sz w:val="20"/>
        </w:rPr>
        <w:t>identifying</w:t>
      </w:r>
      <w:r>
        <w:rPr>
          <w:spacing w:val="-14"/>
          <w:sz w:val="20"/>
        </w:rPr>
        <w:t xml:space="preserve"> </w:t>
      </w:r>
      <w:r>
        <w:rPr>
          <w:sz w:val="20"/>
        </w:rPr>
        <w:t>beneficiary</w:t>
      </w:r>
      <w:r>
        <w:rPr>
          <w:spacing w:val="-13"/>
          <w:sz w:val="20"/>
        </w:rPr>
        <w:t xml:space="preserve"> </w:t>
      </w:r>
      <w:r>
        <w:rPr>
          <w:sz w:val="20"/>
        </w:rPr>
        <w:t>targeting</w:t>
      </w:r>
      <w:r>
        <w:rPr>
          <w:spacing w:val="-12"/>
          <w:sz w:val="20"/>
        </w:rPr>
        <w:t xml:space="preserve"> </w:t>
      </w:r>
      <w:r>
        <w:rPr>
          <w:sz w:val="20"/>
        </w:rPr>
        <w:t>criteria,</w:t>
      </w:r>
      <w:r>
        <w:rPr>
          <w:spacing w:val="-15"/>
          <w:sz w:val="20"/>
        </w:rPr>
        <w:t xml:space="preserve"> </w:t>
      </w:r>
      <w:r>
        <w:rPr>
          <w:sz w:val="20"/>
        </w:rPr>
        <w:t>selecting</w:t>
      </w:r>
      <w:r>
        <w:rPr>
          <w:spacing w:val="-14"/>
          <w:sz w:val="20"/>
        </w:rPr>
        <w:t xml:space="preserve"> </w:t>
      </w:r>
      <w:r>
        <w:rPr>
          <w:sz w:val="20"/>
        </w:rPr>
        <w:t>delivery</w:t>
      </w:r>
      <w:r>
        <w:rPr>
          <w:spacing w:val="-13"/>
          <w:sz w:val="20"/>
        </w:rPr>
        <w:t xml:space="preserve"> </w:t>
      </w:r>
      <w:r>
        <w:rPr>
          <w:sz w:val="20"/>
        </w:rPr>
        <w:t>mechanisms,</w:t>
      </w:r>
      <w:r>
        <w:rPr>
          <w:spacing w:val="-12"/>
          <w:sz w:val="20"/>
        </w:rPr>
        <w:t xml:space="preserve"> </w:t>
      </w:r>
      <w:r>
        <w:rPr>
          <w:sz w:val="20"/>
        </w:rPr>
        <w:t>setting</w:t>
      </w:r>
      <w:r>
        <w:rPr>
          <w:spacing w:val="-14"/>
          <w:sz w:val="20"/>
        </w:rPr>
        <w:t xml:space="preserve"> </w:t>
      </w:r>
      <w:r>
        <w:rPr>
          <w:sz w:val="20"/>
        </w:rPr>
        <w:t>transfer</w:t>
      </w:r>
      <w:r>
        <w:rPr>
          <w:spacing w:val="-13"/>
          <w:sz w:val="20"/>
        </w:rPr>
        <w:t xml:space="preserve"> </w:t>
      </w:r>
      <w:r>
        <w:rPr>
          <w:sz w:val="20"/>
        </w:rPr>
        <w:t xml:space="preserve">values in line with objectives and incorporating beneficiary preferences and participation), implementation of CVA </w:t>
      </w:r>
      <w:proofErr w:type="gramStart"/>
      <w:r>
        <w:rPr>
          <w:sz w:val="20"/>
        </w:rPr>
        <w:t>( including</w:t>
      </w:r>
      <w:proofErr w:type="gramEnd"/>
      <w:r>
        <w:rPr>
          <w:sz w:val="20"/>
        </w:rPr>
        <w:t xml:space="preserve"> monitoring, CEA and market</w:t>
      </w:r>
      <w:r>
        <w:rPr>
          <w:spacing w:val="-4"/>
          <w:sz w:val="20"/>
        </w:rPr>
        <w:t xml:space="preserve"> </w:t>
      </w:r>
      <w:r>
        <w:rPr>
          <w:sz w:val="20"/>
        </w:rPr>
        <w:t>monitoring).</w:t>
      </w:r>
    </w:p>
    <w:p w14:paraId="0E0C158E" w14:textId="77777777" w:rsidR="0098695F" w:rsidRDefault="00043E1E">
      <w:pPr>
        <w:pStyle w:val="ListParagraph"/>
        <w:numPr>
          <w:ilvl w:val="0"/>
          <w:numId w:val="2"/>
        </w:numPr>
        <w:tabs>
          <w:tab w:val="left" w:pos="946"/>
          <w:tab w:val="left" w:pos="947"/>
        </w:tabs>
        <w:ind w:right="819" w:hanging="3"/>
        <w:rPr>
          <w:sz w:val="20"/>
        </w:rPr>
      </w:pPr>
      <w:r>
        <w:rPr>
          <w:sz w:val="20"/>
        </w:rPr>
        <w:t>The</w:t>
      </w:r>
      <w:r>
        <w:rPr>
          <w:spacing w:val="-8"/>
          <w:sz w:val="20"/>
        </w:rPr>
        <w:t xml:space="preserve"> </w:t>
      </w:r>
      <w:r>
        <w:rPr>
          <w:sz w:val="20"/>
        </w:rPr>
        <w:t>CVA</w:t>
      </w:r>
      <w:r>
        <w:rPr>
          <w:spacing w:val="-9"/>
          <w:sz w:val="20"/>
        </w:rPr>
        <w:t xml:space="preserve"> </w:t>
      </w:r>
      <w:r>
        <w:rPr>
          <w:sz w:val="20"/>
        </w:rPr>
        <w:t>Delegate</w:t>
      </w:r>
      <w:r>
        <w:rPr>
          <w:spacing w:val="-8"/>
          <w:sz w:val="20"/>
        </w:rPr>
        <w:t xml:space="preserve"> </w:t>
      </w:r>
      <w:r>
        <w:rPr>
          <w:sz w:val="20"/>
        </w:rPr>
        <w:t>carries</w:t>
      </w:r>
      <w:r>
        <w:rPr>
          <w:spacing w:val="-8"/>
          <w:sz w:val="20"/>
        </w:rPr>
        <w:t xml:space="preserve"> </w:t>
      </w:r>
      <w:r>
        <w:rPr>
          <w:sz w:val="20"/>
        </w:rPr>
        <w:t>out</w:t>
      </w:r>
      <w:r>
        <w:rPr>
          <w:spacing w:val="-9"/>
          <w:sz w:val="20"/>
        </w:rPr>
        <w:t xml:space="preserve"> </w:t>
      </w:r>
      <w:r>
        <w:rPr>
          <w:sz w:val="20"/>
        </w:rPr>
        <w:t>all</w:t>
      </w:r>
      <w:r>
        <w:rPr>
          <w:spacing w:val="-9"/>
          <w:sz w:val="20"/>
        </w:rPr>
        <w:t xml:space="preserve"> </w:t>
      </w:r>
      <w:r>
        <w:rPr>
          <w:sz w:val="20"/>
        </w:rPr>
        <w:t>tasks</w:t>
      </w:r>
      <w:r>
        <w:rPr>
          <w:spacing w:val="-8"/>
          <w:sz w:val="20"/>
        </w:rPr>
        <w:t xml:space="preserve"> </w:t>
      </w:r>
      <w:r>
        <w:rPr>
          <w:sz w:val="20"/>
        </w:rPr>
        <w:t>with</w:t>
      </w:r>
      <w:r>
        <w:rPr>
          <w:spacing w:val="-9"/>
          <w:sz w:val="20"/>
        </w:rPr>
        <w:t xml:space="preserve"> </w:t>
      </w:r>
      <w:r>
        <w:rPr>
          <w:sz w:val="20"/>
        </w:rPr>
        <w:t>a</w:t>
      </w:r>
      <w:r>
        <w:rPr>
          <w:spacing w:val="-9"/>
          <w:sz w:val="20"/>
        </w:rPr>
        <w:t xml:space="preserve"> </w:t>
      </w:r>
      <w:r>
        <w:rPr>
          <w:sz w:val="20"/>
        </w:rPr>
        <w:t>building</w:t>
      </w:r>
      <w:r>
        <w:rPr>
          <w:spacing w:val="-9"/>
          <w:sz w:val="20"/>
        </w:rPr>
        <w:t xml:space="preserve"> </w:t>
      </w:r>
      <w:r>
        <w:rPr>
          <w:sz w:val="20"/>
        </w:rPr>
        <w:t>NS</w:t>
      </w:r>
      <w:r>
        <w:rPr>
          <w:spacing w:val="-9"/>
          <w:sz w:val="20"/>
        </w:rPr>
        <w:t xml:space="preserve"> </w:t>
      </w:r>
      <w:r>
        <w:rPr>
          <w:sz w:val="20"/>
        </w:rPr>
        <w:t>capacity</w:t>
      </w:r>
      <w:r>
        <w:rPr>
          <w:spacing w:val="-6"/>
          <w:sz w:val="20"/>
        </w:rPr>
        <w:t xml:space="preserve"> </w:t>
      </w:r>
      <w:r>
        <w:rPr>
          <w:sz w:val="20"/>
        </w:rPr>
        <w:t>approach,</w:t>
      </w:r>
      <w:r>
        <w:rPr>
          <w:spacing w:val="-9"/>
          <w:sz w:val="20"/>
        </w:rPr>
        <w:t xml:space="preserve"> </w:t>
      </w:r>
      <w:r>
        <w:rPr>
          <w:sz w:val="20"/>
        </w:rPr>
        <w:t>enabling</w:t>
      </w:r>
      <w:r>
        <w:rPr>
          <w:spacing w:val="-8"/>
          <w:sz w:val="20"/>
        </w:rPr>
        <w:t xml:space="preserve"> </w:t>
      </w:r>
      <w:r>
        <w:rPr>
          <w:sz w:val="20"/>
        </w:rPr>
        <w:t>the</w:t>
      </w:r>
      <w:r>
        <w:rPr>
          <w:spacing w:val="-9"/>
          <w:sz w:val="20"/>
        </w:rPr>
        <w:t xml:space="preserve"> </w:t>
      </w:r>
      <w:r>
        <w:rPr>
          <w:sz w:val="20"/>
        </w:rPr>
        <w:t>transition</w:t>
      </w:r>
      <w:r>
        <w:rPr>
          <w:spacing w:val="-8"/>
          <w:sz w:val="20"/>
        </w:rPr>
        <w:t xml:space="preserve"> </w:t>
      </w:r>
      <w:r>
        <w:rPr>
          <w:sz w:val="20"/>
        </w:rPr>
        <w:t>and scale up from pre-disaster operations to emergency response, through to recovery and transition to longer´- term development</w:t>
      </w:r>
      <w:r>
        <w:rPr>
          <w:spacing w:val="-2"/>
          <w:sz w:val="20"/>
        </w:rPr>
        <w:t xml:space="preserve"> </w:t>
      </w:r>
      <w:r>
        <w:rPr>
          <w:sz w:val="20"/>
        </w:rPr>
        <w:t>programming.</w:t>
      </w:r>
    </w:p>
    <w:p w14:paraId="00A3A428" w14:textId="77777777" w:rsidR="0098695F" w:rsidRDefault="00043E1E">
      <w:pPr>
        <w:pStyle w:val="ListParagraph"/>
        <w:numPr>
          <w:ilvl w:val="0"/>
          <w:numId w:val="2"/>
        </w:numPr>
        <w:tabs>
          <w:tab w:val="left" w:pos="946"/>
          <w:tab w:val="left" w:pos="947"/>
        </w:tabs>
        <w:ind w:right="822" w:hanging="3"/>
        <w:rPr>
          <w:sz w:val="20"/>
        </w:rPr>
      </w:pPr>
      <w:r>
        <w:rPr>
          <w:sz w:val="20"/>
        </w:rPr>
        <w:t>The CVA Delegate also serves as a technical resource for sectors considering including CVA as part of their response modality in relief and recovery and contributes to a coordinated RCRC Movement</w:t>
      </w:r>
      <w:r>
        <w:rPr>
          <w:spacing w:val="-19"/>
          <w:sz w:val="20"/>
        </w:rPr>
        <w:t xml:space="preserve"> </w:t>
      </w:r>
      <w:r>
        <w:rPr>
          <w:sz w:val="20"/>
        </w:rPr>
        <w:t>response.</w:t>
      </w:r>
    </w:p>
    <w:p w14:paraId="20DD5585" w14:textId="77777777" w:rsidR="0098695F" w:rsidRDefault="00043E1E">
      <w:pPr>
        <w:pStyle w:val="ListParagraph"/>
        <w:numPr>
          <w:ilvl w:val="0"/>
          <w:numId w:val="2"/>
        </w:numPr>
        <w:tabs>
          <w:tab w:val="left" w:pos="946"/>
          <w:tab w:val="left" w:pos="947"/>
        </w:tabs>
        <w:spacing w:before="122" w:line="237" w:lineRule="auto"/>
        <w:ind w:right="858" w:hanging="3"/>
        <w:jc w:val="left"/>
      </w:pPr>
      <w:r>
        <w:rPr>
          <w:sz w:val="20"/>
        </w:rPr>
        <w:t xml:space="preserve">The CVA Delegate also ensures links with the external CVA stakeholders including government actors, the private sector and the CVA humanitarian community, informing, </w:t>
      </w:r>
      <w:proofErr w:type="gramStart"/>
      <w:r>
        <w:rPr>
          <w:sz w:val="20"/>
        </w:rPr>
        <w:t>aligning</w:t>
      </w:r>
      <w:proofErr w:type="gramEnd"/>
      <w:r>
        <w:rPr>
          <w:sz w:val="20"/>
        </w:rPr>
        <w:t xml:space="preserve"> and coordinating CVA components</w:t>
      </w:r>
      <w:r>
        <w:rPr>
          <w:spacing w:val="-4"/>
          <w:sz w:val="20"/>
        </w:rPr>
        <w:t xml:space="preserve"> </w:t>
      </w:r>
      <w:r>
        <w:rPr>
          <w:sz w:val="20"/>
        </w:rPr>
        <w:t>as</w:t>
      </w:r>
      <w:r>
        <w:rPr>
          <w:spacing w:val="-2"/>
          <w:sz w:val="20"/>
        </w:rPr>
        <w:t xml:space="preserve"> </w:t>
      </w:r>
      <w:r>
        <w:rPr>
          <w:sz w:val="20"/>
        </w:rPr>
        <w:t>necessary</w:t>
      </w:r>
      <w:r>
        <w:rPr>
          <w:spacing w:val="-2"/>
          <w:sz w:val="20"/>
        </w:rPr>
        <w:t xml:space="preserve"> </w:t>
      </w:r>
      <w:r>
        <w:rPr>
          <w:sz w:val="20"/>
        </w:rPr>
        <w:t>to</w:t>
      </w:r>
      <w:r>
        <w:rPr>
          <w:spacing w:val="-3"/>
          <w:sz w:val="20"/>
        </w:rPr>
        <w:t xml:space="preserve"> </w:t>
      </w:r>
      <w:r>
        <w:rPr>
          <w:sz w:val="20"/>
        </w:rPr>
        <w:t>avoid</w:t>
      </w:r>
      <w:r>
        <w:rPr>
          <w:spacing w:val="-2"/>
          <w:sz w:val="20"/>
        </w:rPr>
        <w:t xml:space="preserve"> </w:t>
      </w:r>
      <w:r>
        <w:rPr>
          <w:sz w:val="20"/>
        </w:rPr>
        <w:t>duplication</w:t>
      </w:r>
      <w:r>
        <w:rPr>
          <w:spacing w:val="-2"/>
          <w:sz w:val="20"/>
        </w:rPr>
        <w:t xml:space="preserve"> </w:t>
      </w:r>
      <w:r>
        <w:rPr>
          <w:sz w:val="20"/>
        </w:rPr>
        <w:t>and</w:t>
      </w:r>
      <w:r>
        <w:rPr>
          <w:spacing w:val="-2"/>
          <w:sz w:val="20"/>
        </w:rPr>
        <w:t xml:space="preserve"> </w:t>
      </w:r>
      <w:r>
        <w:rPr>
          <w:sz w:val="20"/>
        </w:rPr>
        <w:t>maximize</w:t>
      </w:r>
      <w:r>
        <w:rPr>
          <w:spacing w:val="-3"/>
          <w:sz w:val="20"/>
        </w:rPr>
        <w:t xml:space="preserve"> </w:t>
      </w:r>
      <w:r>
        <w:rPr>
          <w:sz w:val="20"/>
        </w:rPr>
        <w:t>the</w:t>
      </w:r>
      <w:r>
        <w:rPr>
          <w:spacing w:val="-4"/>
          <w:sz w:val="20"/>
        </w:rPr>
        <w:t xml:space="preserve"> </w:t>
      </w:r>
      <w:r>
        <w:rPr>
          <w:sz w:val="20"/>
        </w:rPr>
        <w:t>impact</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overall</w:t>
      </w:r>
      <w:r>
        <w:rPr>
          <w:spacing w:val="-3"/>
          <w:sz w:val="20"/>
        </w:rPr>
        <w:t xml:space="preserve"> </w:t>
      </w:r>
      <w:r>
        <w:rPr>
          <w:sz w:val="20"/>
        </w:rPr>
        <w:t>humanitarian</w:t>
      </w:r>
      <w:r>
        <w:rPr>
          <w:spacing w:val="-2"/>
          <w:sz w:val="20"/>
        </w:rPr>
        <w:t xml:space="preserve"> </w:t>
      </w:r>
      <w:r>
        <w:rPr>
          <w:sz w:val="20"/>
        </w:rPr>
        <w:t>response.</w:t>
      </w:r>
    </w:p>
    <w:p w14:paraId="662691A1" w14:textId="77777777" w:rsidR="0098695F" w:rsidRDefault="00043E1E">
      <w:pPr>
        <w:pStyle w:val="ListParagraph"/>
        <w:numPr>
          <w:ilvl w:val="0"/>
          <w:numId w:val="2"/>
        </w:numPr>
        <w:tabs>
          <w:tab w:val="left" w:pos="946"/>
          <w:tab w:val="left" w:pos="947"/>
        </w:tabs>
        <w:spacing w:before="124" w:line="235" w:lineRule="auto"/>
        <w:ind w:right="1258" w:hanging="3"/>
        <w:jc w:val="left"/>
      </w:pPr>
      <w:r>
        <w:rPr>
          <w:sz w:val="20"/>
        </w:rPr>
        <w:t xml:space="preserve">The CVA Delegate uses NS CVA guidance and SOPs alongside RCRC Movement CVA guidance and tools including those found on the </w:t>
      </w:r>
      <w:hyperlink r:id="rId7">
        <w:r>
          <w:rPr>
            <w:sz w:val="20"/>
            <w:u w:val="single"/>
          </w:rPr>
          <w:t>Cash</w:t>
        </w:r>
        <w:r>
          <w:rPr>
            <w:spacing w:val="-6"/>
            <w:sz w:val="20"/>
            <w:u w:val="single"/>
          </w:rPr>
          <w:t xml:space="preserve"> </w:t>
        </w:r>
        <w:r>
          <w:rPr>
            <w:sz w:val="20"/>
            <w:u w:val="single"/>
          </w:rPr>
          <w:t>Hub.</w:t>
        </w:r>
      </w:hyperlink>
    </w:p>
    <w:p w14:paraId="70ADA94F" w14:textId="77777777" w:rsidR="0098695F" w:rsidRDefault="0098695F">
      <w:pPr>
        <w:spacing w:line="235" w:lineRule="auto"/>
        <w:sectPr w:rsidR="0098695F">
          <w:footerReference w:type="default" r:id="rId8"/>
          <w:type w:val="continuous"/>
          <w:pgSz w:w="11910" w:h="16840"/>
          <w:pgMar w:top="1580" w:right="680" w:bottom="1120" w:left="1180" w:header="720" w:footer="932" w:gutter="0"/>
          <w:pgNumType w:start="31"/>
          <w:cols w:space="720"/>
        </w:sectPr>
      </w:pPr>
    </w:p>
    <w:p w14:paraId="51453FB9" w14:textId="77777777" w:rsidR="0098695F" w:rsidRDefault="004F1518">
      <w:pPr>
        <w:pStyle w:val="BodyText"/>
        <w:ind w:left="113" w:firstLine="0"/>
      </w:pPr>
      <w:r>
        <w:pict w14:anchorId="319E85D6">
          <v:group id="_x0000_s1043" style="width:461.25pt;height:54.1pt;mso-position-horizontal-relative:char;mso-position-vertical-relative:line" coordsize="9225,1082">
            <v:line id="_x0000_s1050" style="position:absolute" from="10,5" to="9215,5" strokecolor="#87796c" strokeweight=".48pt"/>
            <v:line id="_x0000_s1049" style="position:absolute" from="5,0" to="5,1081" strokecolor="#87796c" strokeweight=".48pt"/>
            <v:line id="_x0000_s1048" style="position:absolute" from="10,1076" to="9215,1076" strokecolor="#87796c" strokeweight=".48pt"/>
            <v:line id="_x0000_s1047" style="position:absolute" from="9220,0" to="9220,1081" strokecolor="#87796c" strokeweight=".48pt"/>
            <v:shape id="_x0000_s1046" type="#_x0000_t202" style="position:absolute;left:112;top:348;width:8824;height:483" filled="f" stroked="f">
              <v:textbox inset="0,0,0,0">
                <w:txbxContent>
                  <w:p w14:paraId="2CBCD2F4" w14:textId="77777777" w:rsidR="0098695F" w:rsidRDefault="00043E1E">
                    <w:pPr>
                      <w:spacing w:line="204" w:lineRule="exact"/>
                      <w:rPr>
                        <w:sz w:val="20"/>
                      </w:rPr>
                    </w:pPr>
                    <w:r>
                      <w:rPr>
                        <w:sz w:val="20"/>
                      </w:rPr>
                      <w:t>cash preparedness, the scale of the disaster and the phase of the response in terms of both the project cycle</w:t>
                    </w:r>
                  </w:p>
                  <w:p w14:paraId="62F5B561" w14:textId="77777777" w:rsidR="0098695F" w:rsidRDefault="00043E1E">
                    <w:pPr>
                      <w:spacing w:before="38" w:line="241" w:lineRule="exact"/>
                      <w:rPr>
                        <w:sz w:val="20"/>
                      </w:rPr>
                    </w:pPr>
                    <w:r>
                      <w:rPr>
                        <w:sz w:val="20"/>
                      </w:rPr>
                      <w:t>phase and the rotation phase. All CVA delegates will align their technical support to the operation.</w:t>
                    </w:r>
                  </w:p>
                </w:txbxContent>
              </v:textbox>
            </v:shape>
            <v:shape id="_x0000_s1045" type="#_x0000_t202" style="position:absolute;left:833;top:68;width:7984;height:201" filled="f" stroked="f">
              <v:textbox inset="0,0,0,0">
                <w:txbxContent>
                  <w:p w14:paraId="29100723" w14:textId="77777777" w:rsidR="0098695F" w:rsidRDefault="00043E1E">
                    <w:pPr>
                      <w:spacing w:line="200" w:lineRule="exact"/>
                      <w:rPr>
                        <w:sz w:val="20"/>
                      </w:rPr>
                    </w:pPr>
                    <w:r>
                      <w:rPr>
                        <w:sz w:val="20"/>
                      </w:rPr>
                      <w:t>The focus of the technical CVA support required during deployment will depend on the NS level of</w:t>
                    </w:r>
                  </w:p>
                </w:txbxContent>
              </v:textbox>
            </v:shape>
            <v:shape id="_x0000_s1044" type="#_x0000_t202" style="position:absolute;left:110;top:53;width:153;height:220" filled="f" stroked="f">
              <v:textbox inset="0,0,0,0">
                <w:txbxContent>
                  <w:p w14:paraId="6AF43C8B" w14:textId="77777777" w:rsidR="0098695F" w:rsidRDefault="00043E1E">
                    <w:pPr>
                      <w:spacing w:line="220" w:lineRule="exact"/>
                    </w:pPr>
                    <w:r>
                      <w:rPr>
                        <w:w w:val="99"/>
                      </w:rPr>
                      <w:t>●</w:t>
                    </w:r>
                  </w:p>
                </w:txbxContent>
              </v:textbox>
            </v:shape>
            <w10:anchorlock/>
          </v:group>
        </w:pict>
      </w:r>
    </w:p>
    <w:p w14:paraId="68AA7824" w14:textId="77777777" w:rsidR="0098695F" w:rsidRDefault="0098695F">
      <w:pPr>
        <w:pStyle w:val="BodyText"/>
        <w:ind w:left="0" w:firstLine="0"/>
      </w:pPr>
    </w:p>
    <w:p w14:paraId="6ECFF868" w14:textId="77777777" w:rsidR="0098695F" w:rsidRDefault="0098695F">
      <w:pPr>
        <w:pStyle w:val="BodyText"/>
        <w:spacing w:before="1"/>
        <w:ind w:left="0" w:firstLine="0"/>
        <w:rPr>
          <w:sz w:val="15"/>
        </w:rPr>
      </w:pPr>
    </w:p>
    <w:p w14:paraId="3B79AD3C" w14:textId="77777777" w:rsidR="0098695F" w:rsidRDefault="0098695F">
      <w:pPr>
        <w:rPr>
          <w:sz w:val="15"/>
        </w:rPr>
        <w:sectPr w:rsidR="0098695F">
          <w:pgSz w:w="11910" w:h="16840"/>
          <w:pgMar w:top="1420" w:right="680" w:bottom="1200" w:left="1180" w:header="0" w:footer="932" w:gutter="0"/>
          <w:cols w:space="720"/>
        </w:sectPr>
      </w:pPr>
    </w:p>
    <w:p w14:paraId="45F7AF96" w14:textId="77777777" w:rsidR="0098695F" w:rsidRDefault="0098695F">
      <w:pPr>
        <w:pStyle w:val="BodyText"/>
        <w:ind w:left="0" w:firstLine="0"/>
      </w:pPr>
    </w:p>
    <w:p w14:paraId="4A17F0B2" w14:textId="77777777" w:rsidR="0098695F" w:rsidRDefault="0098695F">
      <w:pPr>
        <w:pStyle w:val="BodyText"/>
        <w:spacing w:before="3"/>
        <w:ind w:left="0" w:firstLine="0"/>
        <w:rPr>
          <w:sz w:val="22"/>
        </w:rPr>
      </w:pPr>
    </w:p>
    <w:p w14:paraId="1379C963" w14:textId="77777777" w:rsidR="0098695F" w:rsidRDefault="00043E1E">
      <w:pPr>
        <w:pStyle w:val="Heading1"/>
        <w:spacing w:before="1"/>
        <w:ind w:left="257" w:firstLine="0"/>
        <w:jc w:val="left"/>
      </w:pPr>
      <w:r>
        <w:t>Job duties and responsibilities</w:t>
      </w:r>
    </w:p>
    <w:p w14:paraId="422FA3F2" w14:textId="77777777" w:rsidR="0098695F" w:rsidRDefault="00043E1E">
      <w:pPr>
        <w:spacing w:before="43"/>
        <w:ind w:left="257"/>
        <w:rPr>
          <w:b/>
          <w:sz w:val="28"/>
        </w:rPr>
      </w:pPr>
      <w:r>
        <w:br w:type="column"/>
      </w:r>
      <w:r>
        <w:rPr>
          <w:b/>
          <w:sz w:val="28"/>
        </w:rPr>
        <w:t>Role (Job Requirements)</w:t>
      </w:r>
    </w:p>
    <w:p w14:paraId="38B1519B" w14:textId="77777777" w:rsidR="0098695F" w:rsidRDefault="0098695F">
      <w:pPr>
        <w:rPr>
          <w:sz w:val="28"/>
        </w:rPr>
        <w:sectPr w:rsidR="0098695F">
          <w:type w:val="continuous"/>
          <w:pgSz w:w="11910" w:h="16840"/>
          <w:pgMar w:top="1580" w:right="680" w:bottom="1120" w:left="1180" w:header="720" w:footer="720" w:gutter="0"/>
          <w:cols w:num="2" w:space="720" w:equalWidth="0">
            <w:col w:w="2798" w:space="292"/>
            <w:col w:w="6960"/>
          </w:cols>
        </w:sectPr>
      </w:pPr>
    </w:p>
    <w:p w14:paraId="05948738" w14:textId="77777777" w:rsidR="0098695F" w:rsidRDefault="0098695F">
      <w:pPr>
        <w:pStyle w:val="BodyText"/>
        <w:spacing w:before="2"/>
        <w:ind w:left="0" w:firstLine="0"/>
        <w:rPr>
          <w:b/>
          <w:sz w:val="15"/>
        </w:rPr>
      </w:pPr>
    </w:p>
    <w:p w14:paraId="2E143601" w14:textId="4A9FE4A9" w:rsidR="0098695F" w:rsidRDefault="004F1518">
      <w:pPr>
        <w:pStyle w:val="ListParagraph"/>
        <w:numPr>
          <w:ilvl w:val="1"/>
          <w:numId w:val="2"/>
        </w:numPr>
        <w:tabs>
          <w:tab w:val="left" w:pos="1093"/>
          <w:tab w:val="left" w:pos="1094"/>
        </w:tabs>
        <w:spacing w:before="60"/>
        <w:ind w:hanging="724"/>
        <w:jc w:val="both"/>
        <w:rPr>
          <w:b/>
          <w:sz w:val="20"/>
        </w:rPr>
      </w:pPr>
      <w:r>
        <w:pict w14:anchorId="298122CF">
          <v:group id="_x0000_s1036" style="position:absolute;left:0;text-align:left;margin-left:1in;margin-top:2.55pt;width:448.5pt;height:566.45pt;z-index:-252469248;mso-position-horizontal-relative:page" coordorigin="1440,51" coordsize="8970,11329">
            <v:line id="_x0000_s1042" style="position:absolute" from="1450,56" to="10400,56" strokecolor="#87796c" strokeweight=".48pt"/>
            <v:line id="_x0000_s1041" style="position:absolute" from="1445,51" to="1445,11370" strokecolor="#87796c" strokeweight=".48pt"/>
            <v:rect id="_x0000_s1040" style="position:absolute;left:1440;top:11370;width:10;height:10" fillcolor="#87796c" stroked="f"/>
            <v:line id="_x0000_s1039" style="position:absolute" from="1450,11375" to="10400,11375" strokecolor="#87796c" strokeweight=".48pt"/>
            <v:line id="_x0000_s1038" style="position:absolute" from="10405,51" to="10405,11370" strokecolor="#87796c" strokeweight=".16936mm"/>
            <v:rect id="_x0000_s1037" style="position:absolute;left:10400;top:11370;width:10;height:10" fillcolor="#87796c" stroked="f"/>
            <w10:wrap anchorx="page"/>
          </v:group>
        </w:pict>
      </w:r>
      <w:r w:rsidR="00043E1E" w:rsidRPr="00C207F8">
        <w:rPr>
          <w:b/>
          <w:sz w:val="20"/>
        </w:rPr>
        <w:t>Transition and Set</w:t>
      </w:r>
      <w:r w:rsidR="00043E1E" w:rsidRPr="00C207F8">
        <w:rPr>
          <w:b/>
          <w:spacing w:val="-3"/>
          <w:sz w:val="20"/>
        </w:rPr>
        <w:t xml:space="preserve"> </w:t>
      </w:r>
      <w:r w:rsidR="00043E1E" w:rsidRPr="00C207F8">
        <w:rPr>
          <w:b/>
          <w:sz w:val="20"/>
        </w:rPr>
        <w:t>up</w:t>
      </w:r>
    </w:p>
    <w:p w14:paraId="731404FA" w14:textId="2FD98D21" w:rsidR="00C207F8" w:rsidRPr="00C207F8" w:rsidRDefault="00C207F8" w:rsidP="00C207F8">
      <w:pPr>
        <w:pStyle w:val="ListParagraph"/>
        <w:numPr>
          <w:ilvl w:val="0"/>
          <w:numId w:val="1"/>
        </w:numPr>
        <w:tabs>
          <w:tab w:val="left" w:pos="1093"/>
          <w:tab w:val="left" w:pos="1094"/>
        </w:tabs>
        <w:spacing w:line="276" w:lineRule="auto"/>
        <w:ind w:right="928" w:hanging="3"/>
        <w:rPr>
          <w:bCs/>
          <w:sz w:val="20"/>
        </w:rPr>
      </w:pPr>
      <w:r w:rsidRPr="00C207F8">
        <w:rPr>
          <w:bCs/>
          <w:sz w:val="20"/>
        </w:rPr>
        <w:t xml:space="preserve">Identify and work with NS counterparts and staff from the outset building joint understanding of CVA. </w:t>
      </w:r>
    </w:p>
    <w:p w14:paraId="3C70D1C4" w14:textId="77777777" w:rsidR="0098695F" w:rsidRDefault="00043E1E">
      <w:pPr>
        <w:pStyle w:val="ListParagraph"/>
        <w:numPr>
          <w:ilvl w:val="0"/>
          <w:numId w:val="1"/>
        </w:numPr>
        <w:tabs>
          <w:tab w:val="left" w:pos="1093"/>
          <w:tab w:val="left" w:pos="1094"/>
        </w:tabs>
        <w:spacing w:line="276" w:lineRule="auto"/>
        <w:ind w:right="928" w:hanging="3"/>
        <w:rPr>
          <w:sz w:val="20"/>
        </w:rPr>
      </w:pPr>
      <w:r w:rsidRPr="00C207F8">
        <w:rPr>
          <w:sz w:val="20"/>
        </w:rPr>
        <w:t>Support</w:t>
      </w:r>
      <w:r>
        <w:rPr>
          <w:sz w:val="20"/>
        </w:rPr>
        <w:t xml:space="preserve"> and provide technical support and inputs in the ongoing operation, set up the CVA component</w:t>
      </w:r>
      <w:r>
        <w:rPr>
          <w:spacing w:val="-8"/>
          <w:sz w:val="20"/>
        </w:rPr>
        <w:t xml:space="preserve"> </w:t>
      </w:r>
      <w:r>
        <w:rPr>
          <w:sz w:val="20"/>
        </w:rPr>
        <w:t>including</w:t>
      </w:r>
      <w:r>
        <w:rPr>
          <w:spacing w:val="-6"/>
          <w:sz w:val="20"/>
        </w:rPr>
        <w:t xml:space="preserve"> </w:t>
      </w:r>
      <w:r>
        <w:rPr>
          <w:sz w:val="20"/>
        </w:rPr>
        <w:t>development</w:t>
      </w:r>
      <w:r>
        <w:rPr>
          <w:spacing w:val="-5"/>
          <w:sz w:val="20"/>
        </w:rPr>
        <w:t xml:space="preserve"> </w:t>
      </w:r>
      <w:r>
        <w:rPr>
          <w:sz w:val="20"/>
        </w:rPr>
        <w:t>of</w:t>
      </w:r>
      <w:r>
        <w:rPr>
          <w:spacing w:val="-8"/>
          <w:sz w:val="20"/>
        </w:rPr>
        <w:t xml:space="preserve"> </w:t>
      </w:r>
      <w:r>
        <w:rPr>
          <w:sz w:val="20"/>
        </w:rPr>
        <w:t>the</w:t>
      </w:r>
      <w:r>
        <w:rPr>
          <w:spacing w:val="-7"/>
          <w:sz w:val="20"/>
        </w:rPr>
        <w:t xml:space="preserve"> </w:t>
      </w:r>
      <w:r>
        <w:rPr>
          <w:sz w:val="20"/>
        </w:rPr>
        <w:t>plan</w:t>
      </w:r>
      <w:r>
        <w:rPr>
          <w:spacing w:val="-5"/>
          <w:sz w:val="20"/>
        </w:rPr>
        <w:t xml:space="preserve"> </w:t>
      </w:r>
      <w:r>
        <w:rPr>
          <w:sz w:val="20"/>
        </w:rPr>
        <w:t>of</w:t>
      </w:r>
      <w:r>
        <w:rPr>
          <w:spacing w:val="-7"/>
          <w:sz w:val="20"/>
        </w:rPr>
        <w:t xml:space="preserve"> </w:t>
      </w:r>
      <w:r>
        <w:rPr>
          <w:sz w:val="20"/>
        </w:rPr>
        <w:t>action</w:t>
      </w:r>
      <w:r>
        <w:rPr>
          <w:spacing w:val="-6"/>
          <w:sz w:val="20"/>
        </w:rPr>
        <w:t xml:space="preserve"> </w:t>
      </w:r>
      <w:r>
        <w:rPr>
          <w:sz w:val="20"/>
        </w:rPr>
        <w:t>and</w:t>
      </w:r>
      <w:r>
        <w:rPr>
          <w:spacing w:val="-7"/>
          <w:sz w:val="20"/>
        </w:rPr>
        <w:t xml:space="preserve"> </w:t>
      </w:r>
      <w:r>
        <w:rPr>
          <w:sz w:val="20"/>
        </w:rPr>
        <w:t>budget.</w:t>
      </w:r>
      <w:r>
        <w:rPr>
          <w:spacing w:val="-7"/>
          <w:sz w:val="20"/>
        </w:rPr>
        <w:t xml:space="preserve"> </w:t>
      </w:r>
      <w:r>
        <w:rPr>
          <w:sz w:val="20"/>
        </w:rPr>
        <w:t>Ensure</w:t>
      </w:r>
      <w:r>
        <w:rPr>
          <w:spacing w:val="-7"/>
          <w:sz w:val="20"/>
        </w:rPr>
        <w:t xml:space="preserve"> </w:t>
      </w:r>
      <w:r>
        <w:rPr>
          <w:sz w:val="20"/>
        </w:rPr>
        <w:t>programme</w:t>
      </w:r>
      <w:r>
        <w:rPr>
          <w:spacing w:val="-7"/>
          <w:sz w:val="20"/>
        </w:rPr>
        <w:t xml:space="preserve"> </w:t>
      </w:r>
      <w:r>
        <w:rPr>
          <w:sz w:val="20"/>
        </w:rPr>
        <w:t>delivery</w:t>
      </w:r>
      <w:r>
        <w:rPr>
          <w:spacing w:val="-5"/>
          <w:sz w:val="20"/>
        </w:rPr>
        <w:t xml:space="preserve"> </w:t>
      </w:r>
      <w:r>
        <w:rPr>
          <w:sz w:val="20"/>
        </w:rPr>
        <w:t>follows</w:t>
      </w:r>
      <w:r>
        <w:rPr>
          <w:spacing w:val="-7"/>
          <w:sz w:val="20"/>
        </w:rPr>
        <w:t xml:space="preserve"> </w:t>
      </w:r>
      <w:r>
        <w:rPr>
          <w:sz w:val="20"/>
        </w:rPr>
        <w:t>the Plan of Action, and beneficiary selection and transfer mechanisms follow agreed NS procedures and SOPs. Maintain overall oversight of all CVA elements ensuring targets are met and identified risks are</w:t>
      </w:r>
      <w:r>
        <w:rPr>
          <w:spacing w:val="-31"/>
          <w:sz w:val="20"/>
        </w:rPr>
        <w:t xml:space="preserve"> </w:t>
      </w:r>
      <w:r>
        <w:rPr>
          <w:sz w:val="20"/>
        </w:rPr>
        <w:t>mitigated.</w:t>
      </w:r>
    </w:p>
    <w:p w14:paraId="4F2C2D9C" w14:textId="77777777" w:rsidR="0098695F" w:rsidRDefault="00043E1E">
      <w:pPr>
        <w:pStyle w:val="ListParagraph"/>
        <w:numPr>
          <w:ilvl w:val="0"/>
          <w:numId w:val="1"/>
        </w:numPr>
        <w:tabs>
          <w:tab w:val="left" w:pos="1093"/>
          <w:tab w:val="left" w:pos="1094"/>
        </w:tabs>
        <w:spacing w:line="276" w:lineRule="auto"/>
        <w:ind w:right="933" w:hanging="3"/>
        <w:rPr>
          <w:sz w:val="20"/>
        </w:rPr>
      </w:pPr>
      <w:r>
        <w:rPr>
          <w:sz w:val="20"/>
        </w:rPr>
        <w:t xml:space="preserve">Promote the use of digital data collection/management tools </w:t>
      </w:r>
      <w:proofErr w:type="gramStart"/>
      <w:r>
        <w:rPr>
          <w:sz w:val="20"/>
        </w:rPr>
        <w:t>e.g.</w:t>
      </w:r>
      <w:proofErr w:type="gramEnd"/>
      <w:r>
        <w:rPr>
          <w:sz w:val="20"/>
        </w:rPr>
        <w:t xml:space="preserve"> Red Rose, Kobo, ODK, etc. for implementation of CVA with speed at scale for quality</w:t>
      </w:r>
      <w:r>
        <w:rPr>
          <w:spacing w:val="-8"/>
          <w:sz w:val="20"/>
        </w:rPr>
        <w:t xml:space="preserve"> </w:t>
      </w:r>
      <w:r>
        <w:rPr>
          <w:sz w:val="20"/>
        </w:rPr>
        <w:t>programming.</w:t>
      </w:r>
    </w:p>
    <w:p w14:paraId="6CDE989B" w14:textId="77777777" w:rsidR="0098695F" w:rsidRDefault="00043E1E">
      <w:pPr>
        <w:pStyle w:val="Heading1"/>
        <w:numPr>
          <w:ilvl w:val="1"/>
          <w:numId w:val="2"/>
        </w:numPr>
        <w:tabs>
          <w:tab w:val="left" w:pos="1093"/>
          <w:tab w:val="left" w:pos="1094"/>
        </w:tabs>
        <w:spacing w:before="120"/>
        <w:ind w:hanging="724"/>
        <w:jc w:val="both"/>
      </w:pPr>
      <w:r>
        <w:t>Coordination and</w:t>
      </w:r>
      <w:r>
        <w:rPr>
          <w:spacing w:val="-1"/>
        </w:rPr>
        <w:t xml:space="preserve"> </w:t>
      </w:r>
      <w:r>
        <w:t>communication</w:t>
      </w:r>
    </w:p>
    <w:p w14:paraId="32915178" w14:textId="77777777" w:rsidR="0098695F" w:rsidRDefault="00043E1E">
      <w:pPr>
        <w:pStyle w:val="ListParagraph"/>
        <w:numPr>
          <w:ilvl w:val="0"/>
          <w:numId w:val="1"/>
        </w:numPr>
        <w:tabs>
          <w:tab w:val="left" w:pos="1093"/>
          <w:tab w:val="left" w:pos="1094"/>
        </w:tabs>
        <w:spacing w:before="157" w:line="276" w:lineRule="auto"/>
        <w:ind w:right="931" w:hanging="3"/>
        <w:rPr>
          <w:sz w:val="20"/>
        </w:rPr>
      </w:pPr>
      <w:r>
        <w:rPr>
          <w:sz w:val="20"/>
        </w:rPr>
        <w:t>Coordinate with Movement and non-Movement programme partners. Together with the NS cash focal point, participate in the cash coordination structure when/if established and any other coordination meetings.</w:t>
      </w:r>
    </w:p>
    <w:p w14:paraId="0BEF3673" w14:textId="77777777" w:rsidR="0098695F" w:rsidRDefault="00043E1E">
      <w:pPr>
        <w:pStyle w:val="ListParagraph"/>
        <w:numPr>
          <w:ilvl w:val="0"/>
          <w:numId w:val="1"/>
        </w:numPr>
        <w:tabs>
          <w:tab w:val="left" w:pos="1093"/>
          <w:tab w:val="left" w:pos="1094"/>
        </w:tabs>
        <w:spacing w:line="276" w:lineRule="auto"/>
        <w:ind w:right="928" w:hanging="3"/>
        <w:rPr>
          <w:sz w:val="20"/>
        </w:rPr>
      </w:pPr>
      <w:r>
        <w:rPr>
          <w:sz w:val="20"/>
        </w:rPr>
        <w:t>Ensure</w:t>
      </w:r>
      <w:r>
        <w:rPr>
          <w:spacing w:val="-11"/>
          <w:sz w:val="20"/>
        </w:rPr>
        <w:t xml:space="preserve"> </w:t>
      </w:r>
      <w:r>
        <w:rPr>
          <w:sz w:val="20"/>
        </w:rPr>
        <w:t>the</w:t>
      </w:r>
      <w:r>
        <w:rPr>
          <w:spacing w:val="-10"/>
          <w:sz w:val="20"/>
        </w:rPr>
        <w:t xml:space="preserve"> </w:t>
      </w:r>
      <w:r>
        <w:rPr>
          <w:sz w:val="20"/>
        </w:rPr>
        <w:t>host</w:t>
      </w:r>
      <w:r>
        <w:rPr>
          <w:spacing w:val="-9"/>
          <w:sz w:val="20"/>
        </w:rPr>
        <w:t xml:space="preserve"> </w:t>
      </w:r>
      <w:r>
        <w:rPr>
          <w:sz w:val="20"/>
        </w:rPr>
        <w:t>NS</w:t>
      </w:r>
      <w:r>
        <w:rPr>
          <w:spacing w:val="-8"/>
          <w:sz w:val="20"/>
        </w:rPr>
        <w:t xml:space="preserve"> </w:t>
      </w:r>
      <w:r>
        <w:rPr>
          <w:sz w:val="20"/>
        </w:rPr>
        <w:t>is</w:t>
      </w:r>
      <w:r>
        <w:rPr>
          <w:spacing w:val="-10"/>
          <w:sz w:val="20"/>
        </w:rPr>
        <w:t xml:space="preserve"> </w:t>
      </w:r>
      <w:r>
        <w:rPr>
          <w:sz w:val="20"/>
        </w:rPr>
        <w:t>represented</w:t>
      </w:r>
      <w:r>
        <w:rPr>
          <w:spacing w:val="-9"/>
          <w:sz w:val="20"/>
        </w:rPr>
        <w:t xml:space="preserve"> </w:t>
      </w:r>
      <w:r>
        <w:rPr>
          <w:sz w:val="20"/>
        </w:rPr>
        <w:t>in</w:t>
      </w:r>
      <w:r>
        <w:rPr>
          <w:spacing w:val="-9"/>
          <w:sz w:val="20"/>
        </w:rPr>
        <w:t xml:space="preserve"> </w:t>
      </w:r>
      <w:r>
        <w:rPr>
          <w:sz w:val="20"/>
        </w:rPr>
        <w:t>external</w:t>
      </w:r>
      <w:r>
        <w:rPr>
          <w:spacing w:val="-9"/>
          <w:sz w:val="20"/>
        </w:rPr>
        <w:t xml:space="preserve"> </w:t>
      </w:r>
      <w:r>
        <w:rPr>
          <w:sz w:val="20"/>
        </w:rPr>
        <w:t>CVA</w:t>
      </w:r>
      <w:r>
        <w:rPr>
          <w:spacing w:val="-10"/>
          <w:sz w:val="20"/>
        </w:rPr>
        <w:t xml:space="preserve"> </w:t>
      </w:r>
      <w:r>
        <w:rPr>
          <w:sz w:val="20"/>
        </w:rPr>
        <w:t>coordination</w:t>
      </w:r>
      <w:r>
        <w:rPr>
          <w:spacing w:val="-9"/>
          <w:sz w:val="20"/>
        </w:rPr>
        <w:t xml:space="preserve"> </w:t>
      </w:r>
      <w:r>
        <w:rPr>
          <w:sz w:val="20"/>
        </w:rPr>
        <w:t>forums</w:t>
      </w:r>
      <w:r>
        <w:rPr>
          <w:spacing w:val="-9"/>
          <w:sz w:val="20"/>
        </w:rPr>
        <w:t xml:space="preserve"> </w:t>
      </w:r>
      <w:r>
        <w:rPr>
          <w:sz w:val="20"/>
        </w:rPr>
        <w:t>and</w:t>
      </w:r>
      <w:r>
        <w:rPr>
          <w:spacing w:val="-9"/>
          <w:sz w:val="20"/>
        </w:rPr>
        <w:t xml:space="preserve"> </w:t>
      </w:r>
      <w:r>
        <w:rPr>
          <w:sz w:val="20"/>
        </w:rPr>
        <w:t>is</w:t>
      </w:r>
      <w:r>
        <w:rPr>
          <w:spacing w:val="-10"/>
          <w:sz w:val="20"/>
        </w:rPr>
        <w:t xml:space="preserve"> </w:t>
      </w:r>
      <w:r>
        <w:rPr>
          <w:sz w:val="20"/>
        </w:rPr>
        <w:t>seen</w:t>
      </w:r>
      <w:r>
        <w:rPr>
          <w:spacing w:val="-9"/>
          <w:sz w:val="20"/>
        </w:rPr>
        <w:t xml:space="preserve"> </w:t>
      </w:r>
      <w:r>
        <w:rPr>
          <w:sz w:val="20"/>
        </w:rPr>
        <w:t>as</w:t>
      </w:r>
      <w:r>
        <w:rPr>
          <w:spacing w:val="-9"/>
          <w:sz w:val="20"/>
        </w:rPr>
        <w:t xml:space="preserve"> </w:t>
      </w:r>
      <w:r>
        <w:rPr>
          <w:sz w:val="20"/>
        </w:rPr>
        <w:t>a</w:t>
      </w:r>
      <w:r>
        <w:rPr>
          <w:spacing w:val="-10"/>
          <w:sz w:val="20"/>
        </w:rPr>
        <w:t xml:space="preserve"> </w:t>
      </w:r>
      <w:r>
        <w:rPr>
          <w:sz w:val="20"/>
        </w:rPr>
        <w:t>credible</w:t>
      </w:r>
      <w:r>
        <w:rPr>
          <w:spacing w:val="-10"/>
          <w:sz w:val="20"/>
        </w:rPr>
        <w:t xml:space="preserve"> </w:t>
      </w:r>
      <w:r>
        <w:rPr>
          <w:sz w:val="20"/>
        </w:rPr>
        <w:t>CVA player throughout the</w:t>
      </w:r>
      <w:r>
        <w:rPr>
          <w:spacing w:val="-3"/>
          <w:sz w:val="20"/>
        </w:rPr>
        <w:t xml:space="preserve"> </w:t>
      </w:r>
      <w:r>
        <w:rPr>
          <w:sz w:val="20"/>
        </w:rPr>
        <w:t>response</w:t>
      </w:r>
    </w:p>
    <w:p w14:paraId="730882AF" w14:textId="77777777" w:rsidR="0098695F" w:rsidRDefault="00043E1E">
      <w:pPr>
        <w:pStyle w:val="ListParagraph"/>
        <w:numPr>
          <w:ilvl w:val="0"/>
          <w:numId w:val="1"/>
        </w:numPr>
        <w:tabs>
          <w:tab w:val="left" w:pos="1093"/>
          <w:tab w:val="left" w:pos="1094"/>
        </w:tabs>
        <w:spacing w:line="276" w:lineRule="auto"/>
        <w:ind w:right="929" w:hanging="3"/>
        <w:rPr>
          <w:sz w:val="20"/>
        </w:rPr>
      </w:pPr>
      <w:r>
        <w:rPr>
          <w:sz w:val="20"/>
        </w:rPr>
        <w:t>Use available data generated by external CVA actors in country to determine the transfer value which best meets the project objectives and decide on the frequency of the transfer. Share RCRC CVA plans with other actors to avoid duplication and enhance coverage of</w:t>
      </w:r>
      <w:r>
        <w:rPr>
          <w:spacing w:val="-11"/>
          <w:sz w:val="20"/>
        </w:rPr>
        <w:t xml:space="preserve"> </w:t>
      </w:r>
      <w:r>
        <w:rPr>
          <w:sz w:val="20"/>
        </w:rPr>
        <w:t>needs.</w:t>
      </w:r>
    </w:p>
    <w:p w14:paraId="288A7A86" w14:textId="77777777" w:rsidR="0098695F" w:rsidRDefault="00043E1E">
      <w:pPr>
        <w:pStyle w:val="Heading1"/>
        <w:numPr>
          <w:ilvl w:val="1"/>
          <w:numId w:val="2"/>
        </w:numPr>
        <w:tabs>
          <w:tab w:val="left" w:pos="572"/>
        </w:tabs>
        <w:spacing w:before="120"/>
        <w:ind w:left="571" w:hanging="202"/>
        <w:jc w:val="both"/>
      </w:pPr>
      <w:r>
        <w:t>Assessment and CVA</w:t>
      </w:r>
      <w:r>
        <w:rPr>
          <w:spacing w:val="-3"/>
        </w:rPr>
        <w:t xml:space="preserve"> </w:t>
      </w:r>
      <w:r>
        <w:t>Feasibility</w:t>
      </w:r>
    </w:p>
    <w:p w14:paraId="638B1F66" w14:textId="77777777" w:rsidR="0098695F" w:rsidRDefault="00043E1E">
      <w:pPr>
        <w:pStyle w:val="ListParagraph"/>
        <w:numPr>
          <w:ilvl w:val="0"/>
          <w:numId w:val="1"/>
        </w:numPr>
        <w:tabs>
          <w:tab w:val="left" w:pos="1093"/>
          <w:tab w:val="left" w:pos="1094"/>
        </w:tabs>
        <w:spacing w:before="157" w:line="276" w:lineRule="auto"/>
        <w:ind w:right="929" w:hanging="3"/>
        <w:rPr>
          <w:sz w:val="20"/>
        </w:rPr>
      </w:pPr>
      <w:r>
        <w:rPr>
          <w:sz w:val="20"/>
        </w:rPr>
        <w:t>Use RCRC movement tools to carry out CVA feasibility assessment considering the needs, priorities and preferences of affected population, the market conditions, the government policies, the available payment mechanisms, the NS organizational capacity, and other relevant key</w:t>
      </w:r>
      <w:r>
        <w:rPr>
          <w:spacing w:val="-13"/>
          <w:sz w:val="20"/>
        </w:rPr>
        <w:t xml:space="preserve"> </w:t>
      </w:r>
      <w:r>
        <w:rPr>
          <w:sz w:val="20"/>
        </w:rPr>
        <w:t>criteria.</w:t>
      </w:r>
    </w:p>
    <w:p w14:paraId="6B407926" w14:textId="77777777" w:rsidR="0098695F" w:rsidRDefault="00043E1E">
      <w:pPr>
        <w:pStyle w:val="ListParagraph"/>
        <w:numPr>
          <w:ilvl w:val="0"/>
          <w:numId w:val="1"/>
        </w:numPr>
        <w:tabs>
          <w:tab w:val="left" w:pos="1093"/>
          <w:tab w:val="left" w:pos="1094"/>
        </w:tabs>
        <w:spacing w:before="0"/>
        <w:ind w:left="1093" w:hanging="724"/>
        <w:rPr>
          <w:sz w:val="20"/>
        </w:rPr>
      </w:pPr>
      <w:r>
        <w:rPr>
          <w:sz w:val="20"/>
        </w:rPr>
        <w:t>Support market analysis together with Procurement/Logistics</w:t>
      </w:r>
      <w:r>
        <w:rPr>
          <w:spacing w:val="-5"/>
          <w:sz w:val="20"/>
        </w:rPr>
        <w:t xml:space="preserve"> </w:t>
      </w:r>
      <w:r>
        <w:rPr>
          <w:sz w:val="20"/>
        </w:rPr>
        <w:t>unit.</w:t>
      </w:r>
    </w:p>
    <w:p w14:paraId="237492A1" w14:textId="77777777" w:rsidR="0098695F" w:rsidRDefault="00043E1E">
      <w:pPr>
        <w:pStyle w:val="ListParagraph"/>
        <w:numPr>
          <w:ilvl w:val="0"/>
          <w:numId w:val="1"/>
        </w:numPr>
        <w:tabs>
          <w:tab w:val="left" w:pos="1093"/>
          <w:tab w:val="left" w:pos="1094"/>
        </w:tabs>
        <w:spacing w:before="37" w:line="276" w:lineRule="auto"/>
        <w:ind w:right="926" w:hanging="3"/>
        <w:rPr>
          <w:sz w:val="20"/>
        </w:rPr>
      </w:pPr>
      <w:r>
        <w:rPr>
          <w:sz w:val="20"/>
        </w:rPr>
        <w:t xml:space="preserve">Use RCRC Movement market analysis tools to carry out a market analysis as part of CVA feasibility. Share findings with all sectors. Consolidate the market findings </w:t>
      </w:r>
      <w:proofErr w:type="gramStart"/>
      <w:r>
        <w:rPr>
          <w:sz w:val="20"/>
        </w:rPr>
        <w:t>in order to</w:t>
      </w:r>
      <w:proofErr w:type="gramEnd"/>
      <w:r>
        <w:rPr>
          <w:sz w:val="20"/>
        </w:rPr>
        <w:t xml:space="preserve"> determine whether the market will be able to respond to the needs, as well as to identify market-based interventions to assist the shock affected</w:t>
      </w:r>
      <w:r>
        <w:rPr>
          <w:spacing w:val="-2"/>
          <w:sz w:val="20"/>
        </w:rPr>
        <w:t xml:space="preserve"> </w:t>
      </w:r>
      <w:r>
        <w:rPr>
          <w:sz w:val="20"/>
        </w:rPr>
        <w:t>population.</w:t>
      </w:r>
    </w:p>
    <w:p w14:paraId="4A29ECA6" w14:textId="77777777" w:rsidR="0098695F" w:rsidRDefault="0098695F">
      <w:pPr>
        <w:pStyle w:val="BodyText"/>
        <w:spacing w:before="11"/>
        <w:ind w:left="0" w:firstLine="0"/>
        <w:rPr>
          <w:sz w:val="22"/>
        </w:rPr>
      </w:pPr>
    </w:p>
    <w:p w14:paraId="4568850E" w14:textId="77777777" w:rsidR="0098695F" w:rsidRDefault="00043E1E">
      <w:pPr>
        <w:pStyle w:val="Heading1"/>
        <w:numPr>
          <w:ilvl w:val="1"/>
          <w:numId w:val="2"/>
        </w:numPr>
        <w:tabs>
          <w:tab w:val="left" w:pos="1093"/>
          <w:tab w:val="left" w:pos="1094"/>
        </w:tabs>
        <w:spacing w:before="0"/>
        <w:ind w:hanging="724"/>
        <w:jc w:val="both"/>
      </w:pPr>
      <w:r>
        <w:t>Response</w:t>
      </w:r>
      <w:r>
        <w:rPr>
          <w:spacing w:val="-1"/>
        </w:rPr>
        <w:t xml:space="preserve"> </w:t>
      </w:r>
      <w:r>
        <w:t>Analysis</w:t>
      </w:r>
    </w:p>
    <w:p w14:paraId="55C54160" w14:textId="77777777" w:rsidR="0098695F" w:rsidRDefault="00043E1E">
      <w:pPr>
        <w:pStyle w:val="ListParagraph"/>
        <w:numPr>
          <w:ilvl w:val="0"/>
          <w:numId w:val="1"/>
        </w:numPr>
        <w:tabs>
          <w:tab w:val="left" w:pos="1093"/>
          <w:tab w:val="left" w:pos="1094"/>
        </w:tabs>
        <w:spacing w:before="37" w:line="276" w:lineRule="auto"/>
        <w:ind w:right="933" w:hanging="3"/>
        <w:rPr>
          <w:sz w:val="20"/>
        </w:rPr>
      </w:pPr>
      <w:r>
        <w:rPr>
          <w:sz w:val="20"/>
        </w:rPr>
        <w:t>Share CVA feasibility results with all sectors and support service functions for decision making on response options and modality</w:t>
      </w:r>
      <w:r>
        <w:rPr>
          <w:spacing w:val="-2"/>
          <w:sz w:val="20"/>
        </w:rPr>
        <w:t xml:space="preserve"> </w:t>
      </w:r>
      <w:r>
        <w:rPr>
          <w:sz w:val="20"/>
        </w:rPr>
        <w:t>choice.</w:t>
      </w:r>
    </w:p>
    <w:p w14:paraId="0B69F12C" w14:textId="77777777" w:rsidR="0098695F" w:rsidRDefault="00043E1E">
      <w:pPr>
        <w:pStyle w:val="ListParagraph"/>
        <w:numPr>
          <w:ilvl w:val="0"/>
          <w:numId w:val="1"/>
        </w:numPr>
        <w:tabs>
          <w:tab w:val="left" w:pos="1093"/>
          <w:tab w:val="left" w:pos="1094"/>
        </w:tabs>
        <w:spacing w:before="0" w:line="276" w:lineRule="auto"/>
        <w:ind w:right="927" w:hanging="3"/>
        <w:rPr>
          <w:sz w:val="20"/>
        </w:rPr>
      </w:pPr>
      <w:r>
        <w:rPr>
          <w:sz w:val="20"/>
        </w:rPr>
        <w:t>Ensure close collaboration with relief teams for the identification of in-kind and CVA specific responses as part of an integrated response and identify the target groups and eligibility criteria that best correspond to the assessed needs and response</w:t>
      </w:r>
      <w:r>
        <w:rPr>
          <w:spacing w:val="-6"/>
          <w:sz w:val="20"/>
        </w:rPr>
        <w:t xml:space="preserve"> </w:t>
      </w:r>
      <w:r>
        <w:rPr>
          <w:sz w:val="20"/>
        </w:rPr>
        <w:t>plan.</w:t>
      </w:r>
    </w:p>
    <w:p w14:paraId="7A55CAAC" w14:textId="77777777" w:rsidR="0098695F" w:rsidRDefault="00043E1E">
      <w:pPr>
        <w:pStyle w:val="ListParagraph"/>
        <w:numPr>
          <w:ilvl w:val="0"/>
          <w:numId w:val="1"/>
        </w:numPr>
        <w:tabs>
          <w:tab w:val="left" w:pos="1093"/>
          <w:tab w:val="left" w:pos="1094"/>
        </w:tabs>
        <w:spacing w:before="0" w:line="276" w:lineRule="auto"/>
        <w:ind w:right="930" w:hanging="3"/>
        <w:rPr>
          <w:sz w:val="20"/>
        </w:rPr>
      </w:pPr>
      <w:r>
        <w:rPr>
          <w:sz w:val="20"/>
        </w:rPr>
        <w:t>Use available information to set the transfer value, the number of transfers and the regularity of the transfer in line with relief and recovery response</w:t>
      </w:r>
      <w:r>
        <w:rPr>
          <w:spacing w:val="-6"/>
          <w:sz w:val="20"/>
        </w:rPr>
        <w:t xml:space="preserve"> </w:t>
      </w:r>
      <w:r>
        <w:rPr>
          <w:sz w:val="20"/>
        </w:rPr>
        <w:t>objectives.</w:t>
      </w:r>
    </w:p>
    <w:p w14:paraId="484D1056" w14:textId="77777777" w:rsidR="0098695F" w:rsidRDefault="0098695F">
      <w:pPr>
        <w:spacing w:line="276" w:lineRule="auto"/>
        <w:jc w:val="both"/>
        <w:rPr>
          <w:sz w:val="20"/>
        </w:rPr>
        <w:sectPr w:rsidR="0098695F">
          <w:type w:val="continuous"/>
          <w:pgSz w:w="11910" w:h="16840"/>
          <w:pgMar w:top="1580" w:right="680" w:bottom="1120" w:left="1180" w:header="720" w:footer="720" w:gutter="0"/>
          <w:cols w:space="720"/>
        </w:sectPr>
      </w:pPr>
    </w:p>
    <w:p w14:paraId="4F7883CA" w14:textId="77777777" w:rsidR="0098695F" w:rsidRDefault="004F1518">
      <w:pPr>
        <w:pStyle w:val="ListParagraph"/>
        <w:numPr>
          <w:ilvl w:val="0"/>
          <w:numId w:val="1"/>
        </w:numPr>
        <w:tabs>
          <w:tab w:val="left" w:pos="1093"/>
          <w:tab w:val="left" w:pos="1094"/>
        </w:tabs>
        <w:spacing w:before="30" w:line="276" w:lineRule="auto"/>
        <w:ind w:right="929" w:hanging="3"/>
        <w:rPr>
          <w:sz w:val="20"/>
        </w:rPr>
      </w:pPr>
      <w:r>
        <w:lastRenderedPageBreak/>
        <w:pict w14:anchorId="4393D479">
          <v:group id="_x0000_s1026" style="position:absolute;left:0;text-align:left;margin-left:1in;margin-top:1in;width:448.5pt;height:680.65pt;z-index:-252468224;mso-position-horizontal-relative:page;mso-position-vertical-relative:page" coordorigin="1440,1440" coordsize="8970,13613">
            <v:rect id="_x0000_s1034" style="position:absolute;left:1440;top:1440;width:10;height:10" fillcolor="#87796c" stroked="f"/>
            <v:line id="_x0000_s1033" style="position:absolute" from="1450,1445" to="10400,1445" strokecolor="#87796c" strokeweight=".48pt"/>
            <v:rect id="_x0000_s1032" style="position:absolute;left:10400;top:1440;width:10;height:10" fillcolor="#87796c" stroked="f"/>
            <v:line id="_x0000_s1031" style="position:absolute" from="1445,1450" to="1445,15043" strokecolor="#87796c" strokeweight=".48pt"/>
            <v:rect id="_x0000_s1030" style="position:absolute;left:1440;top:15043;width:10;height:10" fillcolor="#87796c" stroked="f"/>
            <v:line id="_x0000_s1029" style="position:absolute" from="1450,15048" to="10400,15048" strokecolor="#87796c" strokeweight=".48pt"/>
            <v:line id="_x0000_s1028" style="position:absolute" from="10405,1450" to="10405,15043" strokecolor="#87796c" strokeweight=".16936mm"/>
            <v:rect id="_x0000_s1027" style="position:absolute;left:10400;top:15043;width:10;height:10" fillcolor="#87796c" stroked="f"/>
            <w10:wrap anchorx="page" anchory="page"/>
          </v:group>
        </w:pict>
      </w:r>
      <w:r w:rsidR="00043E1E">
        <w:rPr>
          <w:sz w:val="20"/>
        </w:rPr>
        <w:t>Use available information to select the appropriate CVA delivery mechanisms for different CVA components of the response prioritising speed and scale in relief along with cost effectiveness related aspects such as beneficiary preference, safety and security, and context specific considerations for different target</w:t>
      </w:r>
      <w:r w:rsidR="00043E1E">
        <w:rPr>
          <w:spacing w:val="-2"/>
          <w:sz w:val="20"/>
        </w:rPr>
        <w:t xml:space="preserve"> </w:t>
      </w:r>
      <w:r w:rsidR="00043E1E">
        <w:rPr>
          <w:sz w:val="20"/>
        </w:rPr>
        <w:t>groups.</w:t>
      </w:r>
    </w:p>
    <w:p w14:paraId="5D64C056" w14:textId="77777777" w:rsidR="0098695F" w:rsidRDefault="00043E1E">
      <w:pPr>
        <w:pStyle w:val="Heading1"/>
        <w:numPr>
          <w:ilvl w:val="1"/>
          <w:numId w:val="2"/>
        </w:numPr>
        <w:tabs>
          <w:tab w:val="left" w:pos="1093"/>
          <w:tab w:val="left" w:pos="1094"/>
        </w:tabs>
        <w:spacing w:before="121"/>
        <w:ind w:hanging="724"/>
        <w:jc w:val="both"/>
      </w:pPr>
      <w:r>
        <w:t>Operational set</w:t>
      </w:r>
      <w:r>
        <w:rPr>
          <w:spacing w:val="-1"/>
        </w:rPr>
        <w:t xml:space="preserve"> </w:t>
      </w:r>
      <w:r>
        <w:t>up</w:t>
      </w:r>
    </w:p>
    <w:p w14:paraId="7D3388EB" w14:textId="77777777" w:rsidR="0098695F" w:rsidRDefault="00043E1E">
      <w:pPr>
        <w:pStyle w:val="ListParagraph"/>
        <w:numPr>
          <w:ilvl w:val="0"/>
          <w:numId w:val="1"/>
        </w:numPr>
        <w:tabs>
          <w:tab w:val="left" w:pos="1093"/>
          <w:tab w:val="left" w:pos="1094"/>
        </w:tabs>
        <w:spacing w:before="156" w:line="276" w:lineRule="auto"/>
        <w:ind w:right="927" w:hanging="3"/>
        <w:rPr>
          <w:sz w:val="20"/>
        </w:rPr>
      </w:pPr>
      <w:r>
        <w:rPr>
          <w:sz w:val="20"/>
        </w:rPr>
        <w:t>Support and provide technical support and inputs in the ongoing operation. Be responsible for setting up the CVA component including development of the plan of action and budget. Ensure programme delivery follows the Plan of Action, and beneficiary selection and transfer mechanisms follow agreed NS procedures</w:t>
      </w:r>
      <w:r>
        <w:rPr>
          <w:spacing w:val="-7"/>
          <w:sz w:val="20"/>
        </w:rPr>
        <w:t xml:space="preserve"> </w:t>
      </w:r>
      <w:r>
        <w:rPr>
          <w:sz w:val="20"/>
        </w:rPr>
        <w:t>and</w:t>
      </w:r>
      <w:r>
        <w:rPr>
          <w:spacing w:val="-5"/>
          <w:sz w:val="20"/>
        </w:rPr>
        <w:t xml:space="preserve"> </w:t>
      </w:r>
      <w:r>
        <w:rPr>
          <w:sz w:val="20"/>
        </w:rPr>
        <w:t>SOPs.</w:t>
      </w:r>
      <w:r>
        <w:rPr>
          <w:spacing w:val="-6"/>
          <w:sz w:val="20"/>
        </w:rPr>
        <w:t xml:space="preserve"> </w:t>
      </w:r>
      <w:r>
        <w:rPr>
          <w:sz w:val="20"/>
        </w:rPr>
        <w:t>Maintain</w:t>
      </w:r>
      <w:r>
        <w:rPr>
          <w:spacing w:val="-7"/>
          <w:sz w:val="20"/>
        </w:rPr>
        <w:t xml:space="preserve"> </w:t>
      </w:r>
      <w:r>
        <w:rPr>
          <w:sz w:val="20"/>
        </w:rPr>
        <w:t>overall</w:t>
      </w:r>
      <w:r>
        <w:rPr>
          <w:spacing w:val="-6"/>
          <w:sz w:val="20"/>
        </w:rPr>
        <w:t xml:space="preserve"> </w:t>
      </w:r>
      <w:r>
        <w:rPr>
          <w:sz w:val="20"/>
        </w:rPr>
        <w:t>oversight</w:t>
      </w:r>
      <w:r>
        <w:rPr>
          <w:spacing w:val="-5"/>
          <w:sz w:val="20"/>
        </w:rPr>
        <w:t xml:space="preserve"> </w:t>
      </w:r>
      <w:r>
        <w:rPr>
          <w:sz w:val="20"/>
        </w:rPr>
        <w:t>of</w:t>
      </w:r>
      <w:r>
        <w:rPr>
          <w:spacing w:val="-7"/>
          <w:sz w:val="20"/>
        </w:rPr>
        <w:t xml:space="preserve"> </w:t>
      </w:r>
      <w:r>
        <w:rPr>
          <w:sz w:val="20"/>
        </w:rPr>
        <w:t>all</w:t>
      </w:r>
      <w:r>
        <w:rPr>
          <w:spacing w:val="-8"/>
          <w:sz w:val="20"/>
        </w:rPr>
        <w:t xml:space="preserve"> </w:t>
      </w:r>
      <w:r>
        <w:rPr>
          <w:sz w:val="20"/>
        </w:rPr>
        <w:t>CVA</w:t>
      </w:r>
      <w:r>
        <w:rPr>
          <w:spacing w:val="-6"/>
          <w:sz w:val="20"/>
        </w:rPr>
        <w:t xml:space="preserve"> </w:t>
      </w:r>
      <w:r>
        <w:rPr>
          <w:sz w:val="20"/>
        </w:rPr>
        <w:t>elements</w:t>
      </w:r>
      <w:r>
        <w:rPr>
          <w:spacing w:val="-6"/>
          <w:sz w:val="20"/>
        </w:rPr>
        <w:t xml:space="preserve"> </w:t>
      </w:r>
      <w:r>
        <w:rPr>
          <w:sz w:val="20"/>
        </w:rPr>
        <w:t>ensuring</w:t>
      </w:r>
      <w:r>
        <w:rPr>
          <w:spacing w:val="-5"/>
          <w:sz w:val="20"/>
        </w:rPr>
        <w:t xml:space="preserve"> </w:t>
      </w:r>
      <w:r>
        <w:rPr>
          <w:sz w:val="20"/>
        </w:rPr>
        <w:t>targets</w:t>
      </w:r>
      <w:r>
        <w:rPr>
          <w:spacing w:val="-7"/>
          <w:sz w:val="20"/>
        </w:rPr>
        <w:t xml:space="preserve"> </w:t>
      </w:r>
      <w:r>
        <w:rPr>
          <w:sz w:val="20"/>
        </w:rPr>
        <w:t>are</w:t>
      </w:r>
      <w:r>
        <w:rPr>
          <w:spacing w:val="-6"/>
          <w:sz w:val="20"/>
        </w:rPr>
        <w:t xml:space="preserve"> </w:t>
      </w:r>
      <w:r>
        <w:rPr>
          <w:sz w:val="20"/>
        </w:rPr>
        <w:t>met</w:t>
      </w:r>
      <w:r>
        <w:rPr>
          <w:spacing w:val="-6"/>
          <w:sz w:val="20"/>
        </w:rPr>
        <w:t xml:space="preserve"> </w:t>
      </w:r>
      <w:r>
        <w:rPr>
          <w:sz w:val="20"/>
        </w:rPr>
        <w:t>and</w:t>
      </w:r>
      <w:r>
        <w:rPr>
          <w:spacing w:val="-6"/>
          <w:sz w:val="20"/>
        </w:rPr>
        <w:t xml:space="preserve"> </w:t>
      </w:r>
      <w:r>
        <w:rPr>
          <w:sz w:val="20"/>
        </w:rPr>
        <w:t>identified risks are</w:t>
      </w:r>
      <w:r>
        <w:rPr>
          <w:spacing w:val="-2"/>
          <w:sz w:val="20"/>
        </w:rPr>
        <w:t xml:space="preserve"> </w:t>
      </w:r>
      <w:r>
        <w:rPr>
          <w:sz w:val="20"/>
        </w:rPr>
        <w:t>mitigated.</w:t>
      </w:r>
    </w:p>
    <w:p w14:paraId="3D188BDE" w14:textId="77777777" w:rsidR="0098695F" w:rsidRDefault="00043E1E">
      <w:pPr>
        <w:pStyle w:val="ListParagraph"/>
        <w:numPr>
          <w:ilvl w:val="0"/>
          <w:numId w:val="1"/>
        </w:numPr>
        <w:tabs>
          <w:tab w:val="left" w:pos="1093"/>
          <w:tab w:val="left" w:pos="1094"/>
        </w:tabs>
        <w:spacing w:before="0" w:line="276" w:lineRule="auto"/>
        <w:ind w:right="928" w:hanging="3"/>
        <w:rPr>
          <w:sz w:val="20"/>
        </w:rPr>
      </w:pPr>
      <w:r>
        <w:rPr>
          <w:sz w:val="20"/>
        </w:rPr>
        <w:t>Work with the NS to ensure that all necessary tools and systems (financial, logistics and M&amp;E) are adapted for assessment, are in practice and disseminated. This includes SOPs, operational guidelines, risk register, beneficiary registration tools, monitoring tools, CEA tools, information management tools in line with data protection requirements, communication</w:t>
      </w:r>
      <w:r>
        <w:rPr>
          <w:spacing w:val="-4"/>
          <w:sz w:val="20"/>
        </w:rPr>
        <w:t xml:space="preserve"> </w:t>
      </w:r>
      <w:r>
        <w:rPr>
          <w:sz w:val="20"/>
        </w:rPr>
        <w:t>materials).</w:t>
      </w:r>
    </w:p>
    <w:p w14:paraId="71BA9E16" w14:textId="77777777" w:rsidR="0098695F" w:rsidRDefault="00043E1E">
      <w:pPr>
        <w:pStyle w:val="Heading1"/>
        <w:numPr>
          <w:ilvl w:val="1"/>
          <w:numId w:val="2"/>
        </w:numPr>
        <w:tabs>
          <w:tab w:val="left" w:pos="1093"/>
          <w:tab w:val="left" w:pos="1094"/>
        </w:tabs>
        <w:spacing w:before="121"/>
        <w:ind w:hanging="724"/>
        <w:jc w:val="both"/>
      </w:pPr>
      <w:r>
        <w:t>Implementation</w:t>
      </w:r>
    </w:p>
    <w:p w14:paraId="1F4F950D" w14:textId="77777777" w:rsidR="0098695F" w:rsidRDefault="00043E1E">
      <w:pPr>
        <w:pStyle w:val="ListParagraph"/>
        <w:numPr>
          <w:ilvl w:val="0"/>
          <w:numId w:val="1"/>
        </w:numPr>
        <w:tabs>
          <w:tab w:val="left" w:pos="1093"/>
          <w:tab w:val="left" w:pos="1094"/>
        </w:tabs>
        <w:spacing w:before="156" w:line="276" w:lineRule="auto"/>
        <w:ind w:right="932" w:hanging="3"/>
        <w:jc w:val="left"/>
        <w:rPr>
          <w:sz w:val="20"/>
        </w:rPr>
      </w:pPr>
      <w:r>
        <w:rPr>
          <w:sz w:val="20"/>
        </w:rPr>
        <w:t xml:space="preserve">Provide technical support, </w:t>
      </w:r>
      <w:proofErr w:type="gramStart"/>
      <w:r>
        <w:rPr>
          <w:sz w:val="20"/>
        </w:rPr>
        <w:t>resources</w:t>
      </w:r>
      <w:proofErr w:type="gramEnd"/>
      <w:r>
        <w:rPr>
          <w:sz w:val="20"/>
        </w:rPr>
        <w:t xml:space="preserve"> and inputs to implement the CVA component of EA/DREF an ensure a viable implementation</w:t>
      </w:r>
      <w:r>
        <w:rPr>
          <w:spacing w:val="-3"/>
          <w:sz w:val="20"/>
        </w:rPr>
        <w:t xml:space="preserve"> </w:t>
      </w:r>
      <w:r>
        <w:rPr>
          <w:sz w:val="20"/>
        </w:rPr>
        <w:t>plan.</w:t>
      </w:r>
    </w:p>
    <w:p w14:paraId="4B15CC4B" w14:textId="77777777" w:rsidR="0098695F" w:rsidRDefault="00043E1E">
      <w:pPr>
        <w:pStyle w:val="ListParagraph"/>
        <w:numPr>
          <w:ilvl w:val="0"/>
          <w:numId w:val="1"/>
        </w:numPr>
        <w:tabs>
          <w:tab w:val="left" w:pos="1093"/>
          <w:tab w:val="left" w:pos="1094"/>
        </w:tabs>
        <w:spacing w:line="276" w:lineRule="auto"/>
        <w:ind w:right="932" w:hanging="3"/>
        <w:jc w:val="left"/>
        <w:rPr>
          <w:sz w:val="20"/>
        </w:rPr>
      </w:pPr>
      <w:r>
        <w:rPr>
          <w:sz w:val="20"/>
        </w:rPr>
        <w:t>Oversee and support the delivery of the plan of action, including the PMER framework ensuring achievement of the set objectives and</w:t>
      </w:r>
      <w:r>
        <w:rPr>
          <w:spacing w:val="-2"/>
          <w:sz w:val="20"/>
        </w:rPr>
        <w:t xml:space="preserve"> </w:t>
      </w:r>
      <w:r>
        <w:rPr>
          <w:sz w:val="20"/>
        </w:rPr>
        <w:t>milestones.</w:t>
      </w:r>
    </w:p>
    <w:p w14:paraId="1E4B3868" w14:textId="77777777" w:rsidR="0098695F" w:rsidRDefault="00043E1E">
      <w:pPr>
        <w:pStyle w:val="ListParagraph"/>
        <w:numPr>
          <w:ilvl w:val="0"/>
          <w:numId w:val="1"/>
        </w:numPr>
        <w:tabs>
          <w:tab w:val="left" w:pos="1093"/>
          <w:tab w:val="left" w:pos="1094"/>
        </w:tabs>
        <w:ind w:left="1093" w:hanging="724"/>
        <w:jc w:val="left"/>
        <w:rPr>
          <w:sz w:val="20"/>
        </w:rPr>
      </w:pPr>
      <w:r>
        <w:rPr>
          <w:sz w:val="20"/>
        </w:rPr>
        <w:t>Identify and advise on HR needs to ensure a smooth implementation of the</w:t>
      </w:r>
      <w:r>
        <w:rPr>
          <w:spacing w:val="-16"/>
          <w:sz w:val="20"/>
        </w:rPr>
        <w:t xml:space="preserve"> </w:t>
      </w:r>
      <w:r>
        <w:rPr>
          <w:sz w:val="20"/>
        </w:rPr>
        <w:t>programme.</w:t>
      </w:r>
    </w:p>
    <w:p w14:paraId="46BFBB7B" w14:textId="77777777" w:rsidR="0098695F" w:rsidRDefault="00043E1E">
      <w:pPr>
        <w:pStyle w:val="ListParagraph"/>
        <w:numPr>
          <w:ilvl w:val="0"/>
          <w:numId w:val="1"/>
        </w:numPr>
        <w:tabs>
          <w:tab w:val="left" w:pos="1093"/>
          <w:tab w:val="left" w:pos="1094"/>
        </w:tabs>
        <w:spacing w:before="157" w:line="276" w:lineRule="auto"/>
        <w:ind w:right="932" w:hanging="3"/>
        <w:jc w:val="left"/>
        <w:rPr>
          <w:sz w:val="20"/>
        </w:rPr>
      </w:pPr>
      <w:r>
        <w:rPr>
          <w:sz w:val="20"/>
        </w:rPr>
        <w:t xml:space="preserve">Oversee the appropriate set up of systems and procedures for encashment with relevant logistics, </w:t>
      </w:r>
      <w:proofErr w:type="gramStart"/>
      <w:r>
        <w:rPr>
          <w:sz w:val="20"/>
        </w:rPr>
        <w:t>finance</w:t>
      </w:r>
      <w:proofErr w:type="gramEnd"/>
      <w:r>
        <w:rPr>
          <w:sz w:val="20"/>
        </w:rPr>
        <w:t xml:space="preserve"> and IT</w:t>
      </w:r>
      <w:r>
        <w:rPr>
          <w:spacing w:val="-3"/>
          <w:sz w:val="20"/>
        </w:rPr>
        <w:t xml:space="preserve"> </w:t>
      </w:r>
      <w:r>
        <w:rPr>
          <w:sz w:val="20"/>
        </w:rPr>
        <w:t>teams.</w:t>
      </w:r>
    </w:p>
    <w:p w14:paraId="44884562" w14:textId="77777777" w:rsidR="0098695F" w:rsidRDefault="00043E1E">
      <w:pPr>
        <w:pStyle w:val="ListParagraph"/>
        <w:numPr>
          <w:ilvl w:val="0"/>
          <w:numId w:val="1"/>
        </w:numPr>
        <w:tabs>
          <w:tab w:val="left" w:pos="1093"/>
          <w:tab w:val="left" w:pos="1094"/>
        </w:tabs>
        <w:spacing w:before="121" w:line="276" w:lineRule="auto"/>
        <w:ind w:right="934" w:hanging="3"/>
        <w:jc w:val="left"/>
        <w:rPr>
          <w:sz w:val="20"/>
        </w:rPr>
      </w:pPr>
      <w:r>
        <w:rPr>
          <w:sz w:val="20"/>
        </w:rPr>
        <w:t>Identify NS counterparts and volunteers that can be trained on the job and build on their existing cash preparedness</w:t>
      </w:r>
      <w:r>
        <w:rPr>
          <w:spacing w:val="-2"/>
          <w:sz w:val="20"/>
        </w:rPr>
        <w:t xml:space="preserve"> </w:t>
      </w:r>
      <w:r>
        <w:rPr>
          <w:sz w:val="20"/>
        </w:rPr>
        <w:t>skillset.</w:t>
      </w:r>
    </w:p>
    <w:p w14:paraId="3ADAA96D" w14:textId="77777777" w:rsidR="0098695F" w:rsidRDefault="00043E1E">
      <w:pPr>
        <w:pStyle w:val="ListParagraph"/>
        <w:numPr>
          <w:ilvl w:val="0"/>
          <w:numId w:val="1"/>
        </w:numPr>
        <w:tabs>
          <w:tab w:val="left" w:pos="1093"/>
          <w:tab w:val="left" w:pos="1094"/>
        </w:tabs>
        <w:spacing w:line="276" w:lineRule="auto"/>
        <w:ind w:right="929" w:hanging="3"/>
        <w:jc w:val="left"/>
        <w:rPr>
          <w:sz w:val="20"/>
        </w:rPr>
      </w:pPr>
      <w:r>
        <w:rPr>
          <w:sz w:val="20"/>
        </w:rPr>
        <w:t>Coordinate the CVA implementation with the rest of the operation to maximize impact and minimize burdens on the</w:t>
      </w:r>
      <w:r>
        <w:rPr>
          <w:spacing w:val="-5"/>
          <w:sz w:val="20"/>
        </w:rPr>
        <w:t xml:space="preserve"> </w:t>
      </w:r>
      <w:r>
        <w:rPr>
          <w:sz w:val="20"/>
        </w:rPr>
        <w:t>NS.</w:t>
      </w:r>
    </w:p>
    <w:p w14:paraId="71A298DB" w14:textId="77777777" w:rsidR="0098695F" w:rsidRDefault="00043E1E">
      <w:pPr>
        <w:pStyle w:val="ListParagraph"/>
        <w:numPr>
          <w:ilvl w:val="0"/>
          <w:numId w:val="1"/>
        </w:numPr>
        <w:tabs>
          <w:tab w:val="left" w:pos="1093"/>
          <w:tab w:val="left" w:pos="1094"/>
        </w:tabs>
        <w:ind w:left="1093" w:hanging="724"/>
        <w:jc w:val="left"/>
        <w:rPr>
          <w:sz w:val="20"/>
        </w:rPr>
      </w:pPr>
      <w:r>
        <w:rPr>
          <w:sz w:val="20"/>
        </w:rPr>
        <w:t>Ensure CEA approaches are integrated throughout all phases of the</w:t>
      </w:r>
      <w:r>
        <w:rPr>
          <w:spacing w:val="-12"/>
          <w:sz w:val="20"/>
        </w:rPr>
        <w:t xml:space="preserve"> </w:t>
      </w:r>
      <w:r>
        <w:rPr>
          <w:sz w:val="20"/>
        </w:rPr>
        <w:t>implementation.</w:t>
      </w:r>
    </w:p>
    <w:p w14:paraId="05CEF6BC" w14:textId="77777777" w:rsidR="0098695F" w:rsidRDefault="00043E1E">
      <w:pPr>
        <w:pStyle w:val="Heading1"/>
        <w:numPr>
          <w:ilvl w:val="1"/>
          <w:numId w:val="2"/>
        </w:numPr>
        <w:tabs>
          <w:tab w:val="left" w:pos="1093"/>
          <w:tab w:val="left" w:pos="1094"/>
        </w:tabs>
        <w:spacing w:before="155"/>
        <w:ind w:hanging="724"/>
      </w:pPr>
      <w:r>
        <w:t>Monitoring and PMER</w:t>
      </w:r>
      <w:r>
        <w:rPr>
          <w:spacing w:val="-5"/>
        </w:rPr>
        <w:t xml:space="preserve"> </w:t>
      </w:r>
      <w:r>
        <w:t>links</w:t>
      </w:r>
    </w:p>
    <w:p w14:paraId="6FDC306F" w14:textId="77777777" w:rsidR="0098695F" w:rsidRDefault="00043E1E">
      <w:pPr>
        <w:pStyle w:val="ListParagraph"/>
        <w:numPr>
          <w:ilvl w:val="0"/>
          <w:numId w:val="1"/>
        </w:numPr>
        <w:tabs>
          <w:tab w:val="left" w:pos="1093"/>
          <w:tab w:val="left" w:pos="1094"/>
        </w:tabs>
        <w:spacing w:before="157" w:line="276" w:lineRule="auto"/>
        <w:ind w:right="928" w:hanging="3"/>
        <w:rPr>
          <w:sz w:val="20"/>
        </w:rPr>
      </w:pPr>
      <w:r>
        <w:rPr>
          <w:sz w:val="20"/>
        </w:rPr>
        <w:t>Together with PMER, outline the PMER plan and adapt the necessary M&amp;E tools from the RCRC toolkit. This includes tools for baseline and verification visit, exit survey (at distribution/encashment location), site observation, post distribution monitoring (HH-level), focus group and key informants’ interviews, beneficiary feedback and response mechanisms and market and price</w:t>
      </w:r>
      <w:r>
        <w:rPr>
          <w:spacing w:val="-16"/>
          <w:sz w:val="20"/>
        </w:rPr>
        <w:t xml:space="preserve"> </w:t>
      </w:r>
      <w:r>
        <w:rPr>
          <w:sz w:val="20"/>
        </w:rPr>
        <w:t>monitoring.</w:t>
      </w:r>
    </w:p>
    <w:p w14:paraId="6D3AFD9E" w14:textId="77777777" w:rsidR="0098695F" w:rsidRDefault="00043E1E">
      <w:pPr>
        <w:pStyle w:val="ListParagraph"/>
        <w:numPr>
          <w:ilvl w:val="0"/>
          <w:numId w:val="1"/>
        </w:numPr>
        <w:tabs>
          <w:tab w:val="left" w:pos="1093"/>
          <w:tab w:val="left" w:pos="1094"/>
        </w:tabs>
        <w:spacing w:before="0" w:line="276" w:lineRule="auto"/>
        <w:ind w:right="932" w:hanging="3"/>
        <w:rPr>
          <w:sz w:val="20"/>
        </w:rPr>
      </w:pPr>
      <w:r>
        <w:rPr>
          <w:sz w:val="20"/>
        </w:rPr>
        <w:t>Identify the context data indicators relevant to the CVA response including market analysis, beneficiary satisfaction and feedback, safety and security and ensure findings are fed into the operations when data suggests the need for changes and</w:t>
      </w:r>
      <w:r>
        <w:rPr>
          <w:spacing w:val="-7"/>
          <w:sz w:val="20"/>
        </w:rPr>
        <w:t xml:space="preserve"> </w:t>
      </w:r>
      <w:r>
        <w:rPr>
          <w:sz w:val="20"/>
        </w:rPr>
        <w:t>improvements.</w:t>
      </w:r>
    </w:p>
    <w:p w14:paraId="0B209ACD" w14:textId="77777777" w:rsidR="0098695F" w:rsidRDefault="00043E1E">
      <w:pPr>
        <w:pStyle w:val="Heading1"/>
        <w:numPr>
          <w:ilvl w:val="1"/>
          <w:numId w:val="2"/>
        </w:numPr>
        <w:tabs>
          <w:tab w:val="left" w:pos="572"/>
        </w:tabs>
        <w:spacing w:before="0"/>
        <w:ind w:left="571" w:hanging="202"/>
        <w:jc w:val="both"/>
      </w:pPr>
      <w:r>
        <w:t>Capacity building and cash</w:t>
      </w:r>
      <w:r>
        <w:rPr>
          <w:spacing w:val="-11"/>
        </w:rPr>
        <w:t xml:space="preserve"> </w:t>
      </w:r>
      <w:r>
        <w:t>preparedness</w:t>
      </w:r>
    </w:p>
    <w:p w14:paraId="7CDF5C72" w14:textId="77777777" w:rsidR="0098695F" w:rsidRDefault="00043E1E">
      <w:pPr>
        <w:pStyle w:val="ListParagraph"/>
        <w:numPr>
          <w:ilvl w:val="0"/>
          <w:numId w:val="1"/>
        </w:numPr>
        <w:tabs>
          <w:tab w:val="left" w:pos="1093"/>
          <w:tab w:val="left" w:pos="1094"/>
        </w:tabs>
        <w:spacing w:before="157" w:line="276" w:lineRule="auto"/>
        <w:ind w:right="930" w:hanging="3"/>
        <w:rPr>
          <w:sz w:val="20"/>
        </w:rPr>
      </w:pPr>
      <w:r>
        <w:rPr>
          <w:sz w:val="20"/>
        </w:rPr>
        <w:t>Identify the initial CVA specific capacity and gaps in NS to implement a CVA response and provide relevant trainings on CVA and markets as required. Assess the NS cash capacity and gaps, propose and implement cash preparedness activities if</w:t>
      </w:r>
      <w:r>
        <w:rPr>
          <w:spacing w:val="-1"/>
          <w:sz w:val="20"/>
        </w:rPr>
        <w:t xml:space="preserve"> </w:t>
      </w:r>
      <w:r>
        <w:rPr>
          <w:sz w:val="20"/>
        </w:rPr>
        <w:t>relevant.</w:t>
      </w:r>
    </w:p>
    <w:p w14:paraId="1FEA878A" w14:textId="77777777" w:rsidR="0098695F" w:rsidRDefault="00043E1E">
      <w:pPr>
        <w:pStyle w:val="ListParagraph"/>
        <w:numPr>
          <w:ilvl w:val="0"/>
          <w:numId w:val="1"/>
        </w:numPr>
        <w:tabs>
          <w:tab w:val="left" w:pos="1093"/>
          <w:tab w:val="left" w:pos="1094"/>
        </w:tabs>
        <w:spacing w:line="276" w:lineRule="auto"/>
        <w:ind w:right="928" w:hanging="3"/>
        <w:rPr>
          <w:sz w:val="20"/>
        </w:rPr>
      </w:pPr>
      <w:r>
        <w:rPr>
          <w:sz w:val="20"/>
        </w:rPr>
        <w:t>Provide mentoring and coaching including on-job learning to NS staff and volunteers and closely liaise with NS field coordinators and volunteers assigned to the programme to ensure coherent and coordinated</w:t>
      </w:r>
      <w:r>
        <w:rPr>
          <w:spacing w:val="-1"/>
          <w:sz w:val="20"/>
        </w:rPr>
        <w:t xml:space="preserve"> </w:t>
      </w:r>
      <w:r>
        <w:rPr>
          <w:sz w:val="20"/>
        </w:rPr>
        <w:t>implementation.</w:t>
      </w:r>
    </w:p>
    <w:p w14:paraId="035E7202" w14:textId="77777777" w:rsidR="0098695F" w:rsidRDefault="0098695F">
      <w:pPr>
        <w:spacing w:line="276" w:lineRule="auto"/>
        <w:jc w:val="both"/>
        <w:rPr>
          <w:sz w:val="20"/>
        </w:rPr>
        <w:sectPr w:rsidR="0098695F">
          <w:pgSz w:w="11910" w:h="16840"/>
          <w:pgMar w:top="1400" w:right="680" w:bottom="1200" w:left="1180" w:header="0" w:footer="932" w:gutter="0"/>
          <w:cols w:space="720"/>
        </w:sectPr>
      </w:pPr>
    </w:p>
    <w:p w14:paraId="59486508" w14:textId="77777777" w:rsidR="0098695F" w:rsidRDefault="00043E1E">
      <w:pPr>
        <w:pStyle w:val="Heading1"/>
        <w:spacing w:before="42"/>
        <w:ind w:left="257" w:firstLine="0"/>
        <w:jc w:val="left"/>
      </w:pPr>
      <w:r>
        <w:lastRenderedPageBreak/>
        <w:t>Duties applicable to all staff</w:t>
      </w:r>
    </w:p>
    <w:p w14:paraId="4958C77C" w14:textId="77777777" w:rsidR="0098695F" w:rsidRDefault="0098695F">
      <w:pPr>
        <w:pStyle w:val="BodyText"/>
        <w:spacing w:before="4"/>
        <w:ind w:left="0" w:firstLine="0"/>
        <w:rPr>
          <w:b/>
          <w:sz w:val="19"/>
        </w:rPr>
      </w:pPr>
    </w:p>
    <w:tbl>
      <w:tblPr>
        <w:tblW w:w="0" w:type="auto"/>
        <w:tblInd w:w="270" w:type="dxa"/>
        <w:tblBorders>
          <w:top w:val="single" w:sz="4" w:space="0" w:color="87796C"/>
          <w:left w:val="single" w:sz="4" w:space="0" w:color="87796C"/>
          <w:bottom w:val="single" w:sz="4" w:space="0" w:color="87796C"/>
          <w:right w:val="single" w:sz="4" w:space="0" w:color="87796C"/>
          <w:insideH w:val="single" w:sz="4" w:space="0" w:color="87796C"/>
          <w:insideV w:val="single" w:sz="4" w:space="0" w:color="87796C"/>
        </w:tblBorders>
        <w:tblLayout w:type="fixed"/>
        <w:tblCellMar>
          <w:left w:w="0" w:type="dxa"/>
          <w:right w:w="0" w:type="dxa"/>
        </w:tblCellMar>
        <w:tblLook w:val="01E0" w:firstRow="1" w:lastRow="1" w:firstColumn="1" w:lastColumn="1" w:noHBand="0" w:noVBand="0"/>
      </w:tblPr>
      <w:tblGrid>
        <w:gridCol w:w="567"/>
        <w:gridCol w:w="8394"/>
      </w:tblGrid>
      <w:tr w:rsidR="0098695F" w14:paraId="1E53E2C4" w14:textId="77777777">
        <w:trPr>
          <w:trHeight w:val="480"/>
        </w:trPr>
        <w:tc>
          <w:tcPr>
            <w:tcW w:w="567" w:type="dxa"/>
          </w:tcPr>
          <w:p w14:paraId="6DE9C93E" w14:textId="77777777" w:rsidR="0098695F" w:rsidRDefault="00043E1E">
            <w:pPr>
              <w:pStyle w:val="TableParagraph"/>
              <w:ind w:left="105"/>
              <w:rPr>
                <w:sz w:val="20"/>
              </w:rPr>
            </w:pPr>
            <w:r>
              <w:rPr>
                <w:sz w:val="20"/>
              </w:rPr>
              <w:t>1.</w:t>
            </w:r>
          </w:p>
        </w:tc>
        <w:tc>
          <w:tcPr>
            <w:tcW w:w="8394" w:type="dxa"/>
          </w:tcPr>
          <w:p w14:paraId="3CDA50A0" w14:textId="77777777" w:rsidR="0098695F" w:rsidRDefault="00043E1E">
            <w:pPr>
              <w:pStyle w:val="TableParagraph"/>
              <w:spacing w:before="117"/>
              <w:ind w:left="105"/>
              <w:rPr>
                <w:sz w:val="20"/>
              </w:rPr>
            </w:pPr>
            <w:r>
              <w:rPr>
                <w:sz w:val="20"/>
              </w:rPr>
              <w:t>Actively work towards the achievement of the Federation Secretariat’s goals</w:t>
            </w:r>
          </w:p>
        </w:tc>
      </w:tr>
      <w:tr w:rsidR="0098695F" w14:paraId="3BB9A42E" w14:textId="77777777">
        <w:trPr>
          <w:trHeight w:val="481"/>
        </w:trPr>
        <w:tc>
          <w:tcPr>
            <w:tcW w:w="567" w:type="dxa"/>
          </w:tcPr>
          <w:p w14:paraId="132F4E79" w14:textId="77777777" w:rsidR="0098695F" w:rsidRDefault="00043E1E">
            <w:pPr>
              <w:pStyle w:val="TableParagraph"/>
              <w:ind w:left="105"/>
              <w:rPr>
                <w:sz w:val="20"/>
              </w:rPr>
            </w:pPr>
            <w:r>
              <w:rPr>
                <w:sz w:val="20"/>
              </w:rPr>
              <w:t>2.</w:t>
            </w:r>
          </w:p>
        </w:tc>
        <w:tc>
          <w:tcPr>
            <w:tcW w:w="8394" w:type="dxa"/>
          </w:tcPr>
          <w:p w14:paraId="18E2468F" w14:textId="77777777" w:rsidR="0098695F" w:rsidRDefault="00043E1E">
            <w:pPr>
              <w:pStyle w:val="TableParagraph"/>
              <w:ind w:left="105"/>
              <w:rPr>
                <w:sz w:val="20"/>
              </w:rPr>
            </w:pPr>
            <w:r>
              <w:rPr>
                <w:sz w:val="20"/>
              </w:rPr>
              <w:t>Abide by and work in accordance with the Red Cross and Red Crescent principles</w:t>
            </w:r>
          </w:p>
        </w:tc>
      </w:tr>
      <w:tr w:rsidR="0098695F" w14:paraId="13B04AE7" w14:textId="77777777">
        <w:trPr>
          <w:trHeight w:val="487"/>
        </w:trPr>
        <w:tc>
          <w:tcPr>
            <w:tcW w:w="567" w:type="dxa"/>
          </w:tcPr>
          <w:p w14:paraId="5BDC5672" w14:textId="77777777" w:rsidR="0098695F" w:rsidRDefault="00043E1E">
            <w:pPr>
              <w:pStyle w:val="TableParagraph"/>
              <w:spacing w:before="3"/>
              <w:ind w:left="105"/>
              <w:rPr>
                <w:sz w:val="20"/>
              </w:rPr>
            </w:pPr>
            <w:r>
              <w:rPr>
                <w:sz w:val="20"/>
              </w:rPr>
              <w:t>3.</w:t>
            </w:r>
          </w:p>
        </w:tc>
        <w:tc>
          <w:tcPr>
            <w:tcW w:w="8394" w:type="dxa"/>
          </w:tcPr>
          <w:p w14:paraId="2EED362C" w14:textId="77777777" w:rsidR="0098695F" w:rsidRDefault="00043E1E">
            <w:pPr>
              <w:pStyle w:val="TableParagraph"/>
              <w:spacing w:line="243" w:lineRule="exact"/>
              <w:ind w:left="105"/>
              <w:rPr>
                <w:sz w:val="20"/>
              </w:rPr>
            </w:pPr>
            <w:r>
              <w:rPr>
                <w:sz w:val="20"/>
              </w:rPr>
              <w:t>Perform any other work-related duties and responsibilities that may be assigned by the line</w:t>
            </w:r>
          </w:p>
          <w:p w14:paraId="5D43F8E5" w14:textId="77777777" w:rsidR="0098695F" w:rsidRDefault="00043E1E">
            <w:pPr>
              <w:pStyle w:val="TableParagraph"/>
              <w:spacing w:line="225" w:lineRule="exact"/>
              <w:ind w:left="107"/>
              <w:rPr>
                <w:sz w:val="20"/>
              </w:rPr>
            </w:pPr>
            <w:r>
              <w:rPr>
                <w:sz w:val="20"/>
              </w:rPr>
              <w:t>manager</w:t>
            </w:r>
          </w:p>
        </w:tc>
      </w:tr>
    </w:tbl>
    <w:p w14:paraId="6D362DFF" w14:textId="77777777" w:rsidR="0098695F" w:rsidRDefault="0098695F">
      <w:pPr>
        <w:spacing w:line="225" w:lineRule="exact"/>
        <w:rPr>
          <w:sz w:val="20"/>
        </w:rPr>
        <w:sectPr w:rsidR="0098695F">
          <w:pgSz w:w="11910" w:h="16840"/>
          <w:pgMar w:top="1380" w:right="680" w:bottom="1200" w:left="1180" w:header="0" w:footer="932" w:gutter="0"/>
          <w:cols w:space="720"/>
        </w:sectPr>
      </w:pPr>
    </w:p>
    <w:p w14:paraId="528F84AD" w14:textId="77777777" w:rsidR="0098695F" w:rsidRDefault="00043E1E">
      <w:pPr>
        <w:spacing w:before="21"/>
        <w:ind w:left="2929" w:right="3430"/>
        <w:jc w:val="center"/>
        <w:rPr>
          <w:b/>
          <w:sz w:val="28"/>
        </w:rPr>
      </w:pPr>
      <w:r>
        <w:rPr>
          <w:b/>
          <w:sz w:val="28"/>
        </w:rPr>
        <w:lastRenderedPageBreak/>
        <w:t>Profile (Position Requirements)</w:t>
      </w:r>
    </w:p>
    <w:p w14:paraId="66E1B032" w14:textId="77777777" w:rsidR="0098695F" w:rsidRDefault="0098695F">
      <w:pPr>
        <w:pStyle w:val="BodyText"/>
        <w:spacing w:before="2"/>
        <w:ind w:left="0" w:firstLine="0"/>
        <w:rPr>
          <w:b/>
          <w:sz w:val="11"/>
        </w:rPr>
      </w:pPr>
    </w:p>
    <w:tbl>
      <w:tblPr>
        <w:tblW w:w="0" w:type="auto"/>
        <w:tblInd w:w="272" w:type="dxa"/>
        <w:tblBorders>
          <w:top w:val="single" w:sz="4" w:space="0" w:color="A19C8D"/>
          <w:left w:val="single" w:sz="4" w:space="0" w:color="A19C8D"/>
          <w:bottom w:val="single" w:sz="4" w:space="0" w:color="A19C8D"/>
          <w:right w:val="single" w:sz="4" w:space="0" w:color="A19C8D"/>
          <w:insideH w:val="single" w:sz="4" w:space="0" w:color="A19C8D"/>
          <w:insideV w:val="single" w:sz="4" w:space="0" w:color="A19C8D"/>
        </w:tblBorders>
        <w:tblLayout w:type="fixed"/>
        <w:tblCellMar>
          <w:left w:w="0" w:type="dxa"/>
          <w:right w:w="0" w:type="dxa"/>
        </w:tblCellMar>
        <w:tblLook w:val="01E0" w:firstRow="1" w:lastRow="1" w:firstColumn="1" w:lastColumn="1" w:noHBand="0" w:noVBand="0"/>
      </w:tblPr>
      <w:tblGrid>
        <w:gridCol w:w="6834"/>
        <w:gridCol w:w="1418"/>
        <w:gridCol w:w="1417"/>
      </w:tblGrid>
      <w:tr w:rsidR="0098695F" w14:paraId="7EC7A098" w14:textId="77777777">
        <w:trPr>
          <w:trHeight w:val="524"/>
        </w:trPr>
        <w:tc>
          <w:tcPr>
            <w:tcW w:w="6834" w:type="dxa"/>
            <w:tcBorders>
              <w:top w:val="nil"/>
              <w:left w:val="nil"/>
              <w:bottom w:val="nil"/>
              <w:right w:val="nil"/>
            </w:tcBorders>
            <w:shd w:val="clear" w:color="auto" w:fill="A19C8D"/>
          </w:tcPr>
          <w:p w14:paraId="7B3155B6" w14:textId="77777777" w:rsidR="0098695F" w:rsidRDefault="00043E1E">
            <w:pPr>
              <w:pStyle w:val="TableParagraph"/>
              <w:spacing w:before="5"/>
              <w:ind w:left="110"/>
              <w:rPr>
                <w:b/>
              </w:rPr>
            </w:pPr>
            <w:r>
              <w:rPr>
                <w:b/>
              </w:rPr>
              <w:t>Education</w:t>
            </w:r>
          </w:p>
        </w:tc>
        <w:tc>
          <w:tcPr>
            <w:tcW w:w="1418" w:type="dxa"/>
            <w:tcBorders>
              <w:top w:val="nil"/>
              <w:left w:val="nil"/>
              <w:bottom w:val="nil"/>
              <w:right w:val="nil"/>
            </w:tcBorders>
            <w:shd w:val="clear" w:color="auto" w:fill="A19C8D"/>
          </w:tcPr>
          <w:p w14:paraId="2EB2285F" w14:textId="77777777" w:rsidR="0098695F" w:rsidRDefault="00043E1E">
            <w:pPr>
              <w:pStyle w:val="TableParagraph"/>
              <w:spacing w:before="5"/>
              <w:ind w:left="306" w:right="239"/>
              <w:jc w:val="center"/>
              <w:rPr>
                <w:b/>
              </w:rPr>
            </w:pPr>
            <w:r>
              <w:rPr>
                <w:b/>
              </w:rPr>
              <w:t>Required</w:t>
            </w:r>
          </w:p>
        </w:tc>
        <w:tc>
          <w:tcPr>
            <w:tcW w:w="1417" w:type="dxa"/>
            <w:tcBorders>
              <w:top w:val="nil"/>
              <w:left w:val="nil"/>
              <w:bottom w:val="nil"/>
              <w:right w:val="nil"/>
            </w:tcBorders>
            <w:shd w:val="clear" w:color="auto" w:fill="A19C8D"/>
          </w:tcPr>
          <w:p w14:paraId="03C384BB" w14:textId="77777777" w:rsidR="0098695F" w:rsidRDefault="00043E1E">
            <w:pPr>
              <w:pStyle w:val="TableParagraph"/>
              <w:spacing w:before="5"/>
              <w:ind w:left="255" w:right="250"/>
              <w:jc w:val="center"/>
              <w:rPr>
                <w:b/>
              </w:rPr>
            </w:pPr>
            <w:r>
              <w:rPr>
                <w:b/>
              </w:rPr>
              <w:t>Preferred</w:t>
            </w:r>
          </w:p>
        </w:tc>
      </w:tr>
      <w:tr w:rsidR="0098695F" w14:paraId="5D8CA453" w14:textId="77777777">
        <w:trPr>
          <w:trHeight w:val="842"/>
        </w:trPr>
        <w:tc>
          <w:tcPr>
            <w:tcW w:w="6834" w:type="dxa"/>
            <w:tcBorders>
              <w:top w:val="nil"/>
            </w:tcBorders>
          </w:tcPr>
          <w:p w14:paraId="4B68DCEE" w14:textId="77777777" w:rsidR="0098695F" w:rsidRDefault="00043E1E">
            <w:pPr>
              <w:pStyle w:val="TableParagraph"/>
              <w:spacing w:line="243" w:lineRule="exact"/>
              <w:ind w:left="105"/>
              <w:rPr>
                <w:sz w:val="20"/>
              </w:rPr>
            </w:pPr>
            <w:r>
              <w:rPr>
                <w:sz w:val="20"/>
              </w:rPr>
              <w:t>University degree in relevant areas such as Disaster Management, Project</w:t>
            </w:r>
          </w:p>
          <w:p w14:paraId="10F07E17" w14:textId="77777777" w:rsidR="0098695F" w:rsidRDefault="00043E1E">
            <w:pPr>
              <w:pStyle w:val="TableParagraph"/>
              <w:spacing w:before="1" w:line="280" w:lineRule="atLeast"/>
              <w:ind w:left="107" w:right="396"/>
              <w:rPr>
                <w:sz w:val="20"/>
              </w:rPr>
            </w:pPr>
            <w:r>
              <w:rPr>
                <w:sz w:val="20"/>
              </w:rPr>
              <w:t xml:space="preserve">Management, Sociology, Agriculture, IT/Computer Science, Finance, technical </w:t>
            </w:r>
            <w:proofErr w:type="gramStart"/>
            <w:r>
              <w:rPr>
                <w:sz w:val="20"/>
              </w:rPr>
              <w:t>qualification</w:t>
            </w:r>
            <w:proofErr w:type="gramEnd"/>
            <w:r>
              <w:rPr>
                <w:sz w:val="20"/>
              </w:rPr>
              <w:t xml:space="preserve"> or equivalent experience</w:t>
            </w:r>
          </w:p>
        </w:tc>
        <w:tc>
          <w:tcPr>
            <w:tcW w:w="1418" w:type="dxa"/>
            <w:tcBorders>
              <w:top w:val="nil"/>
            </w:tcBorders>
          </w:tcPr>
          <w:p w14:paraId="7521F3D8" w14:textId="77777777" w:rsidR="0098695F" w:rsidRDefault="0098695F">
            <w:pPr>
              <w:pStyle w:val="TableParagraph"/>
              <w:spacing w:before="4"/>
              <w:rPr>
                <w:b/>
              </w:rPr>
            </w:pPr>
          </w:p>
          <w:p w14:paraId="3294AE37" w14:textId="77777777" w:rsidR="0098695F" w:rsidRDefault="00043E1E">
            <w:pPr>
              <w:pStyle w:val="TableParagraph"/>
              <w:ind w:left="6"/>
              <w:jc w:val="center"/>
              <w:rPr>
                <w:rFonts w:ascii="Cambria Math" w:hAnsi="Cambria Math"/>
              </w:rPr>
            </w:pPr>
            <w:r>
              <w:rPr>
                <w:rFonts w:ascii="Cambria Math" w:hAnsi="Cambria Math"/>
                <w:w w:val="99"/>
              </w:rPr>
              <w:t>◉</w:t>
            </w:r>
          </w:p>
        </w:tc>
        <w:tc>
          <w:tcPr>
            <w:tcW w:w="1417" w:type="dxa"/>
            <w:tcBorders>
              <w:top w:val="nil"/>
            </w:tcBorders>
          </w:tcPr>
          <w:p w14:paraId="0CEC3A7E" w14:textId="77777777" w:rsidR="0098695F" w:rsidRDefault="0098695F">
            <w:pPr>
              <w:pStyle w:val="TableParagraph"/>
              <w:rPr>
                <w:rFonts w:ascii="Times New Roman"/>
                <w:sz w:val="18"/>
              </w:rPr>
            </w:pPr>
          </w:p>
        </w:tc>
      </w:tr>
      <w:tr w:rsidR="0098695F" w14:paraId="05DE6DB0" w14:textId="77777777">
        <w:trPr>
          <w:trHeight w:val="561"/>
        </w:trPr>
        <w:tc>
          <w:tcPr>
            <w:tcW w:w="6834" w:type="dxa"/>
          </w:tcPr>
          <w:p w14:paraId="7788F8F6" w14:textId="77777777" w:rsidR="0098695F" w:rsidRDefault="00043E1E">
            <w:pPr>
              <w:pStyle w:val="TableParagraph"/>
              <w:spacing w:line="243" w:lineRule="exact"/>
              <w:ind w:left="105"/>
              <w:rPr>
                <w:sz w:val="20"/>
              </w:rPr>
            </w:pPr>
            <w:r>
              <w:rPr>
                <w:sz w:val="20"/>
              </w:rPr>
              <w:t>RCRC Movement CTP online or Face to Face trainings and Practical Cash in</w:t>
            </w:r>
          </w:p>
          <w:p w14:paraId="5CC3FC63" w14:textId="77777777" w:rsidR="0098695F" w:rsidRDefault="00043E1E">
            <w:pPr>
              <w:pStyle w:val="TableParagraph"/>
              <w:spacing w:before="36"/>
              <w:ind w:left="107"/>
              <w:rPr>
                <w:sz w:val="20"/>
              </w:rPr>
            </w:pPr>
            <w:r>
              <w:rPr>
                <w:sz w:val="20"/>
              </w:rPr>
              <w:t>Emergencies (PECT) trained or member of FACT/ERU roster</w:t>
            </w:r>
          </w:p>
        </w:tc>
        <w:tc>
          <w:tcPr>
            <w:tcW w:w="1418" w:type="dxa"/>
          </w:tcPr>
          <w:p w14:paraId="65B64817" w14:textId="77777777" w:rsidR="0098695F" w:rsidRDefault="00043E1E">
            <w:pPr>
              <w:pStyle w:val="TableParagraph"/>
              <w:spacing w:before="132"/>
              <w:ind w:left="6"/>
              <w:jc w:val="center"/>
              <w:rPr>
                <w:rFonts w:ascii="Cambria Math" w:hAnsi="Cambria Math"/>
              </w:rPr>
            </w:pPr>
            <w:r>
              <w:rPr>
                <w:rFonts w:ascii="Cambria Math" w:hAnsi="Cambria Math"/>
                <w:w w:val="99"/>
              </w:rPr>
              <w:t>◉</w:t>
            </w:r>
          </w:p>
        </w:tc>
        <w:tc>
          <w:tcPr>
            <w:tcW w:w="1417" w:type="dxa"/>
          </w:tcPr>
          <w:p w14:paraId="1CF88A4D" w14:textId="77777777" w:rsidR="0098695F" w:rsidRDefault="0098695F">
            <w:pPr>
              <w:pStyle w:val="TableParagraph"/>
              <w:rPr>
                <w:rFonts w:ascii="Times New Roman"/>
                <w:sz w:val="18"/>
              </w:rPr>
            </w:pPr>
          </w:p>
        </w:tc>
      </w:tr>
      <w:tr w:rsidR="0098695F" w14:paraId="69682E6F" w14:textId="77777777">
        <w:trPr>
          <w:trHeight w:val="567"/>
        </w:trPr>
        <w:tc>
          <w:tcPr>
            <w:tcW w:w="6834" w:type="dxa"/>
          </w:tcPr>
          <w:p w14:paraId="4122B7E1" w14:textId="77777777" w:rsidR="0098695F" w:rsidRDefault="00043E1E">
            <w:pPr>
              <w:pStyle w:val="TableParagraph"/>
              <w:spacing w:line="243" w:lineRule="exact"/>
              <w:ind w:left="105"/>
              <w:rPr>
                <w:sz w:val="20"/>
              </w:rPr>
            </w:pPr>
            <w:r>
              <w:rPr>
                <w:sz w:val="20"/>
              </w:rPr>
              <w:t>Delegate Training (IMPACT, Foundations of IFRC, RDRT, ERU, CAP (FACT) or</w:t>
            </w:r>
          </w:p>
          <w:p w14:paraId="6BF4FC64" w14:textId="77777777" w:rsidR="0098695F" w:rsidRDefault="00043E1E">
            <w:pPr>
              <w:pStyle w:val="TableParagraph"/>
              <w:spacing w:before="36"/>
              <w:ind w:left="107"/>
              <w:rPr>
                <w:sz w:val="20"/>
              </w:rPr>
            </w:pPr>
            <w:r>
              <w:rPr>
                <w:sz w:val="20"/>
              </w:rPr>
              <w:t>Operations Management Training)</w:t>
            </w:r>
          </w:p>
        </w:tc>
        <w:tc>
          <w:tcPr>
            <w:tcW w:w="1418" w:type="dxa"/>
          </w:tcPr>
          <w:p w14:paraId="30837760" w14:textId="77777777" w:rsidR="0098695F" w:rsidRDefault="00043E1E">
            <w:pPr>
              <w:pStyle w:val="TableParagraph"/>
              <w:spacing w:before="132"/>
              <w:ind w:left="6"/>
              <w:jc w:val="center"/>
              <w:rPr>
                <w:rFonts w:ascii="Cambria Math" w:hAnsi="Cambria Math"/>
              </w:rPr>
            </w:pPr>
            <w:r>
              <w:rPr>
                <w:rFonts w:ascii="Cambria Math" w:hAnsi="Cambria Math"/>
                <w:w w:val="99"/>
              </w:rPr>
              <w:t>◉</w:t>
            </w:r>
          </w:p>
        </w:tc>
        <w:tc>
          <w:tcPr>
            <w:tcW w:w="1417" w:type="dxa"/>
          </w:tcPr>
          <w:p w14:paraId="3E8758D8" w14:textId="77777777" w:rsidR="0098695F" w:rsidRDefault="0098695F">
            <w:pPr>
              <w:pStyle w:val="TableParagraph"/>
              <w:rPr>
                <w:rFonts w:ascii="Times New Roman"/>
                <w:sz w:val="18"/>
              </w:rPr>
            </w:pPr>
          </w:p>
        </w:tc>
      </w:tr>
      <w:tr w:rsidR="0098695F" w14:paraId="0D7E7FF9" w14:textId="77777777">
        <w:trPr>
          <w:trHeight w:val="513"/>
        </w:trPr>
        <w:tc>
          <w:tcPr>
            <w:tcW w:w="6834" w:type="dxa"/>
            <w:tcBorders>
              <w:top w:val="nil"/>
              <w:left w:val="nil"/>
              <w:bottom w:val="nil"/>
              <w:right w:val="nil"/>
            </w:tcBorders>
            <w:shd w:val="clear" w:color="auto" w:fill="A19C8D"/>
          </w:tcPr>
          <w:p w14:paraId="5CCA3B9A" w14:textId="77777777" w:rsidR="0098695F" w:rsidRDefault="00043E1E">
            <w:pPr>
              <w:pStyle w:val="TableParagraph"/>
              <w:spacing w:line="263" w:lineRule="exact"/>
              <w:ind w:left="110"/>
              <w:rPr>
                <w:b/>
              </w:rPr>
            </w:pPr>
            <w:r>
              <w:rPr>
                <w:b/>
              </w:rPr>
              <w:t>Experience</w:t>
            </w:r>
          </w:p>
        </w:tc>
        <w:tc>
          <w:tcPr>
            <w:tcW w:w="1418" w:type="dxa"/>
            <w:tcBorders>
              <w:top w:val="nil"/>
              <w:left w:val="nil"/>
              <w:bottom w:val="nil"/>
              <w:right w:val="nil"/>
            </w:tcBorders>
            <w:shd w:val="clear" w:color="auto" w:fill="A19C8D"/>
          </w:tcPr>
          <w:p w14:paraId="555D76A2" w14:textId="77777777" w:rsidR="0098695F" w:rsidRDefault="00043E1E">
            <w:pPr>
              <w:pStyle w:val="TableParagraph"/>
              <w:spacing w:line="263" w:lineRule="exact"/>
              <w:ind w:left="306" w:right="239"/>
              <w:jc w:val="center"/>
              <w:rPr>
                <w:b/>
              </w:rPr>
            </w:pPr>
            <w:r>
              <w:rPr>
                <w:b/>
              </w:rPr>
              <w:t>Required</w:t>
            </w:r>
          </w:p>
        </w:tc>
        <w:tc>
          <w:tcPr>
            <w:tcW w:w="1417" w:type="dxa"/>
            <w:tcBorders>
              <w:top w:val="nil"/>
              <w:left w:val="nil"/>
              <w:bottom w:val="nil"/>
              <w:right w:val="nil"/>
            </w:tcBorders>
            <w:shd w:val="clear" w:color="auto" w:fill="A19C8D"/>
          </w:tcPr>
          <w:p w14:paraId="7D9D1012" w14:textId="77777777" w:rsidR="0098695F" w:rsidRDefault="00043E1E">
            <w:pPr>
              <w:pStyle w:val="TableParagraph"/>
              <w:spacing w:line="263" w:lineRule="exact"/>
              <w:ind w:left="255" w:right="250"/>
              <w:jc w:val="center"/>
              <w:rPr>
                <w:b/>
              </w:rPr>
            </w:pPr>
            <w:r>
              <w:rPr>
                <w:b/>
              </w:rPr>
              <w:t>Preferred</w:t>
            </w:r>
          </w:p>
        </w:tc>
      </w:tr>
      <w:tr w:rsidR="0098695F" w14:paraId="2350FD92" w14:textId="77777777">
        <w:trPr>
          <w:trHeight w:val="339"/>
        </w:trPr>
        <w:tc>
          <w:tcPr>
            <w:tcW w:w="6834" w:type="dxa"/>
            <w:tcBorders>
              <w:top w:val="nil"/>
            </w:tcBorders>
          </w:tcPr>
          <w:p w14:paraId="490029A1" w14:textId="77777777" w:rsidR="0098695F" w:rsidRDefault="00043E1E">
            <w:pPr>
              <w:pStyle w:val="TableParagraph"/>
              <w:spacing w:before="29"/>
              <w:ind w:left="105"/>
              <w:rPr>
                <w:sz w:val="20"/>
              </w:rPr>
            </w:pPr>
            <w:r>
              <w:rPr>
                <w:sz w:val="20"/>
              </w:rPr>
              <w:t>At least 3 years’ experience in disaster management with CVA component</w:t>
            </w:r>
          </w:p>
        </w:tc>
        <w:tc>
          <w:tcPr>
            <w:tcW w:w="1418" w:type="dxa"/>
            <w:tcBorders>
              <w:top w:val="nil"/>
            </w:tcBorders>
          </w:tcPr>
          <w:p w14:paraId="2649EBD8" w14:textId="77777777" w:rsidR="0098695F" w:rsidRDefault="00043E1E">
            <w:pPr>
              <w:pStyle w:val="TableParagraph"/>
              <w:spacing w:before="21"/>
              <w:ind w:left="6"/>
              <w:jc w:val="center"/>
              <w:rPr>
                <w:rFonts w:ascii="Cambria Math" w:hAnsi="Cambria Math"/>
              </w:rPr>
            </w:pPr>
            <w:r>
              <w:rPr>
                <w:rFonts w:ascii="Cambria Math" w:hAnsi="Cambria Math"/>
                <w:w w:val="99"/>
              </w:rPr>
              <w:t>◉</w:t>
            </w:r>
          </w:p>
        </w:tc>
        <w:tc>
          <w:tcPr>
            <w:tcW w:w="1417" w:type="dxa"/>
            <w:tcBorders>
              <w:top w:val="nil"/>
            </w:tcBorders>
          </w:tcPr>
          <w:p w14:paraId="7CE97596" w14:textId="77777777" w:rsidR="0098695F" w:rsidRDefault="0098695F">
            <w:pPr>
              <w:pStyle w:val="TableParagraph"/>
              <w:rPr>
                <w:rFonts w:ascii="Times New Roman"/>
                <w:sz w:val="18"/>
              </w:rPr>
            </w:pPr>
          </w:p>
        </w:tc>
      </w:tr>
      <w:tr w:rsidR="0098695F" w14:paraId="3BB10D3D" w14:textId="77777777">
        <w:trPr>
          <w:trHeight w:val="506"/>
        </w:trPr>
        <w:tc>
          <w:tcPr>
            <w:tcW w:w="6834" w:type="dxa"/>
          </w:tcPr>
          <w:p w14:paraId="751C8A1A" w14:textId="77777777" w:rsidR="0098695F" w:rsidRDefault="00043E1E">
            <w:pPr>
              <w:pStyle w:val="TableParagraph"/>
              <w:spacing w:before="1"/>
              <w:ind w:left="105"/>
              <w:rPr>
                <w:sz w:val="18"/>
              </w:rPr>
            </w:pPr>
            <w:r>
              <w:rPr>
                <w:sz w:val="18"/>
              </w:rPr>
              <w:t>At least three-year international experience in disaster management or response in</w:t>
            </w:r>
          </w:p>
          <w:p w14:paraId="62EAECE5" w14:textId="77777777" w:rsidR="0098695F" w:rsidRDefault="00043E1E">
            <w:pPr>
              <w:pStyle w:val="TableParagraph"/>
              <w:spacing w:before="32"/>
              <w:ind w:left="107"/>
              <w:rPr>
                <w:sz w:val="18"/>
              </w:rPr>
            </w:pPr>
            <w:r>
              <w:rPr>
                <w:sz w:val="18"/>
              </w:rPr>
              <w:t>humanitarian operations</w:t>
            </w:r>
          </w:p>
        </w:tc>
        <w:tc>
          <w:tcPr>
            <w:tcW w:w="1418" w:type="dxa"/>
          </w:tcPr>
          <w:p w14:paraId="698F0B4B" w14:textId="77777777" w:rsidR="0098695F" w:rsidRDefault="00043E1E">
            <w:pPr>
              <w:pStyle w:val="TableParagraph"/>
              <w:spacing w:before="105"/>
              <w:ind w:left="6"/>
              <w:jc w:val="center"/>
              <w:rPr>
                <w:rFonts w:ascii="Cambria Math" w:hAnsi="Cambria Math"/>
              </w:rPr>
            </w:pPr>
            <w:r>
              <w:rPr>
                <w:rFonts w:ascii="Cambria Math" w:hAnsi="Cambria Math"/>
                <w:w w:val="99"/>
              </w:rPr>
              <w:t>◉</w:t>
            </w:r>
          </w:p>
        </w:tc>
        <w:tc>
          <w:tcPr>
            <w:tcW w:w="1417" w:type="dxa"/>
          </w:tcPr>
          <w:p w14:paraId="2FB130FC" w14:textId="77777777" w:rsidR="0098695F" w:rsidRDefault="0098695F">
            <w:pPr>
              <w:pStyle w:val="TableParagraph"/>
              <w:rPr>
                <w:rFonts w:ascii="Times New Roman"/>
                <w:sz w:val="18"/>
              </w:rPr>
            </w:pPr>
          </w:p>
        </w:tc>
      </w:tr>
      <w:tr w:rsidR="0098695F" w14:paraId="19D2FA42" w14:textId="77777777">
        <w:trPr>
          <w:trHeight w:val="1010"/>
        </w:trPr>
        <w:tc>
          <w:tcPr>
            <w:tcW w:w="6834" w:type="dxa"/>
          </w:tcPr>
          <w:p w14:paraId="1255A0E6" w14:textId="77777777" w:rsidR="0098695F" w:rsidRDefault="00043E1E">
            <w:pPr>
              <w:pStyle w:val="TableParagraph"/>
              <w:spacing w:line="276" w:lineRule="auto"/>
              <w:ind w:left="107" w:right="252" w:hanging="3"/>
              <w:rPr>
                <w:sz w:val="18"/>
              </w:rPr>
            </w:pPr>
            <w:r>
              <w:rPr>
                <w:sz w:val="18"/>
              </w:rPr>
              <w:t xml:space="preserve">Demonstrated experience in different aspects of CVA design and implementation </w:t>
            </w:r>
            <w:r>
              <w:rPr>
                <w:i/>
                <w:sz w:val="18"/>
              </w:rPr>
              <w:t xml:space="preserve">(i.e.: CVA feasibility assessments, market analysis, response design including setting targeting criteria, transfer values and delivery mechanisms, encashment, and monitoring) </w:t>
            </w:r>
            <w:r>
              <w:rPr>
                <w:sz w:val="18"/>
              </w:rPr>
              <w:t>and in</w:t>
            </w:r>
          </w:p>
          <w:p w14:paraId="7A0A52D2" w14:textId="77777777" w:rsidR="0098695F" w:rsidRDefault="00043E1E">
            <w:pPr>
              <w:pStyle w:val="TableParagraph"/>
              <w:ind w:left="107"/>
              <w:rPr>
                <w:sz w:val="18"/>
              </w:rPr>
            </w:pPr>
            <w:r>
              <w:rPr>
                <w:sz w:val="18"/>
              </w:rPr>
              <w:t>developing CVA responses that that are inclusive and gender sensitive</w:t>
            </w:r>
          </w:p>
        </w:tc>
        <w:tc>
          <w:tcPr>
            <w:tcW w:w="1418" w:type="dxa"/>
          </w:tcPr>
          <w:p w14:paraId="79183620" w14:textId="77777777" w:rsidR="0098695F" w:rsidRDefault="0098695F">
            <w:pPr>
              <w:pStyle w:val="TableParagraph"/>
              <w:spacing w:before="3"/>
              <w:rPr>
                <w:b/>
                <w:sz w:val="29"/>
              </w:rPr>
            </w:pPr>
          </w:p>
          <w:p w14:paraId="30E162EF" w14:textId="77777777" w:rsidR="0098695F" w:rsidRDefault="00043E1E">
            <w:pPr>
              <w:pStyle w:val="TableParagraph"/>
              <w:ind w:left="6"/>
              <w:jc w:val="center"/>
              <w:rPr>
                <w:rFonts w:ascii="Cambria Math" w:hAnsi="Cambria Math"/>
              </w:rPr>
            </w:pPr>
            <w:r>
              <w:rPr>
                <w:rFonts w:ascii="Cambria Math" w:hAnsi="Cambria Math"/>
                <w:w w:val="99"/>
              </w:rPr>
              <w:t>◉</w:t>
            </w:r>
          </w:p>
        </w:tc>
        <w:tc>
          <w:tcPr>
            <w:tcW w:w="1417" w:type="dxa"/>
          </w:tcPr>
          <w:p w14:paraId="519D47A9" w14:textId="77777777" w:rsidR="0098695F" w:rsidRDefault="0098695F">
            <w:pPr>
              <w:pStyle w:val="TableParagraph"/>
              <w:rPr>
                <w:rFonts w:ascii="Times New Roman"/>
                <w:sz w:val="18"/>
              </w:rPr>
            </w:pPr>
          </w:p>
        </w:tc>
      </w:tr>
      <w:tr w:rsidR="0098695F" w14:paraId="4B88E32D" w14:textId="77777777">
        <w:trPr>
          <w:trHeight w:val="562"/>
        </w:trPr>
        <w:tc>
          <w:tcPr>
            <w:tcW w:w="6834" w:type="dxa"/>
          </w:tcPr>
          <w:p w14:paraId="4DD783FA" w14:textId="77777777" w:rsidR="0098695F" w:rsidRDefault="00043E1E">
            <w:pPr>
              <w:pStyle w:val="TableParagraph"/>
              <w:ind w:left="105"/>
              <w:rPr>
                <w:sz w:val="20"/>
              </w:rPr>
            </w:pPr>
            <w:r>
              <w:rPr>
                <w:sz w:val="20"/>
              </w:rPr>
              <w:t>Demonstrated experience in emergency response with early recovery / recovery</w:t>
            </w:r>
          </w:p>
          <w:p w14:paraId="5FEEEB08" w14:textId="77777777" w:rsidR="0098695F" w:rsidRDefault="00043E1E">
            <w:pPr>
              <w:pStyle w:val="TableParagraph"/>
              <w:spacing w:before="37"/>
              <w:ind w:left="107"/>
              <w:rPr>
                <w:sz w:val="20"/>
              </w:rPr>
            </w:pPr>
            <w:r>
              <w:rPr>
                <w:sz w:val="20"/>
              </w:rPr>
              <w:t>transition planning including integrated approaches to disaster management</w:t>
            </w:r>
          </w:p>
        </w:tc>
        <w:tc>
          <w:tcPr>
            <w:tcW w:w="1418" w:type="dxa"/>
          </w:tcPr>
          <w:p w14:paraId="6BBB6A3F" w14:textId="77777777" w:rsidR="0098695F" w:rsidRDefault="0098695F">
            <w:pPr>
              <w:pStyle w:val="TableParagraph"/>
              <w:rPr>
                <w:rFonts w:ascii="Times New Roman"/>
                <w:sz w:val="18"/>
              </w:rPr>
            </w:pPr>
          </w:p>
        </w:tc>
        <w:tc>
          <w:tcPr>
            <w:tcW w:w="1417" w:type="dxa"/>
          </w:tcPr>
          <w:p w14:paraId="0FE7D2A6" w14:textId="77777777" w:rsidR="0098695F" w:rsidRDefault="00043E1E">
            <w:pPr>
              <w:pStyle w:val="TableParagraph"/>
              <w:spacing w:before="132"/>
              <w:ind w:left="8"/>
              <w:jc w:val="center"/>
              <w:rPr>
                <w:rFonts w:ascii="Cambria Math" w:hAnsi="Cambria Math"/>
              </w:rPr>
            </w:pPr>
            <w:r>
              <w:rPr>
                <w:rFonts w:ascii="Cambria Math" w:hAnsi="Cambria Math"/>
                <w:w w:val="99"/>
              </w:rPr>
              <w:t>◉</w:t>
            </w:r>
          </w:p>
        </w:tc>
      </w:tr>
      <w:tr w:rsidR="0098695F" w14:paraId="30A2F86D" w14:textId="77777777">
        <w:trPr>
          <w:trHeight w:val="556"/>
        </w:trPr>
        <w:tc>
          <w:tcPr>
            <w:tcW w:w="6834" w:type="dxa"/>
          </w:tcPr>
          <w:p w14:paraId="5D800A04" w14:textId="77777777" w:rsidR="0098695F" w:rsidRDefault="00043E1E">
            <w:pPr>
              <w:pStyle w:val="TableParagraph"/>
              <w:spacing w:line="243" w:lineRule="exact"/>
              <w:ind w:left="105"/>
              <w:rPr>
                <w:sz w:val="20"/>
              </w:rPr>
            </w:pPr>
            <w:r>
              <w:rPr>
                <w:sz w:val="20"/>
              </w:rPr>
              <w:t xml:space="preserve">Experience of </w:t>
            </w:r>
            <w:r>
              <w:rPr>
                <w:sz w:val="18"/>
              </w:rPr>
              <w:t xml:space="preserve">providing on the job training and coaching and </w:t>
            </w:r>
            <w:r>
              <w:rPr>
                <w:sz w:val="20"/>
              </w:rPr>
              <w:t>training national staff</w:t>
            </w:r>
          </w:p>
          <w:p w14:paraId="140D1F09" w14:textId="77777777" w:rsidR="0098695F" w:rsidRDefault="00043E1E">
            <w:pPr>
              <w:pStyle w:val="TableParagraph"/>
              <w:spacing w:before="36"/>
              <w:ind w:left="107"/>
              <w:rPr>
                <w:sz w:val="20"/>
              </w:rPr>
            </w:pPr>
            <w:r>
              <w:rPr>
                <w:sz w:val="20"/>
              </w:rPr>
              <w:t>and volunteers on CVA</w:t>
            </w:r>
          </w:p>
        </w:tc>
        <w:tc>
          <w:tcPr>
            <w:tcW w:w="1418" w:type="dxa"/>
          </w:tcPr>
          <w:p w14:paraId="566C5F1B" w14:textId="77777777" w:rsidR="0098695F" w:rsidRDefault="0098695F">
            <w:pPr>
              <w:pStyle w:val="TableParagraph"/>
              <w:rPr>
                <w:rFonts w:ascii="Times New Roman"/>
                <w:sz w:val="18"/>
              </w:rPr>
            </w:pPr>
          </w:p>
        </w:tc>
        <w:tc>
          <w:tcPr>
            <w:tcW w:w="1417" w:type="dxa"/>
          </w:tcPr>
          <w:p w14:paraId="1689698D" w14:textId="77777777" w:rsidR="0098695F" w:rsidRDefault="00043E1E">
            <w:pPr>
              <w:pStyle w:val="TableParagraph"/>
              <w:spacing w:before="131"/>
              <w:ind w:left="8"/>
              <w:jc w:val="center"/>
              <w:rPr>
                <w:rFonts w:ascii="Cambria Math" w:hAnsi="Cambria Math"/>
              </w:rPr>
            </w:pPr>
            <w:r>
              <w:rPr>
                <w:rFonts w:ascii="Cambria Math" w:hAnsi="Cambria Math"/>
                <w:w w:val="99"/>
              </w:rPr>
              <w:t>◉</w:t>
            </w:r>
          </w:p>
        </w:tc>
      </w:tr>
      <w:tr w:rsidR="0098695F" w14:paraId="4F0AE190" w14:textId="77777777">
        <w:trPr>
          <w:trHeight w:val="513"/>
        </w:trPr>
        <w:tc>
          <w:tcPr>
            <w:tcW w:w="6834" w:type="dxa"/>
            <w:tcBorders>
              <w:top w:val="nil"/>
              <w:left w:val="nil"/>
              <w:bottom w:val="nil"/>
              <w:right w:val="nil"/>
            </w:tcBorders>
            <w:shd w:val="clear" w:color="auto" w:fill="A19C8D"/>
          </w:tcPr>
          <w:p w14:paraId="77213BE5" w14:textId="77777777" w:rsidR="0098695F" w:rsidRDefault="00043E1E">
            <w:pPr>
              <w:pStyle w:val="TableParagraph"/>
              <w:spacing w:before="4"/>
              <w:ind w:left="110"/>
              <w:rPr>
                <w:b/>
              </w:rPr>
            </w:pPr>
            <w:r>
              <w:rPr>
                <w:b/>
              </w:rPr>
              <w:t>Knowledge &amp; Skills</w:t>
            </w:r>
          </w:p>
        </w:tc>
        <w:tc>
          <w:tcPr>
            <w:tcW w:w="1418" w:type="dxa"/>
            <w:tcBorders>
              <w:top w:val="nil"/>
              <w:left w:val="nil"/>
              <w:bottom w:val="nil"/>
              <w:right w:val="nil"/>
            </w:tcBorders>
            <w:shd w:val="clear" w:color="auto" w:fill="A19C8D"/>
          </w:tcPr>
          <w:p w14:paraId="5103B946" w14:textId="77777777" w:rsidR="0098695F" w:rsidRDefault="00043E1E">
            <w:pPr>
              <w:pStyle w:val="TableParagraph"/>
              <w:spacing w:before="4"/>
              <w:ind w:left="306" w:right="239"/>
              <w:jc w:val="center"/>
              <w:rPr>
                <w:b/>
              </w:rPr>
            </w:pPr>
            <w:r>
              <w:rPr>
                <w:b/>
              </w:rPr>
              <w:t>Required</w:t>
            </w:r>
          </w:p>
        </w:tc>
        <w:tc>
          <w:tcPr>
            <w:tcW w:w="1417" w:type="dxa"/>
            <w:tcBorders>
              <w:top w:val="nil"/>
              <w:left w:val="nil"/>
              <w:bottom w:val="nil"/>
              <w:right w:val="nil"/>
            </w:tcBorders>
            <w:shd w:val="clear" w:color="auto" w:fill="A19C8D"/>
          </w:tcPr>
          <w:p w14:paraId="16E7A0A7" w14:textId="77777777" w:rsidR="0098695F" w:rsidRDefault="00043E1E">
            <w:pPr>
              <w:pStyle w:val="TableParagraph"/>
              <w:spacing w:before="4"/>
              <w:ind w:left="255" w:right="250"/>
              <w:jc w:val="center"/>
              <w:rPr>
                <w:b/>
              </w:rPr>
            </w:pPr>
            <w:r>
              <w:rPr>
                <w:b/>
              </w:rPr>
              <w:t>Preferred</w:t>
            </w:r>
          </w:p>
        </w:tc>
      </w:tr>
      <w:tr w:rsidR="0098695F" w14:paraId="6548936F" w14:textId="77777777">
        <w:trPr>
          <w:trHeight w:val="340"/>
        </w:trPr>
        <w:tc>
          <w:tcPr>
            <w:tcW w:w="6834" w:type="dxa"/>
          </w:tcPr>
          <w:p w14:paraId="6F7C224F" w14:textId="77777777" w:rsidR="0098695F" w:rsidRDefault="00043E1E">
            <w:pPr>
              <w:pStyle w:val="TableParagraph"/>
              <w:spacing w:before="29"/>
              <w:ind w:left="105"/>
              <w:rPr>
                <w:sz w:val="20"/>
              </w:rPr>
            </w:pPr>
            <w:r>
              <w:rPr>
                <w:sz w:val="20"/>
              </w:rPr>
              <w:t>Cash preparedness and cash readiness concepts</w:t>
            </w:r>
          </w:p>
        </w:tc>
        <w:tc>
          <w:tcPr>
            <w:tcW w:w="1418" w:type="dxa"/>
          </w:tcPr>
          <w:p w14:paraId="083D181B" w14:textId="77777777" w:rsidR="0098695F" w:rsidRDefault="00043E1E">
            <w:pPr>
              <w:pStyle w:val="TableParagraph"/>
              <w:spacing w:before="36"/>
              <w:ind w:left="7"/>
              <w:jc w:val="center"/>
              <w:rPr>
                <w:rFonts w:ascii="Cambria Math" w:hAnsi="Cambria Math"/>
                <w:sz w:val="20"/>
              </w:rPr>
            </w:pPr>
            <w:r>
              <w:rPr>
                <w:rFonts w:ascii="Cambria Math" w:hAnsi="Cambria Math"/>
                <w:sz w:val="20"/>
              </w:rPr>
              <w:t>◉</w:t>
            </w:r>
          </w:p>
        </w:tc>
        <w:tc>
          <w:tcPr>
            <w:tcW w:w="1417" w:type="dxa"/>
          </w:tcPr>
          <w:p w14:paraId="2AD26A66" w14:textId="77777777" w:rsidR="0098695F" w:rsidRDefault="0098695F">
            <w:pPr>
              <w:pStyle w:val="TableParagraph"/>
              <w:rPr>
                <w:rFonts w:ascii="Times New Roman"/>
                <w:sz w:val="18"/>
              </w:rPr>
            </w:pPr>
          </w:p>
        </w:tc>
      </w:tr>
      <w:tr w:rsidR="0098695F" w14:paraId="09B70BAF" w14:textId="77777777">
        <w:trPr>
          <w:trHeight w:val="340"/>
        </w:trPr>
        <w:tc>
          <w:tcPr>
            <w:tcW w:w="6834" w:type="dxa"/>
          </w:tcPr>
          <w:p w14:paraId="2C4CF4FF" w14:textId="77777777" w:rsidR="0098695F" w:rsidRDefault="00043E1E">
            <w:pPr>
              <w:pStyle w:val="TableParagraph"/>
              <w:spacing w:before="29"/>
              <w:ind w:left="105"/>
              <w:rPr>
                <w:sz w:val="20"/>
              </w:rPr>
            </w:pPr>
            <w:r>
              <w:rPr>
                <w:sz w:val="20"/>
              </w:rPr>
              <w:t>Integrated approaches to disaster response</w:t>
            </w:r>
          </w:p>
        </w:tc>
        <w:tc>
          <w:tcPr>
            <w:tcW w:w="1418" w:type="dxa"/>
          </w:tcPr>
          <w:p w14:paraId="1F5FB527" w14:textId="77777777" w:rsidR="0098695F" w:rsidRDefault="00043E1E">
            <w:pPr>
              <w:pStyle w:val="TableParagraph"/>
              <w:spacing w:before="36"/>
              <w:ind w:left="7"/>
              <w:jc w:val="center"/>
              <w:rPr>
                <w:rFonts w:ascii="Cambria Math" w:hAnsi="Cambria Math"/>
                <w:sz w:val="20"/>
              </w:rPr>
            </w:pPr>
            <w:r>
              <w:rPr>
                <w:rFonts w:ascii="Cambria Math" w:hAnsi="Cambria Math"/>
                <w:sz w:val="20"/>
              </w:rPr>
              <w:t>◉</w:t>
            </w:r>
          </w:p>
        </w:tc>
        <w:tc>
          <w:tcPr>
            <w:tcW w:w="1417" w:type="dxa"/>
          </w:tcPr>
          <w:p w14:paraId="35B55CD4" w14:textId="77777777" w:rsidR="0098695F" w:rsidRDefault="0098695F">
            <w:pPr>
              <w:pStyle w:val="TableParagraph"/>
              <w:rPr>
                <w:rFonts w:ascii="Times New Roman"/>
                <w:sz w:val="18"/>
              </w:rPr>
            </w:pPr>
          </w:p>
        </w:tc>
      </w:tr>
      <w:tr w:rsidR="0098695F" w14:paraId="4DEB898D" w14:textId="77777777">
        <w:trPr>
          <w:trHeight w:val="339"/>
        </w:trPr>
        <w:tc>
          <w:tcPr>
            <w:tcW w:w="6834" w:type="dxa"/>
          </w:tcPr>
          <w:p w14:paraId="4E47E3CF" w14:textId="77777777" w:rsidR="0098695F" w:rsidRDefault="00043E1E">
            <w:pPr>
              <w:pStyle w:val="TableParagraph"/>
              <w:spacing w:before="29"/>
              <w:ind w:left="105"/>
              <w:rPr>
                <w:sz w:val="20"/>
              </w:rPr>
            </w:pPr>
            <w:r>
              <w:rPr>
                <w:sz w:val="20"/>
              </w:rPr>
              <w:t>RCRC Movement CVA tools and guidance</w:t>
            </w:r>
          </w:p>
        </w:tc>
        <w:tc>
          <w:tcPr>
            <w:tcW w:w="1418" w:type="dxa"/>
          </w:tcPr>
          <w:p w14:paraId="36FB4E9F" w14:textId="77777777" w:rsidR="0098695F" w:rsidRDefault="00043E1E">
            <w:pPr>
              <w:pStyle w:val="TableParagraph"/>
              <w:spacing w:before="35"/>
              <w:ind w:left="7"/>
              <w:jc w:val="center"/>
              <w:rPr>
                <w:rFonts w:ascii="Cambria Math" w:hAnsi="Cambria Math"/>
                <w:sz w:val="20"/>
              </w:rPr>
            </w:pPr>
            <w:r>
              <w:rPr>
                <w:rFonts w:ascii="Cambria Math" w:hAnsi="Cambria Math"/>
                <w:sz w:val="20"/>
              </w:rPr>
              <w:t>◉</w:t>
            </w:r>
          </w:p>
        </w:tc>
        <w:tc>
          <w:tcPr>
            <w:tcW w:w="1417" w:type="dxa"/>
          </w:tcPr>
          <w:p w14:paraId="6203FC1B" w14:textId="77777777" w:rsidR="0098695F" w:rsidRDefault="0098695F">
            <w:pPr>
              <w:pStyle w:val="TableParagraph"/>
              <w:rPr>
                <w:rFonts w:ascii="Times New Roman"/>
                <w:sz w:val="18"/>
              </w:rPr>
            </w:pPr>
          </w:p>
        </w:tc>
      </w:tr>
      <w:tr w:rsidR="0098695F" w14:paraId="040B72D8" w14:textId="77777777">
        <w:trPr>
          <w:trHeight w:val="562"/>
        </w:trPr>
        <w:tc>
          <w:tcPr>
            <w:tcW w:w="6834" w:type="dxa"/>
          </w:tcPr>
          <w:p w14:paraId="6008B5B8" w14:textId="77777777" w:rsidR="0098695F" w:rsidRDefault="00043E1E">
            <w:pPr>
              <w:pStyle w:val="TableParagraph"/>
              <w:ind w:left="105"/>
              <w:rPr>
                <w:sz w:val="20"/>
              </w:rPr>
            </w:pPr>
            <w:r>
              <w:rPr>
                <w:sz w:val="20"/>
              </w:rPr>
              <w:t>Understanding of CVA stakeholders in the NS, RCRC Movement, government,</w:t>
            </w:r>
          </w:p>
          <w:p w14:paraId="49304955" w14:textId="77777777" w:rsidR="0098695F" w:rsidRDefault="00043E1E">
            <w:pPr>
              <w:pStyle w:val="TableParagraph"/>
              <w:spacing w:before="37"/>
              <w:ind w:left="107"/>
              <w:rPr>
                <w:sz w:val="20"/>
              </w:rPr>
            </w:pPr>
            <w:r>
              <w:rPr>
                <w:sz w:val="20"/>
              </w:rPr>
              <w:t>private sector</w:t>
            </w:r>
          </w:p>
        </w:tc>
        <w:tc>
          <w:tcPr>
            <w:tcW w:w="1418" w:type="dxa"/>
          </w:tcPr>
          <w:p w14:paraId="5C7A1486" w14:textId="77777777" w:rsidR="0098695F" w:rsidRDefault="00043E1E">
            <w:pPr>
              <w:pStyle w:val="TableParagraph"/>
              <w:spacing w:before="147"/>
              <w:ind w:left="7"/>
              <w:jc w:val="center"/>
              <w:rPr>
                <w:rFonts w:ascii="Cambria Math" w:hAnsi="Cambria Math"/>
                <w:sz w:val="20"/>
              </w:rPr>
            </w:pPr>
            <w:r>
              <w:rPr>
                <w:rFonts w:ascii="Cambria Math" w:hAnsi="Cambria Math"/>
                <w:sz w:val="20"/>
              </w:rPr>
              <w:t>◉</w:t>
            </w:r>
          </w:p>
        </w:tc>
        <w:tc>
          <w:tcPr>
            <w:tcW w:w="1417" w:type="dxa"/>
          </w:tcPr>
          <w:p w14:paraId="52723FEE" w14:textId="77777777" w:rsidR="0098695F" w:rsidRDefault="0098695F">
            <w:pPr>
              <w:pStyle w:val="TableParagraph"/>
              <w:rPr>
                <w:rFonts w:ascii="Times New Roman"/>
                <w:sz w:val="18"/>
              </w:rPr>
            </w:pPr>
          </w:p>
        </w:tc>
      </w:tr>
      <w:tr w:rsidR="0098695F" w14:paraId="49152E63" w14:textId="77777777">
        <w:trPr>
          <w:trHeight w:val="339"/>
        </w:trPr>
        <w:tc>
          <w:tcPr>
            <w:tcW w:w="6834" w:type="dxa"/>
          </w:tcPr>
          <w:p w14:paraId="464172BA" w14:textId="77777777" w:rsidR="0098695F" w:rsidRDefault="00043E1E">
            <w:pPr>
              <w:pStyle w:val="TableParagraph"/>
              <w:spacing w:before="29"/>
              <w:ind w:left="105"/>
              <w:rPr>
                <w:sz w:val="20"/>
              </w:rPr>
            </w:pPr>
            <w:r>
              <w:rPr>
                <w:sz w:val="20"/>
              </w:rPr>
              <w:t>Understanding and use of various beneficiary registration methods and systems</w:t>
            </w:r>
          </w:p>
        </w:tc>
        <w:tc>
          <w:tcPr>
            <w:tcW w:w="1418" w:type="dxa"/>
          </w:tcPr>
          <w:p w14:paraId="57DB347E" w14:textId="77777777" w:rsidR="0098695F" w:rsidRDefault="00043E1E">
            <w:pPr>
              <w:pStyle w:val="TableParagraph"/>
              <w:spacing w:before="35"/>
              <w:ind w:left="7"/>
              <w:jc w:val="center"/>
              <w:rPr>
                <w:rFonts w:ascii="Cambria Math" w:hAnsi="Cambria Math"/>
                <w:sz w:val="20"/>
              </w:rPr>
            </w:pPr>
            <w:r>
              <w:rPr>
                <w:rFonts w:ascii="Cambria Math" w:hAnsi="Cambria Math"/>
                <w:sz w:val="20"/>
              </w:rPr>
              <w:t>◉</w:t>
            </w:r>
          </w:p>
        </w:tc>
        <w:tc>
          <w:tcPr>
            <w:tcW w:w="1417" w:type="dxa"/>
          </w:tcPr>
          <w:p w14:paraId="0F79A755" w14:textId="77777777" w:rsidR="0098695F" w:rsidRDefault="0098695F">
            <w:pPr>
              <w:pStyle w:val="TableParagraph"/>
              <w:rPr>
                <w:rFonts w:ascii="Times New Roman"/>
                <w:sz w:val="18"/>
              </w:rPr>
            </w:pPr>
          </w:p>
        </w:tc>
      </w:tr>
      <w:tr w:rsidR="0098695F" w14:paraId="0E4D7E7D" w14:textId="77777777">
        <w:trPr>
          <w:trHeight w:val="562"/>
        </w:trPr>
        <w:tc>
          <w:tcPr>
            <w:tcW w:w="6834" w:type="dxa"/>
          </w:tcPr>
          <w:p w14:paraId="4CA162E2" w14:textId="77777777" w:rsidR="0098695F" w:rsidRDefault="00043E1E">
            <w:pPr>
              <w:pStyle w:val="TableParagraph"/>
              <w:ind w:left="105"/>
              <w:rPr>
                <w:sz w:val="20"/>
              </w:rPr>
            </w:pPr>
            <w:r>
              <w:rPr>
                <w:sz w:val="20"/>
              </w:rPr>
              <w:t>Knowledge of feedback and response mechanism, including of appropriate</w:t>
            </w:r>
          </w:p>
          <w:p w14:paraId="665B468D" w14:textId="77777777" w:rsidR="0098695F" w:rsidRDefault="00043E1E">
            <w:pPr>
              <w:pStyle w:val="TableParagraph"/>
              <w:spacing w:before="37"/>
              <w:ind w:left="107"/>
              <w:rPr>
                <w:sz w:val="20"/>
              </w:rPr>
            </w:pPr>
            <w:r>
              <w:rPr>
                <w:sz w:val="20"/>
              </w:rPr>
              <w:t>methods of beneficiary communication and channels.</w:t>
            </w:r>
          </w:p>
        </w:tc>
        <w:tc>
          <w:tcPr>
            <w:tcW w:w="1418" w:type="dxa"/>
          </w:tcPr>
          <w:p w14:paraId="56AE6FE1" w14:textId="77777777" w:rsidR="0098695F" w:rsidRDefault="00043E1E">
            <w:pPr>
              <w:pStyle w:val="TableParagraph"/>
              <w:spacing w:before="147"/>
              <w:ind w:left="7"/>
              <w:jc w:val="center"/>
              <w:rPr>
                <w:rFonts w:ascii="Cambria Math" w:hAnsi="Cambria Math"/>
                <w:sz w:val="20"/>
              </w:rPr>
            </w:pPr>
            <w:r>
              <w:rPr>
                <w:rFonts w:ascii="Cambria Math" w:hAnsi="Cambria Math"/>
                <w:sz w:val="20"/>
              </w:rPr>
              <w:t>◉</w:t>
            </w:r>
          </w:p>
        </w:tc>
        <w:tc>
          <w:tcPr>
            <w:tcW w:w="1417" w:type="dxa"/>
          </w:tcPr>
          <w:p w14:paraId="7D06F0B6" w14:textId="77777777" w:rsidR="0098695F" w:rsidRDefault="0098695F">
            <w:pPr>
              <w:pStyle w:val="TableParagraph"/>
              <w:rPr>
                <w:rFonts w:ascii="Times New Roman"/>
                <w:sz w:val="18"/>
              </w:rPr>
            </w:pPr>
          </w:p>
        </w:tc>
      </w:tr>
      <w:tr w:rsidR="0098695F" w14:paraId="6DE898DC" w14:textId="77777777">
        <w:trPr>
          <w:trHeight w:val="418"/>
        </w:trPr>
        <w:tc>
          <w:tcPr>
            <w:tcW w:w="6834" w:type="dxa"/>
          </w:tcPr>
          <w:p w14:paraId="4DFA4B5D" w14:textId="77777777" w:rsidR="0098695F" w:rsidRDefault="00043E1E">
            <w:pPr>
              <w:pStyle w:val="TableParagraph"/>
              <w:ind w:left="105"/>
              <w:rPr>
                <w:sz w:val="20"/>
              </w:rPr>
            </w:pPr>
            <w:r>
              <w:rPr>
                <w:sz w:val="20"/>
              </w:rPr>
              <w:t>Self-sufficient in computers (Windows, spreadsheets, word processing)</w:t>
            </w:r>
          </w:p>
        </w:tc>
        <w:tc>
          <w:tcPr>
            <w:tcW w:w="1418" w:type="dxa"/>
          </w:tcPr>
          <w:p w14:paraId="162A1358" w14:textId="77777777" w:rsidR="0098695F" w:rsidRDefault="00043E1E">
            <w:pPr>
              <w:pStyle w:val="TableParagraph"/>
              <w:spacing w:before="75"/>
              <w:ind w:left="7"/>
              <w:jc w:val="center"/>
              <w:rPr>
                <w:rFonts w:ascii="Cambria Math" w:hAnsi="Cambria Math"/>
                <w:sz w:val="20"/>
              </w:rPr>
            </w:pPr>
            <w:r>
              <w:rPr>
                <w:rFonts w:ascii="Cambria Math" w:hAnsi="Cambria Math"/>
                <w:sz w:val="20"/>
              </w:rPr>
              <w:t>◉</w:t>
            </w:r>
          </w:p>
        </w:tc>
        <w:tc>
          <w:tcPr>
            <w:tcW w:w="1417" w:type="dxa"/>
          </w:tcPr>
          <w:p w14:paraId="6734C14D" w14:textId="77777777" w:rsidR="0098695F" w:rsidRDefault="0098695F">
            <w:pPr>
              <w:pStyle w:val="TableParagraph"/>
              <w:rPr>
                <w:rFonts w:ascii="Times New Roman"/>
                <w:sz w:val="18"/>
              </w:rPr>
            </w:pPr>
          </w:p>
        </w:tc>
      </w:tr>
      <w:tr w:rsidR="0098695F" w14:paraId="26ED9FDA" w14:textId="77777777">
        <w:trPr>
          <w:trHeight w:val="340"/>
        </w:trPr>
        <w:tc>
          <w:tcPr>
            <w:tcW w:w="6834" w:type="dxa"/>
          </w:tcPr>
          <w:p w14:paraId="0F3D33B9" w14:textId="77777777" w:rsidR="0098695F" w:rsidRDefault="00043E1E">
            <w:pPr>
              <w:pStyle w:val="TableParagraph"/>
              <w:spacing w:before="29"/>
              <w:ind w:left="105"/>
              <w:rPr>
                <w:sz w:val="20"/>
              </w:rPr>
            </w:pPr>
            <w:r>
              <w:rPr>
                <w:sz w:val="20"/>
              </w:rPr>
              <w:t>Ability to transfer knowledge, skills, and/or abilities to staff and volunteers.</w:t>
            </w:r>
          </w:p>
        </w:tc>
        <w:tc>
          <w:tcPr>
            <w:tcW w:w="1418" w:type="dxa"/>
          </w:tcPr>
          <w:p w14:paraId="39F6072A" w14:textId="77777777" w:rsidR="0098695F" w:rsidRDefault="00043E1E">
            <w:pPr>
              <w:pStyle w:val="TableParagraph"/>
              <w:spacing w:before="35"/>
              <w:ind w:left="7"/>
              <w:jc w:val="center"/>
              <w:rPr>
                <w:rFonts w:ascii="Cambria Math" w:hAnsi="Cambria Math"/>
                <w:sz w:val="20"/>
              </w:rPr>
            </w:pPr>
            <w:r>
              <w:rPr>
                <w:rFonts w:ascii="Cambria Math" w:hAnsi="Cambria Math"/>
                <w:sz w:val="20"/>
              </w:rPr>
              <w:t>◉</w:t>
            </w:r>
          </w:p>
        </w:tc>
        <w:tc>
          <w:tcPr>
            <w:tcW w:w="1417" w:type="dxa"/>
          </w:tcPr>
          <w:p w14:paraId="2E7DB09F" w14:textId="77777777" w:rsidR="0098695F" w:rsidRDefault="0098695F">
            <w:pPr>
              <w:pStyle w:val="TableParagraph"/>
              <w:rPr>
                <w:rFonts w:ascii="Times New Roman"/>
                <w:sz w:val="18"/>
              </w:rPr>
            </w:pPr>
          </w:p>
        </w:tc>
      </w:tr>
    </w:tbl>
    <w:p w14:paraId="051A2ABE" w14:textId="77777777" w:rsidR="0098695F" w:rsidRDefault="0098695F">
      <w:pPr>
        <w:pStyle w:val="BodyText"/>
        <w:ind w:left="0" w:firstLine="0"/>
        <w:rPr>
          <w:b/>
        </w:rPr>
      </w:pPr>
    </w:p>
    <w:p w14:paraId="57E66582" w14:textId="77777777" w:rsidR="0098695F" w:rsidRDefault="0098695F">
      <w:pPr>
        <w:pStyle w:val="BodyText"/>
        <w:spacing w:before="5"/>
        <w:ind w:left="0" w:firstLine="0"/>
        <w:rPr>
          <w:b/>
          <w:sz w:val="22"/>
        </w:rPr>
      </w:pPr>
    </w:p>
    <w:tbl>
      <w:tblPr>
        <w:tblW w:w="0" w:type="auto"/>
        <w:tblInd w:w="272" w:type="dxa"/>
        <w:tblBorders>
          <w:top w:val="single" w:sz="4" w:space="0" w:color="A19C8D"/>
          <w:left w:val="single" w:sz="4" w:space="0" w:color="A19C8D"/>
          <w:bottom w:val="single" w:sz="4" w:space="0" w:color="A19C8D"/>
          <w:right w:val="single" w:sz="4" w:space="0" w:color="A19C8D"/>
          <w:insideH w:val="single" w:sz="4" w:space="0" w:color="A19C8D"/>
          <w:insideV w:val="single" w:sz="4" w:space="0" w:color="A19C8D"/>
        </w:tblBorders>
        <w:tblLayout w:type="fixed"/>
        <w:tblCellMar>
          <w:left w:w="0" w:type="dxa"/>
          <w:right w:w="0" w:type="dxa"/>
        </w:tblCellMar>
        <w:tblLook w:val="01E0" w:firstRow="1" w:lastRow="1" w:firstColumn="1" w:lastColumn="1" w:noHBand="0" w:noVBand="0"/>
      </w:tblPr>
      <w:tblGrid>
        <w:gridCol w:w="6660"/>
        <w:gridCol w:w="1027"/>
        <w:gridCol w:w="992"/>
        <w:gridCol w:w="993"/>
      </w:tblGrid>
      <w:tr w:rsidR="0098695F" w14:paraId="21E6E4BC" w14:textId="77777777">
        <w:trPr>
          <w:trHeight w:val="339"/>
        </w:trPr>
        <w:tc>
          <w:tcPr>
            <w:tcW w:w="6660" w:type="dxa"/>
            <w:tcBorders>
              <w:top w:val="nil"/>
              <w:left w:val="nil"/>
              <w:bottom w:val="nil"/>
              <w:right w:val="nil"/>
            </w:tcBorders>
            <w:shd w:val="clear" w:color="auto" w:fill="A19C8D"/>
          </w:tcPr>
          <w:p w14:paraId="3CD105B1" w14:textId="77777777" w:rsidR="0098695F" w:rsidRDefault="00043E1E">
            <w:pPr>
              <w:pStyle w:val="TableParagraph"/>
              <w:spacing w:before="47"/>
              <w:ind w:left="110"/>
              <w:rPr>
                <w:b/>
                <w:sz w:val="20"/>
              </w:rPr>
            </w:pPr>
            <w:r>
              <w:rPr>
                <w:b/>
                <w:sz w:val="20"/>
              </w:rPr>
              <w:t>Core Competencies</w:t>
            </w:r>
          </w:p>
        </w:tc>
        <w:tc>
          <w:tcPr>
            <w:tcW w:w="1027" w:type="dxa"/>
            <w:tcBorders>
              <w:top w:val="nil"/>
              <w:left w:val="nil"/>
              <w:bottom w:val="nil"/>
              <w:right w:val="nil"/>
            </w:tcBorders>
            <w:shd w:val="clear" w:color="auto" w:fill="A19C8D"/>
          </w:tcPr>
          <w:p w14:paraId="39D42C7F" w14:textId="77777777" w:rsidR="0098695F" w:rsidRDefault="00043E1E">
            <w:pPr>
              <w:pStyle w:val="TableParagraph"/>
              <w:spacing w:before="47"/>
              <w:ind w:left="262" w:right="258"/>
              <w:jc w:val="center"/>
              <w:rPr>
                <w:b/>
                <w:sz w:val="20"/>
              </w:rPr>
            </w:pPr>
            <w:r>
              <w:rPr>
                <w:b/>
                <w:sz w:val="20"/>
              </w:rPr>
              <w:t>Tier 1</w:t>
            </w:r>
          </w:p>
        </w:tc>
        <w:tc>
          <w:tcPr>
            <w:tcW w:w="992" w:type="dxa"/>
            <w:tcBorders>
              <w:top w:val="nil"/>
              <w:left w:val="nil"/>
              <w:bottom w:val="nil"/>
              <w:right w:val="nil"/>
            </w:tcBorders>
            <w:shd w:val="clear" w:color="auto" w:fill="A19C8D"/>
          </w:tcPr>
          <w:p w14:paraId="1BBBCBC5" w14:textId="77777777" w:rsidR="0098695F" w:rsidRDefault="00043E1E">
            <w:pPr>
              <w:pStyle w:val="TableParagraph"/>
              <w:spacing w:before="47"/>
              <w:ind w:left="244" w:right="241"/>
              <w:jc w:val="center"/>
              <w:rPr>
                <w:b/>
                <w:sz w:val="20"/>
              </w:rPr>
            </w:pPr>
            <w:r>
              <w:rPr>
                <w:b/>
                <w:sz w:val="20"/>
              </w:rPr>
              <w:t>Tier 2</w:t>
            </w:r>
          </w:p>
        </w:tc>
        <w:tc>
          <w:tcPr>
            <w:tcW w:w="993" w:type="dxa"/>
            <w:tcBorders>
              <w:top w:val="nil"/>
              <w:left w:val="nil"/>
              <w:bottom w:val="nil"/>
              <w:right w:val="nil"/>
            </w:tcBorders>
            <w:shd w:val="clear" w:color="auto" w:fill="A19C8D"/>
          </w:tcPr>
          <w:p w14:paraId="0E8510EC" w14:textId="77777777" w:rsidR="0098695F" w:rsidRDefault="00043E1E">
            <w:pPr>
              <w:pStyle w:val="TableParagraph"/>
              <w:spacing w:before="47"/>
              <w:ind w:left="264"/>
              <w:rPr>
                <w:b/>
                <w:sz w:val="20"/>
              </w:rPr>
            </w:pPr>
            <w:r>
              <w:rPr>
                <w:b/>
                <w:sz w:val="20"/>
              </w:rPr>
              <w:t>Tier 3</w:t>
            </w:r>
          </w:p>
        </w:tc>
      </w:tr>
      <w:tr w:rsidR="0098695F" w14:paraId="60F86499" w14:textId="77777777">
        <w:trPr>
          <w:trHeight w:val="340"/>
        </w:trPr>
        <w:tc>
          <w:tcPr>
            <w:tcW w:w="6660" w:type="dxa"/>
          </w:tcPr>
          <w:p w14:paraId="31E1C036" w14:textId="77777777" w:rsidR="0098695F" w:rsidRDefault="00043E1E">
            <w:pPr>
              <w:pStyle w:val="TableParagraph"/>
              <w:spacing w:before="48"/>
              <w:ind w:left="105"/>
              <w:rPr>
                <w:sz w:val="20"/>
              </w:rPr>
            </w:pPr>
            <w:r>
              <w:rPr>
                <w:sz w:val="20"/>
              </w:rPr>
              <w:t xml:space="preserve">Movement context, </w:t>
            </w:r>
            <w:proofErr w:type="gramStart"/>
            <w:r>
              <w:rPr>
                <w:sz w:val="20"/>
              </w:rPr>
              <w:t>principles</w:t>
            </w:r>
            <w:proofErr w:type="gramEnd"/>
            <w:r>
              <w:rPr>
                <w:sz w:val="20"/>
              </w:rPr>
              <w:t xml:space="preserve"> and values</w:t>
            </w:r>
          </w:p>
        </w:tc>
        <w:tc>
          <w:tcPr>
            <w:tcW w:w="1027" w:type="dxa"/>
          </w:tcPr>
          <w:p w14:paraId="3C97AF22" w14:textId="77777777" w:rsidR="0098695F" w:rsidRDefault="00043E1E">
            <w:pPr>
              <w:pStyle w:val="TableParagraph"/>
              <w:spacing w:before="53"/>
              <w:ind w:left="4"/>
              <w:jc w:val="center"/>
              <w:rPr>
                <w:rFonts w:ascii="Cambria Math" w:hAnsi="Cambria Math"/>
                <w:sz w:val="20"/>
              </w:rPr>
            </w:pPr>
            <w:r>
              <w:rPr>
                <w:rFonts w:ascii="Cambria Math" w:hAnsi="Cambria Math"/>
                <w:sz w:val="20"/>
              </w:rPr>
              <w:t>◉</w:t>
            </w:r>
          </w:p>
        </w:tc>
        <w:tc>
          <w:tcPr>
            <w:tcW w:w="992" w:type="dxa"/>
          </w:tcPr>
          <w:p w14:paraId="22268B30" w14:textId="77777777" w:rsidR="0098695F" w:rsidRDefault="0098695F">
            <w:pPr>
              <w:pStyle w:val="TableParagraph"/>
              <w:rPr>
                <w:rFonts w:ascii="Times New Roman"/>
                <w:sz w:val="18"/>
              </w:rPr>
            </w:pPr>
          </w:p>
        </w:tc>
        <w:tc>
          <w:tcPr>
            <w:tcW w:w="993" w:type="dxa"/>
          </w:tcPr>
          <w:p w14:paraId="3BB67021" w14:textId="77777777" w:rsidR="0098695F" w:rsidRDefault="0098695F">
            <w:pPr>
              <w:pStyle w:val="TableParagraph"/>
              <w:rPr>
                <w:rFonts w:ascii="Times New Roman"/>
                <w:sz w:val="18"/>
              </w:rPr>
            </w:pPr>
          </w:p>
        </w:tc>
      </w:tr>
      <w:tr w:rsidR="0098695F" w14:paraId="70994345" w14:textId="77777777">
        <w:trPr>
          <w:trHeight w:val="340"/>
        </w:trPr>
        <w:tc>
          <w:tcPr>
            <w:tcW w:w="6660" w:type="dxa"/>
          </w:tcPr>
          <w:p w14:paraId="34382DC8" w14:textId="77777777" w:rsidR="0098695F" w:rsidRDefault="00043E1E">
            <w:pPr>
              <w:pStyle w:val="TableParagraph"/>
              <w:spacing w:before="47"/>
              <w:ind w:left="105"/>
              <w:rPr>
                <w:sz w:val="20"/>
              </w:rPr>
            </w:pPr>
            <w:r>
              <w:rPr>
                <w:sz w:val="20"/>
              </w:rPr>
              <w:t>The Movement in the humanitarian sector</w:t>
            </w:r>
          </w:p>
        </w:tc>
        <w:tc>
          <w:tcPr>
            <w:tcW w:w="1027" w:type="dxa"/>
          </w:tcPr>
          <w:p w14:paraId="6A411038" w14:textId="77777777" w:rsidR="0098695F" w:rsidRDefault="00043E1E">
            <w:pPr>
              <w:pStyle w:val="TableParagraph"/>
              <w:spacing w:before="52"/>
              <w:ind w:left="4"/>
              <w:jc w:val="center"/>
              <w:rPr>
                <w:rFonts w:ascii="Cambria Math" w:hAnsi="Cambria Math"/>
                <w:sz w:val="20"/>
              </w:rPr>
            </w:pPr>
            <w:r>
              <w:rPr>
                <w:rFonts w:ascii="Cambria Math" w:hAnsi="Cambria Math"/>
                <w:sz w:val="20"/>
              </w:rPr>
              <w:t>◉</w:t>
            </w:r>
          </w:p>
        </w:tc>
        <w:tc>
          <w:tcPr>
            <w:tcW w:w="992" w:type="dxa"/>
          </w:tcPr>
          <w:p w14:paraId="5D1827E2" w14:textId="77777777" w:rsidR="0098695F" w:rsidRDefault="0098695F">
            <w:pPr>
              <w:pStyle w:val="TableParagraph"/>
              <w:rPr>
                <w:rFonts w:ascii="Times New Roman"/>
                <w:sz w:val="18"/>
              </w:rPr>
            </w:pPr>
          </w:p>
        </w:tc>
        <w:tc>
          <w:tcPr>
            <w:tcW w:w="993" w:type="dxa"/>
          </w:tcPr>
          <w:p w14:paraId="02BEE664" w14:textId="77777777" w:rsidR="0098695F" w:rsidRDefault="0098695F">
            <w:pPr>
              <w:pStyle w:val="TableParagraph"/>
              <w:rPr>
                <w:rFonts w:ascii="Times New Roman"/>
                <w:sz w:val="18"/>
              </w:rPr>
            </w:pPr>
          </w:p>
        </w:tc>
      </w:tr>
      <w:tr w:rsidR="0098695F" w14:paraId="0E4EB723" w14:textId="77777777">
        <w:trPr>
          <w:trHeight w:val="339"/>
        </w:trPr>
        <w:tc>
          <w:tcPr>
            <w:tcW w:w="6660" w:type="dxa"/>
          </w:tcPr>
          <w:p w14:paraId="42B6B012" w14:textId="77777777" w:rsidR="0098695F" w:rsidRDefault="00043E1E">
            <w:pPr>
              <w:pStyle w:val="TableParagraph"/>
              <w:spacing w:before="47"/>
              <w:ind w:left="105"/>
              <w:rPr>
                <w:sz w:val="20"/>
              </w:rPr>
            </w:pPr>
            <w:r>
              <w:rPr>
                <w:sz w:val="20"/>
              </w:rPr>
              <w:t>Coordination</w:t>
            </w:r>
          </w:p>
        </w:tc>
        <w:tc>
          <w:tcPr>
            <w:tcW w:w="1027" w:type="dxa"/>
          </w:tcPr>
          <w:p w14:paraId="758D72A2" w14:textId="77777777" w:rsidR="0098695F" w:rsidRDefault="00043E1E">
            <w:pPr>
              <w:pStyle w:val="TableParagraph"/>
              <w:spacing w:before="52"/>
              <w:ind w:left="4"/>
              <w:jc w:val="center"/>
              <w:rPr>
                <w:rFonts w:ascii="Cambria Math" w:hAnsi="Cambria Math"/>
                <w:sz w:val="20"/>
              </w:rPr>
            </w:pPr>
            <w:r>
              <w:rPr>
                <w:rFonts w:ascii="Cambria Math" w:hAnsi="Cambria Math"/>
                <w:sz w:val="20"/>
              </w:rPr>
              <w:t>◉</w:t>
            </w:r>
          </w:p>
        </w:tc>
        <w:tc>
          <w:tcPr>
            <w:tcW w:w="992" w:type="dxa"/>
          </w:tcPr>
          <w:p w14:paraId="4E73B7B9" w14:textId="77777777" w:rsidR="0098695F" w:rsidRDefault="0098695F">
            <w:pPr>
              <w:pStyle w:val="TableParagraph"/>
              <w:rPr>
                <w:rFonts w:ascii="Times New Roman"/>
                <w:sz w:val="18"/>
              </w:rPr>
            </w:pPr>
          </w:p>
        </w:tc>
        <w:tc>
          <w:tcPr>
            <w:tcW w:w="993" w:type="dxa"/>
          </w:tcPr>
          <w:p w14:paraId="485C0C3F" w14:textId="77777777" w:rsidR="0098695F" w:rsidRDefault="0098695F">
            <w:pPr>
              <w:pStyle w:val="TableParagraph"/>
              <w:rPr>
                <w:rFonts w:ascii="Times New Roman"/>
                <w:sz w:val="18"/>
              </w:rPr>
            </w:pPr>
          </w:p>
        </w:tc>
      </w:tr>
      <w:tr w:rsidR="0098695F" w14:paraId="5A870394" w14:textId="77777777">
        <w:trPr>
          <w:trHeight w:val="340"/>
        </w:trPr>
        <w:tc>
          <w:tcPr>
            <w:tcW w:w="6660" w:type="dxa"/>
          </w:tcPr>
          <w:p w14:paraId="7CD482EB" w14:textId="77777777" w:rsidR="0098695F" w:rsidRDefault="00043E1E">
            <w:pPr>
              <w:pStyle w:val="TableParagraph"/>
              <w:spacing w:before="48"/>
              <w:ind w:left="105"/>
              <w:rPr>
                <w:sz w:val="20"/>
              </w:rPr>
            </w:pPr>
            <w:r>
              <w:rPr>
                <w:sz w:val="20"/>
              </w:rPr>
              <w:t>Assessment</w:t>
            </w:r>
          </w:p>
        </w:tc>
        <w:tc>
          <w:tcPr>
            <w:tcW w:w="1027" w:type="dxa"/>
          </w:tcPr>
          <w:p w14:paraId="7FAF5CF7" w14:textId="77777777" w:rsidR="0098695F" w:rsidRDefault="0098695F">
            <w:pPr>
              <w:pStyle w:val="TableParagraph"/>
              <w:rPr>
                <w:rFonts w:ascii="Times New Roman"/>
                <w:sz w:val="18"/>
              </w:rPr>
            </w:pPr>
          </w:p>
        </w:tc>
        <w:tc>
          <w:tcPr>
            <w:tcW w:w="992" w:type="dxa"/>
          </w:tcPr>
          <w:p w14:paraId="058E69A5" w14:textId="77777777" w:rsidR="0098695F" w:rsidRDefault="00043E1E">
            <w:pPr>
              <w:pStyle w:val="TableParagraph"/>
              <w:spacing w:before="53"/>
              <w:ind w:left="3"/>
              <w:jc w:val="center"/>
              <w:rPr>
                <w:rFonts w:ascii="Cambria Math" w:hAnsi="Cambria Math"/>
                <w:sz w:val="20"/>
              </w:rPr>
            </w:pPr>
            <w:r>
              <w:rPr>
                <w:rFonts w:ascii="Cambria Math" w:hAnsi="Cambria Math"/>
                <w:sz w:val="20"/>
              </w:rPr>
              <w:t>◉</w:t>
            </w:r>
          </w:p>
        </w:tc>
        <w:tc>
          <w:tcPr>
            <w:tcW w:w="993" w:type="dxa"/>
          </w:tcPr>
          <w:p w14:paraId="4377806F" w14:textId="77777777" w:rsidR="0098695F" w:rsidRDefault="0098695F">
            <w:pPr>
              <w:pStyle w:val="TableParagraph"/>
              <w:rPr>
                <w:rFonts w:ascii="Times New Roman"/>
                <w:sz w:val="18"/>
              </w:rPr>
            </w:pPr>
          </w:p>
        </w:tc>
      </w:tr>
      <w:tr w:rsidR="0098695F" w14:paraId="5B9A1FA0" w14:textId="77777777">
        <w:trPr>
          <w:trHeight w:val="340"/>
        </w:trPr>
        <w:tc>
          <w:tcPr>
            <w:tcW w:w="6660" w:type="dxa"/>
          </w:tcPr>
          <w:p w14:paraId="08A13C21" w14:textId="77777777" w:rsidR="0098695F" w:rsidRDefault="00043E1E">
            <w:pPr>
              <w:pStyle w:val="TableParagraph"/>
              <w:spacing w:before="47"/>
              <w:ind w:left="105"/>
              <w:rPr>
                <w:sz w:val="20"/>
              </w:rPr>
            </w:pPr>
            <w:r>
              <w:rPr>
                <w:sz w:val="20"/>
              </w:rPr>
              <w:t>Programme management &amp; reporting</w:t>
            </w:r>
          </w:p>
        </w:tc>
        <w:tc>
          <w:tcPr>
            <w:tcW w:w="1027" w:type="dxa"/>
          </w:tcPr>
          <w:p w14:paraId="2C8C7F07" w14:textId="77777777" w:rsidR="0098695F" w:rsidRDefault="0098695F">
            <w:pPr>
              <w:pStyle w:val="TableParagraph"/>
              <w:rPr>
                <w:rFonts w:ascii="Times New Roman"/>
                <w:sz w:val="18"/>
              </w:rPr>
            </w:pPr>
          </w:p>
        </w:tc>
        <w:tc>
          <w:tcPr>
            <w:tcW w:w="992" w:type="dxa"/>
          </w:tcPr>
          <w:p w14:paraId="24F1FC7F" w14:textId="77777777" w:rsidR="0098695F" w:rsidRDefault="00043E1E">
            <w:pPr>
              <w:pStyle w:val="TableParagraph"/>
              <w:spacing w:before="52"/>
              <w:ind w:left="3"/>
              <w:jc w:val="center"/>
              <w:rPr>
                <w:rFonts w:ascii="Cambria Math" w:hAnsi="Cambria Math"/>
                <w:sz w:val="20"/>
              </w:rPr>
            </w:pPr>
            <w:r>
              <w:rPr>
                <w:rFonts w:ascii="Cambria Math" w:hAnsi="Cambria Math"/>
                <w:sz w:val="20"/>
              </w:rPr>
              <w:t>◉</w:t>
            </w:r>
          </w:p>
        </w:tc>
        <w:tc>
          <w:tcPr>
            <w:tcW w:w="993" w:type="dxa"/>
          </w:tcPr>
          <w:p w14:paraId="72705C84" w14:textId="77777777" w:rsidR="0098695F" w:rsidRDefault="0098695F">
            <w:pPr>
              <w:pStyle w:val="TableParagraph"/>
              <w:rPr>
                <w:rFonts w:ascii="Times New Roman"/>
                <w:sz w:val="18"/>
              </w:rPr>
            </w:pPr>
          </w:p>
        </w:tc>
      </w:tr>
      <w:tr w:rsidR="0098695F" w14:paraId="0DC8D90B" w14:textId="77777777">
        <w:trPr>
          <w:trHeight w:val="339"/>
        </w:trPr>
        <w:tc>
          <w:tcPr>
            <w:tcW w:w="6660" w:type="dxa"/>
          </w:tcPr>
          <w:p w14:paraId="42BC17B7" w14:textId="77777777" w:rsidR="0098695F" w:rsidRDefault="00043E1E">
            <w:pPr>
              <w:pStyle w:val="TableParagraph"/>
              <w:spacing w:before="47"/>
              <w:ind w:left="105"/>
              <w:rPr>
                <w:sz w:val="20"/>
              </w:rPr>
            </w:pPr>
            <w:r>
              <w:rPr>
                <w:sz w:val="20"/>
              </w:rPr>
              <w:t>Information management</w:t>
            </w:r>
          </w:p>
        </w:tc>
        <w:tc>
          <w:tcPr>
            <w:tcW w:w="1027" w:type="dxa"/>
          </w:tcPr>
          <w:p w14:paraId="44E6921C" w14:textId="77777777" w:rsidR="0098695F" w:rsidRDefault="00043E1E">
            <w:pPr>
              <w:pStyle w:val="TableParagraph"/>
              <w:spacing w:before="52"/>
              <w:ind w:left="4"/>
              <w:jc w:val="center"/>
              <w:rPr>
                <w:rFonts w:ascii="Cambria Math" w:hAnsi="Cambria Math"/>
                <w:sz w:val="20"/>
              </w:rPr>
            </w:pPr>
            <w:r>
              <w:rPr>
                <w:rFonts w:ascii="Cambria Math" w:hAnsi="Cambria Math"/>
                <w:sz w:val="20"/>
              </w:rPr>
              <w:t>◉</w:t>
            </w:r>
          </w:p>
        </w:tc>
        <w:tc>
          <w:tcPr>
            <w:tcW w:w="992" w:type="dxa"/>
          </w:tcPr>
          <w:p w14:paraId="5C8012B6" w14:textId="77777777" w:rsidR="0098695F" w:rsidRDefault="0098695F">
            <w:pPr>
              <w:pStyle w:val="TableParagraph"/>
              <w:rPr>
                <w:rFonts w:ascii="Times New Roman"/>
                <w:sz w:val="18"/>
              </w:rPr>
            </w:pPr>
          </w:p>
        </w:tc>
        <w:tc>
          <w:tcPr>
            <w:tcW w:w="993" w:type="dxa"/>
          </w:tcPr>
          <w:p w14:paraId="385AC874" w14:textId="77777777" w:rsidR="0098695F" w:rsidRDefault="0098695F">
            <w:pPr>
              <w:pStyle w:val="TableParagraph"/>
              <w:rPr>
                <w:rFonts w:ascii="Times New Roman"/>
                <w:sz w:val="18"/>
              </w:rPr>
            </w:pPr>
          </w:p>
        </w:tc>
      </w:tr>
      <w:tr w:rsidR="0098695F" w14:paraId="7B5199EC" w14:textId="77777777">
        <w:trPr>
          <w:trHeight w:val="340"/>
        </w:trPr>
        <w:tc>
          <w:tcPr>
            <w:tcW w:w="6660" w:type="dxa"/>
          </w:tcPr>
          <w:p w14:paraId="6D3B38BC" w14:textId="77777777" w:rsidR="0098695F" w:rsidRDefault="00043E1E">
            <w:pPr>
              <w:pStyle w:val="TableParagraph"/>
              <w:ind w:left="105"/>
              <w:rPr>
                <w:sz w:val="20"/>
              </w:rPr>
            </w:pPr>
            <w:r>
              <w:rPr>
                <w:sz w:val="20"/>
              </w:rPr>
              <w:t>Resource management</w:t>
            </w:r>
          </w:p>
        </w:tc>
        <w:tc>
          <w:tcPr>
            <w:tcW w:w="1027" w:type="dxa"/>
          </w:tcPr>
          <w:p w14:paraId="13FC77EA" w14:textId="77777777" w:rsidR="0098695F" w:rsidRDefault="00043E1E">
            <w:pPr>
              <w:pStyle w:val="TableParagraph"/>
              <w:spacing w:before="53"/>
              <w:ind w:left="4"/>
              <w:jc w:val="center"/>
              <w:rPr>
                <w:rFonts w:ascii="Cambria Math" w:hAnsi="Cambria Math"/>
                <w:sz w:val="20"/>
              </w:rPr>
            </w:pPr>
            <w:r>
              <w:rPr>
                <w:rFonts w:ascii="Cambria Math" w:hAnsi="Cambria Math"/>
                <w:sz w:val="20"/>
              </w:rPr>
              <w:t>◉</w:t>
            </w:r>
          </w:p>
        </w:tc>
        <w:tc>
          <w:tcPr>
            <w:tcW w:w="992" w:type="dxa"/>
          </w:tcPr>
          <w:p w14:paraId="579109F9" w14:textId="77777777" w:rsidR="0098695F" w:rsidRDefault="0098695F">
            <w:pPr>
              <w:pStyle w:val="TableParagraph"/>
              <w:rPr>
                <w:rFonts w:ascii="Times New Roman"/>
                <w:sz w:val="18"/>
              </w:rPr>
            </w:pPr>
          </w:p>
        </w:tc>
        <w:tc>
          <w:tcPr>
            <w:tcW w:w="993" w:type="dxa"/>
          </w:tcPr>
          <w:p w14:paraId="7238779C" w14:textId="77777777" w:rsidR="0098695F" w:rsidRDefault="0098695F">
            <w:pPr>
              <w:pStyle w:val="TableParagraph"/>
              <w:rPr>
                <w:rFonts w:ascii="Times New Roman"/>
                <w:sz w:val="18"/>
              </w:rPr>
            </w:pPr>
          </w:p>
        </w:tc>
      </w:tr>
    </w:tbl>
    <w:p w14:paraId="048AF57D" w14:textId="77777777" w:rsidR="0098695F" w:rsidRDefault="0098695F">
      <w:pPr>
        <w:rPr>
          <w:rFonts w:ascii="Times New Roman"/>
          <w:sz w:val="18"/>
        </w:rPr>
        <w:sectPr w:rsidR="0098695F">
          <w:pgSz w:w="11910" w:h="16840"/>
          <w:pgMar w:top="1400" w:right="680" w:bottom="1200" w:left="1180" w:header="0" w:footer="932" w:gutter="0"/>
          <w:cols w:space="720"/>
        </w:sectPr>
      </w:pPr>
    </w:p>
    <w:tbl>
      <w:tblPr>
        <w:tblW w:w="0" w:type="auto"/>
        <w:tblInd w:w="270" w:type="dxa"/>
        <w:tblBorders>
          <w:top w:val="single" w:sz="4" w:space="0" w:color="A19C8D"/>
          <w:left w:val="single" w:sz="4" w:space="0" w:color="A19C8D"/>
          <w:bottom w:val="single" w:sz="4" w:space="0" w:color="A19C8D"/>
          <w:right w:val="single" w:sz="4" w:space="0" w:color="A19C8D"/>
          <w:insideH w:val="single" w:sz="4" w:space="0" w:color="A19C8D"/>
          <w:insideV w:val="single" w:sz="4" w:space="0" w:color="A19C8D"/>
        </w:tblBorders>
        <w:tblLayout w:type="fixed"/>
        <w:tblCellMar>
          <w:left w:w="0" w:type="dxa"/>
          <w:right w:w="0" w:type="dxa"/>
        </w:tblCellMar>
        <w:tblLook w:val="01E0" w:firstRow="1" w:lastRow="1" w:firstColumn="1" w:lastColumn="1" w:noHBand="0" w:noVBand="0"/>
      </w:tblPr>
      <w:tblGrid>
        <w:gridCol w:w="6660"/>
        <w:gridCol w:w="1027"/>
        <w:gridCol w:w="992"/>
        <w:gridCol w:w="993"/>
      </w:tblGrid>
      <w:tr w:rsidR="0098695F" w14:paraId="4FBCD761" w14:textId="77777777">
        <w:trPr>
          <w:trHeight w:val="340"/>
        </w:trPr>
        <w:tc>
          <w:tcPr>
            <w:tcW w:w="6660" w:type="dxa"/>
          </w:tcPr>
          <w:p w14:paraId="61F86E89" w14:textId="77777777" w:rsidR="0098695F" w:rsidRDefault="00043E1E">
            <w:pPr>
              <w:pStyle w:val="TableParagraph"/>
              <w:spacing w:line="243" w:lineRule="exact"/>
              <w:ind w:left="105"/>
              <w:rPr>
                <w:sz w:val="20"/>
              </w:rPr>
            </w:pPr>
            <w:r>
              <w:rPr>
                <w:sz w:val="20"/>
              </w:rPr>
              <w:lastRenderedPageBreak/>
              <w:t>Direction setting and operational objectives</w:t>
            </w:r>
          </w:p>
        </w:tc>
        <w:tc>
          <w:tcPr>
            <w:tcW w:w="1027" w:type="dxa"/>
          </w:tcPr>
          <w:p w14:paraId="12B56B78" w14:textId="77777777" w:rsidR="0098695F" w:rsidRDefault="00043E1E">
            <w:pPr>
              <w:pStyle w:val="TableParagraph"/>
              <w:spacing w:before="52"/>
              <w:ind w:right="420"/>
              <w:jc w:val="right"/>
              <w:rPr>
                <w:rFonts w:ascii="Cambria Math" w:hAnsi="Cambria Math"/>
                <w:sz w:val="20"/>
              </w:rPr>
            </w:pPr>
            <w:r>
              <w:rPr>
                <w:rFonts w:ascii="Cambria Math" w:hAnsi="Cambria Math"/>
                <w:sz w:val="20"/>
              </w:rPr>
              <w:t>◉</w:t>
            </w:r>
          </w:p>
        </w:tc>
        <w:tc>
          <w:tcPr>
            <w:tcW w:w="992" w:type="dxa"/>
          </w:tcPr>
          <w:p w14:paraId="54E88B12" w14:textId="77777777" w:rsidR="0098695F" w:rsidRDefault="0098695F">
            <w:pPr>
              <w:pStyle w:val="TableParagraph"/>
              <w:rPr>
                <w:rFonts w:ascii="Times New Roman"/>
                <w:sz w:val="20"/>
              </w:rPr>
            </w:pPr>
          </w:p>
        </w:tc>
        <w:tc>
          <w:tcPr>
            <w:tcW w:w="993" w:type="dxa"/>
          </w:tcPr>
          <w:p w14:paraId="782C1F61" w14:textId="77777777" w:rsidR="0098695F" w:rsidRDefault="0098695F">
            <w:pPr>
              <w:pStyle w:val="TableParagraph"/>
              <w:rPr>
                <w:rFonts w:ascii="Times New Roman"/>
                <w:sz w:val="20"/>
              </w:rPr>
            </w:pPr>
          </w:p>
        </w:tc>
      </w:tr>
      <w:tr w:rsidR="0098695F" w14:paraId="4C0C1533" w14:textId="77777777">
        <w:trPr>
          <w:trHeight w:val="339"/>
        </w:trPr>
        <w:tc>
          <w:tcPr>
            <w:tcW w:w="6660" w:type="dxa"/>
          </w:tcPr>
          <w:p w14:paraId="1A9F89EB" w14:textId="77777777" w:rsidR="0098695F" w:rsidRDefault="00043E1E">
            <w:pPr>
              <w:pStyle w:val="TableParagraph"/>
              <w:spacing w:line="243" w:lineRule="exact"/>
              <w:ind w:left="105"/>
              <w:rPr>
                <w:sz w:val="20"/>
              </w:rPr>
            </w:pPr>
            <w:r>
              <w:rPr>
                <w:sz w:val="20"/>
              </w:rPr>
              <w:t>Safety and security</w:t>
            </w:r>
          </w:p>
        </w:tc>
        <w:tc>
          <w:tcPr>
            <w:tcW w:w="1027" w:type="dxa"/>
          </w:tcPr>
          <w:p w14:paraId="757AC280" w14:textId="77777777" w:rsidR="0098695F" w:rsidRDefault="00043E1E">
            <w:pPr>
              <w:pStyle w:val="TableParagraph"/>
              <w:spacing w:before="52"/>
              <w:ind w:right="420"/>
              <w:jc w:val="right"/>
              <w:rPr>
                <w:rFonts w:ascii="Cambria Math" w:hAnsi="Cambria Math"/>
                <w:sz w:val="20"/>
              </w:rPr>
            </w:pPr>
            <w:r>
              <w:rPr>
                <w:rFonts w:ascii="Cambria Math" w:hAnsi="Cambria Math"/>
                <w:sz w:val="20"/>
              </w:rPr>
              <w:t>◉</w:t>
            </w:r>
          </w:p>
        </w:tc>
        <w:tc>
          <w:tcPr>
            <w:tcW w:w="992" w:type="dxa"/>
          </w:tcPr>
          <w:p w14:paraId="0184A94E" w14:textId="77777777" w:rsidR="0098695F" w:rsidRDefault="0098695F">
            <w:pPr>
              <w:pStyle w:val="TableParagraph"/>
              <w:rPr>
                <w:rFonts w:ascii="Times New Roman"/>
                <w:sz w:val="20"/>
              </w:rPr>
            </w:pPr>
          </w:p>
        </w:tc>
        <w:tc>
          <w:tcPr>
            <w:tcW w:w="993" w:type="dxa"/>
          </w:tcPr>
          <w:p w14:paraId="595FD21A" w14:textId="77777777" w:rsidR="0098695F" w:rsidRDefault="0098695F">
            <w:pPr>
              <w:pStyle w:val="TableParagraph"/>
              <w:rPr>
                <w:rFonts w:ascii="Times New Roman"/>
                <w:sz w:val="20"/>
              </w:rPr>
            </w:pPr>
          </w:p>
        </w:tc>
      </w:tr>
      <w:tr w:rsidR="0098695F" w14:paraId="61946F2A" w14:textId="77777777">
        <w:trPr>
          <w:trHeight w:val="340"/>
        </w:trPr>
        <w:tc>
          <w:tcPr>
            <w:tcW w:w="6660" w:type="dxa"/>
          </w:tcPr>
          <w:p w14:paraId="06961E19" w14:textId="77777777" w:rsidR="0098695F" w:rsidRDefault="00043E1E">
            <w:pPr>
              <w:pStyle w:val="TableParagraph"/>
              <w:ind w:left="105"/>
              <w:rPr>
                <w:sz w:val="20"/>
              </w:rPr>
            </w:pPr>
            <w:r>
              <w:rPr>
                <w:sz w:val="20"/>
              </w:rPr>
              <w:t>Transition and Recovery</w:t>
            </w:r>
          </w:p>
        </w:tc>
        <w:tc>
          <w:tcPr>
            <w:tcW w:w="1027" w:type="dxa"/>
          </w:tcPr>
          <w:p w14:paraId="480D4D05" w14:textId="77777777" w:rsidR="0098695F" w:rsidRDefault="00043E1E">
            <w:pPr>
              <w:pStyle w:val="TableParagraph"/>
              <w:spacing w:before="53"/>
              <w:ind w:right="420"/>
              <w:jc w:val="right"/>
              <w:rPr>
                <w:rFonts w:ascii="Cambria Math" w:hAnsi="Cambria Math"/>
                <w:sz w:val="20"/>
              </w:rPr>
            </w:pPr>
            <w:r>
              <w:rPr>
                <w:rFonts w:ascii="Cambria Math" w:hAnsi="Cambria Math"/>
                <w:sz w:val="20"/>
              </w:rPr>
              <w:t>◉</w:t>
            </w:r>
          </w:p>
        </w:tc>
        <w:tc>
          <w:tcPr>
            <w:tcW w:w="992" w:type="dxa"/>
          </w:tcPr>
          <w:p w14:paraId="41508B8A" w14:textId="77777777" w:rsidR="0098695F" w:rsidRDefault="0098695F">
            <w:pPr>
              <w:pStyle w:val="TableParagraph"/>
              <w:rPr>
                <w:rFonts w:ascii="Times New Roman"/>
                <w:sz w:val="20"/>
              </w:rPr>
            </w:pPr>
          </w:p>
        </w:tc>
        <w:tc>
          <w:tcPr>
            <w:tcW w:w="993" w:type="dxa"/>
          </w:tcPr>
          <w:p w14:paraId="4A05F4FD" w14:textId="77777777" w:rsidR="0098695F" w:rsidRDefault="0098695F">
            <w:pPr>
              <w:pStyle w:val="TableParagraph"/>
              <w:rPr>
                <w:rFonts w:ascii="Times New Roman"/>
                <w:sz w:val="20"/>
              </w:rPr>
            </w:pPr>
          </w:p>
        </w:tc>
      </w:tr>
      <w:tr w:rsidR="0098695F" w14:paraId="73FCE1A4" w14:textId="77777777">
        <w:trPr>
          <w:trHeight w:val="340"/>
        </w:trPr>
        <w:tc>
          <w:tcPr>
            <w:tcW w:w="6660" w:type="dxa"/>
          </w:tcPr>
          <w:p w14:paraId="1679959F" w14:textId="77777777" w:rsidR="0098695F" w:rsidRDefault="00043E1E">
            <w:pPr>
              <w:pStyle w:val="TableParagraph"/>
              <w:spacing w:line="243" w:lineRule="exact"/>
              <w:ind w:left="105"/>
              <w:rPr>
                <w:sz w:val="20"/>
              </w:rPr>
            </w:pPr>
            <w:r>
              <w:rPr>
                <w:sz w:val="20"/>
              </w:rPr>
              <w:t>Community engagement and accountability</w:t>
            </w:r>
          </w:p>
        </w:tc>
        <w:tc>
          <w:tcPr>
            <w:tcW w:w="1027" w:type="dxa"/>
          </w:tcPr>
          <w:p w14:paraId="516DB5CC" w14:textId="77777777" w:rsidR="0098695F" w:rsidRDefault="0098695F">
            <w:pPr>
              <w:pStyle w:val="TableParagraph"/>
              <w:rPr>
                <w:rFonts w:ascii="Times New Roman"/>
                <w:sz w:val="20"/>
              </w:rPr>
            </w:pPr>
          </w:p>
        </w:tc>
        <w:tc>
          <w:tcPr>
            <w:tcW w:w="992" w:type="dxa"/>
          </w:tcPr>
          <w:p w14:paraId="78E4466C" w14:textId="77777777" w:rsidR="0098695F" w:rsidRDefault="00043E1E">
            <w:pPr>
              <w:pStyle w:val="TableParagraph"/>
              <w:spacing w:before="52"/>
              <w:ind w:left="409"/>
              <w:rPr>
                <w:rFonts w:ascii="Cambria Math" w:hAnsi="Cambria Math"/>
                <w:sz w:val="20"/>
              </w:rPr>
            </w:pPr>
            <w:r>
              <w:rPr>
                <w:rFonts w:ascii="Cambria Math" w:hAnsi="Cambria Math"/>
                <w:sz w:val="20"/>
              </w:rPr>
              <w:t>◉</w:t>
            </w:r>
          </w:p>
        </w:tc>
        <w:tc>
          <w:tcPr>
            <w:tcW w:w="993" w:type="dxa"/>
          </w:tcPr>
          <w:p w14:paraId="686E8BFA" w14:textId="77777777" w:rsidR="0098695F" w:rsidRDefault="0098695F">
            <w:pPr>
              <w:pStyle w:val="TableParagraph"/>
              <w:rPr>
                <w:rFonts w:ascii="Times New Roman"/>
                <w:sz w:val="20"/>
              </w:rPr>
            </w:pPr>
          </w:p>
        </w:tc>
      </w:tr>
      <w:tr w:rsidR="0098695F" w14:paraId="5B3DAA69" w14:textId="77777777">
        <w:trPr>
          <w:trHeight w:val="339"/>
        </w:trPr>
        <w:tc>
          <w:tcPr>
            <w:tcW w:w="6660" w:type="dxa"/>
          </w:tcPr>
          <w:p w14:paraId="47693907" w14:textId="77777777" w:rsidR="0098695F" w:rsidRDefault="00043E1E">
            <w:pPr>
              <w:pStyle w:val="TableParagraph"/>
              <w:spacing w:line="243" w:lineRule="exact"/>
              <w:ind w:left="105"/>
              <w:rPr>
                <w:sz w:val="20"/>
              </w:rPr>
            </w:pPr>
            <w:r>
              <w:rPr>
                <w:sz w:val="20"/>
              </w:rPr>
              <w:t xml:space="preserve">Protection, </w:t>
            </w:r>
            <w:proofErr w:type="gramStart"/>
            <w:r>
              <w:rPr>
                <w:sz w:val="20"/>
              </w:rPr>
              <w:t>gender</w:t>
            </w:r>
            <w:proofErr w:type="gramEnd"/>
            <w:r>
              <w:rPr>
                <w:sz w:val="20"/>
              </w:rPr>
              <w:t xml:space="preserve"> and inclusion</w:t>
            </w:r>
          </w:p>
        </w:tc>
        <w:tc>
          <w:tcPr>
            <w:tcW w:w="1027" w:type="dxa"/>
          </w:tcPr>
          <w:p w14:paraId="2ABDA37A" w14:textId="77777777" w:rsidR="0098695F" w:rsidRDefault="00043E1E">
            <w:pPr>
              <w:pStyle w:val="TableParagraph"/>
              <w:spacing w:before="52"/>
              <w:ind w:right="420"/>
              <w:jc w:val="right"/>
              <w:rPr>
                <w:rFonts w:ascii="Cambria Math" w:hAnsi="Cambria Math"/>
                <w:sz w:val="20"/>
              </w:rPr>
            </w:pPr>
            <w:r>
              <w:rPr>
                <w:rFonts w:ascii="Cambria Math" w:hAnsi="Cambria Math"/>
                <w:sz w:val="20"/>
              </w:rPr>
              <w:t>◉</w:t>
            </w:r>
          </w:p>
        </w:tc>
        <w:tc>
          <w:tcPr>
            <w:tcW w:w="992" w:type="dxa"/>
          </w:tcPr>
          <w:p w14:paraId="4835424E" w14:textId="77777777" w:rsidR="0098695F" w:rsidRDefault="0098695F">
            <w:pPr>
              <w:pStyle w:val="TableParagraph"/>
              <w:rPr>
                <w:rFonts w:ascii="Times New Roman"/>
                <w:sz w:val="20"/>
              </w:rPr>
            </w:pPr>
          </w:p>
        </w:tc>
        <w:tc>
          <w:tcPr>
            <w:tcW w:w="993" w:type="dxa"/>
          </w:tcPr>
          <w:p w14:paraId="3E3D9303" w14:textId="77777777" w:rsidR="0098695F" w:rsidRDefault="0098695F">
            <w:pPr>
              <w:pStyle w:val="TableParagraph"/>
              <w:rPr>
                <w:rFonts w:ascii="Times New Roman"/>
                <w:sz w:val="20"/>
              </w:rPr>
            </w:pPr>
          </w:p>
        </w:tc>
      </w:tr>
      <w:tr w:rsidR="0098695F" w14:paraId="74A71F38" w14:textId="77777777">
        <w:trPr>
          <w:trHeight w:val="340"/>
        </w:trPr>
        <w:tc>
          <w:tcPr>
            <w:tcW w:w="6660" w:type="dxa"/>
          </w:tcPr>
          <w:p w14:paraId="67BF738E" w14:textId="77777777" w:rsidR="0098695F" w:rsidRDefault="00043E1E">
            <w:pPr>
              <w:pStyle w:val="TableParagraph"/>
              <w:ind w:left="105"/>
              <w:rPr>
                <w:sz w:val="20"/>
              </w:rPr>
            </w:pPr>
            <w:r>
              <w:rPr>
                <w:sz w:val="20"/>
              </w:rPr>
              <w:t>Environmental sustainability</w:t>
            </w:r>
          </w:p>
        </w:tc>
        <w:tc>
          <w:tcPr>
            <w:tcW w:w="1027" w:type="dxa"/>
          </w:tcPr>
          <w:p w14:paraId="36C100A1" w14:textId="77777777" w:rsidR="0098695F" w:rsidRDefault="00043E1E">
            <w:pPr>
              <w:pStyle w:val="TableParagraph"/>
              <w:spacing w:before="53"/>
              <w:ind w:right="420"/>
              <w:jc w:val="right"/>
              <w:rPr>
                <w:rFonts w:ascii="Cambria Math" w:hAnsi="Cambria Math"/>
                <w:sz w:val="20"/>
              </w:rPr>
            </w:pPr>
            <w:r>
              <w:rPr>
                <w:rFonts w:ascii="Cambria Math" w:hAnsi="Cambria Math"/>
                <w:sz w:val="20"/>
              </w:rPr>
              <w:t>◉</w:t>
            </w:r>
          </w:p>
        </w:tc>
        <w:tc>
          <w:tcPr>
            <w:tcW w:w="992" w:type="dxa"/>
          </w:tcPr>
          <w:p w14:paraId="2541E580" w14:textId="77777777" w:rsidR="0098695F" w:rsidRDefault="0098695F">
            <w:pPr>
              <w:pStyle w:val="TableParagraph"/>
              <w:rPr>
                <w:rFonts w:ascii="Times New Roman"/>
                <w:sz w:val="20"/>
              </w:rPr>
            </w:pPr>
          </w:p>
        </w:tc>
        <w:tc>
          <w:tcPr>
            <w:tcW w:w="993" w:type="dxa"/>
          </w:tcPr>
          <w:p w14:paraId="6C0E1E23" w14:textId="77777777" w:rsidR="0098695F" w:rsidRDefault="0098695F">
            <w:pPr>
              <w:pStyle w:val="TableParagraph"/>
              <w:rPr>
                <w:rFonts w:ascii="Times New Roman"/>
                <w:sz w:val="20"/>
              </w:rPr>
            </w:pPr>
          </w:p>
        </w:tc>
      </w:tr>
      <w:tr w:rsidR="0098695F" w14:paraId="6981013E" w14:textId="77777777">
        <w:trPr>
          <w:trHeight w:val="340"/>
        </w:trPr>
        <w:tc>
          <w:tcPr>
            <w:tcW w:w="6660" w:type="dxa"/>
          </w:tcPr>
          <w:p w14:paraId="4A65A6F2" w14:textId="77777777" w:rsidR="0098695F" w:rsidRDefault="00043E1E">
            <w:pPr>
              <w:pStyle w:val="TableParagraph"/>
              <w:spacing w:before="47"/>
              <w:ind w:left="105"/>
              <w:rPr>
                <w:sz w:val="20"/>
              </w:rPr>
            </w:pPr>
            <w:r>
              <w:rPr>
                <w:sz w:val="20"/>
              </w:rPr>
              <w:t>Interpersonal communication and collaboration</w:t>
            </w:r>
          </w:p>
        </w:tc>
        <w:tc>
          <w:tcPr>
            <w:tcW w:w="1027" w:type="dxa"/>
          </w:tcPr>
          <w:p w14:paraId="38C278A4" w14:textId="77777777" w:rsidR="0098695F" w:rsidRDefault="00043E1E">
            <w:pPr>
              <w:pStyle w:val="TableParagraph"/>
              <w:spacing w:before="52"/>
              <w:ind w:right="420"/>
              <w:jc w:val="right"/>
              <w:rPr>
                <w:rFonts w:ascii="Cambria Math" w:hAnsi="Cambria Math"/>
                <w:sz w:val="20"/>
              </w:rPr>
            </w:pPr>
            <w:r>
              <w:rPr>
                <w:rFonts w:ascii="Cambria Math" w:hAnsi="Cambria Math"/>
                <w:sz w:val="20"/>
              </w:rPr>
              <w:t>◉</w:t>
            </w:r>
          </w:p>
        </w:tc>
        <w:tc>
          <w:tcPr>
            <w:tcW w:w="992" w:type="dxa"/>
          </w:tcPr>
          <w:p w14:paraId="179B068B" w14:textId="77777777" w:rsidR="0098695F" w:rsidRDefault="0098695F">
            <w:pPr>
              <w:pStyle w:val="TableParagraph"/>
              <w:rPr>
                <w:rFonts w:ascii="Times New Roman"/>
                <w:sz w:val="20"/>
              </w:rPr>
            </w:pPr>
          </w:p>
        </w:tc>
        <w:tc>
          <w:tcPr>
            <w:tcW w:w="993" w:type="dxa"/>
          </w:tcPr>
          <w:p w14:paraId="3156C99B" w14:textId="77777777" w:rsidR="0098695F" w:rsidRDefault="0098695F">
            <w:pPr>
              <w:pStyle w:val="TableParagraph"/>
              <w:rPr>
                <w:rFonts w:ascii="Times New Roman"/>
                <w:sz w:val="20"/>
              </w:rPr>
            </w:pPr>
          </w:p>
        </w:tc>
      </w:tr>
      <w:tr w:rsidR="0098695F" w14:paraId="5EBEC607" w14:textId="77777777">
        <w:trPr>
          <w:trHeight w:val="339"/>
        </w:trPr>
        <w:tc>
          <w:tcPr>
            <w:tcW w:w="6660" w:type="dxa"/>
          </w:tcPr>
          <w:p w14:paraId="1519A1BC" w14:textId="77777777" w:rsidR="0098695F" w:rsidRDefault="00043E1E">
            <w:pPr>
              <w:pStyle w:val="TableParagraph"/>
              <w:spacing w:before="47"/>
              <w:ind w:left="105"/>
              <w:rPr>
                <w:sz w:val="20"/>
              </w:rPr>
            </w:pPr>
            <w:r>
              <w:rPr>
                <w:sz w:val="20"/>
              </w:rPr>
              <w:t>Conflict Management</w:t>
            </w:r>
          </w:p>
        </w:tc>
        <w:tc>
          <w:tcPr>
            <w:tcW w:w="1027" w:type="dxa"/>
          </w:tcPr>
          <w:p w14:paraId="135E6697" w14:textId="77777777" w:rsidR="0098695F" w:rsidRDefault="00043E1E">
            <w:pPr>
              <w:pStyle w:val="TableParagraph"/>
              <w:spacing w:before="52"/>
              <w:ind w:right="420"/>
              <w:jc w:val="right"/>
              <w:rPr>
                <w:rFonts w:ascii="Cambria Math" w:hAnsi="Cambria Math"/>
                <w:sz w:val="20"/>
              </w:rPr>
            </w:pPr>
            <w:r>
              <w:rPr>
                <w:rFonts w:ascii="Cambria Math" w:hAnsi="Cambria Math"/>
                <w:sz w:val="20"/>
              </w:rPr>
              <w:t>◉</w:t>
            </w:r>
          </w:p>
        </w:tc>
        <w:tc>
          <w:tcPr>
            <w:tcW w:w="992" w:type="dxa"/>
          </w:tcPr>
          <w:p w14:paraId="279278A9" w14:textId="77777777" w:rsidR="0098695F" w:rsidRDefault="0098695F">
            <w:pPr>
              <w:pStyle w:val="TableParagraph"/>
              <w:rPr>
                <w:rFonts w:ascii="Times New Roman"/>
                <w:sz w:val="20"/>
              </w:rPr>
            </w:pPr>
          </w:p>
        </w:tc>
        <w:tc>
          <w:tcPr>
            <w:tcW w:w="993" w:type="dxa"/>
          </w:tcPr>
          <w:p w14:paraId="392BC203" w14:textId="77777777" w:rsidR="0098695F" w:rsidRDefault="0098695F">
            <w:pPr>
              <w:pStyle w:val="TableParagraph"/>
              <w:rPr>
                <w:rFonts w:ascii="Times New Roman"/>
                <w:sz w:val="20"/>
              </w:rPr>
            </w:pPr>
          </w:p>
        </w:tc>
      </w:tr>
      <w:tr w:rsidR="0098695F" w14:paraId="6D09C476" w14:textId="77777777">
        <w:trPr>
          <w:trHeight w:val="340"/>
        </w:trPr>
        <w:tc>
          <w:tcPr>
            <w:tcW w:w="6660" w:type="dxa"/>
          </w:tcPr>
          <w:p w14:paraId="57BFEBAF" w14:textId="77777777" w:rsidR="0098695F" w:rsidRDefault="00043E1E">
            <w:pPr>
              <w:pStyle w:val="TableParagraph"/>
              <w:spacing w:before="48"/>
              <w:ind w:left="105"/>
              <w:rPr>
                <w:sz w:val="20"/>
              </w:rPr>
            </w:pPr>
            <w:r>
              <w:rPr>
                <w:sz w:val="20"/>
              </w:rPr>
              <w:t>Cultural awareness</w:t>
            </w:r>
          </w:p>
        </w:tc>
        <w:tc>
          <w:tcPr>
            <w:tcW w:w="1027" w:type="dxa"/>
          </w:tcPr>
          <w:p w14:paraId="78C17D0D" w14:textId="77777777" w:rsidR="0098695F" w:rsidRDefault="0098695F">
            <w:pPr>
              <w:pStyle w:val="TableParagraph"/>
              <w:rPr>
                <w:rFonts w:ascii="Times New Roman"/>
                <w:sz w:val="20"/>
              </w:rPr>
            </w:pPr>
          </w:p>
        </w:tc>
        <w:tc>
          <w:tcPr>
            <w:tcW w:w="992" w:type="dxa"/>
          </w:tcPr>
          <w:p w14:paraId="31E74BD1" w14:textId="77777777" w:rsidR="0098695F" w:rsidRDefault="00043E1E">
            <w:pPr>
              <w:pStyle w:val="TableParagraph"/>
              <w:spacing w:before="53"/>
              <w:ind w:left="409"/>
              <w:rPr>
                <w:rFonts w:ascii="Cambria Math" w:hAnsi="Cambria Math"/>
                <w:sz w:val="20"/>
              </w:rPr>
            </w:pPr>
            <w:r>
              <w:rPr>
                <w:rFonts w:ascii="Cambria Math" w:hAnsi="Cambria Math"/>
                <w:sz w:val="20"/>
              </w:rPr>
              <w:t>◉</w:t>
            </w:r>
          </w:p>
        </w:tc>
        <w:tc>
          <w:tcPr>
            <w:tcW w:w="993" w:type="dxa"/>
          </w:tcPr>
          <w:p w14:paraId="11546094" w14:textId="77777777" w:rsidR="0098695F" w:rsidRDefault="0098695F">
            <w:pPr>
              <w:pStyle w:val="TableParagraph"/>
              <w:rPr>
                <w:rFonts w:ascii="Times New Roman"/>
                <w:sz w:val="20"/>
              </w:rPr>
            </w:pPr>
          </w:p>
        </w:tc>
      </w:tr>
      <w:tr w:rsidR="0098695F" w14:paraId="3BEAF095" w14:textId="77777777">
        <w:trPr>
          <w:trHeight w:val="340"/>
        </w:trPr>
        <w:tc>
          <w:tcPr>
            <w:tcW w:w="6660" w:type="dxa"/>
          </w:tcPr>
          <w:p w14:paraId="2AC2D3A3" w14:textId="77777777" w:rsidR="0098695F" w:rsidRDefault="00043E1E">
            <w:pPr>
              <w:pStyle w:val="TableParagraph"/>
              <w:spacing w:before="47"/>
              <w:ind w:left="105"/>
              <w:rPr>
                <w:sz w:val="20"/>
              </w:rPr>
            </w:pPr>
            <w:r>
              <w:rPr>
                <w:sz w:val="20"/>
              </w:rPr>
              <w:t>Judgement and decision making</w:t>
            </w:r>
          </w:p>
        </w:tc>
        <w:tc>
          <w:tcPr>
            <w:tcW w:w="1027" w:type="dxa"/>
          </w:tcPr>
          <w:p w14:paraId="0F3DD5EE" w14:textId="77777777" w:rsidR="0098695F" w:rsidRDefault="0098695F">
            <w:pPr>
              <w:pStyle w:val="TableParagraph"/>
              <w:rPr>
                <w:rFonts w:ascii="Times New Roman"/>
                <w:sz w:val="20"/>
              </w:rPr>
            </w:pPr>
          </w:p>
        </w:tc>
        <w:tc>
          <w:tcPr>
            <w:tcW w:w="992" w:type="dxa"/>
          </w:tcPr>
          <w:p w14:paraId="5244CA66" w14:textId="77777777" w:rsidR="0098695F" w:rsidRDefault="00043E1E">
            <w:pPr>
              <w:pStyle w:val="TableParagraph"/>
              <w:spacing w:before="52"/>
              <w:ind w:left="409"/>
              <w:rPr>
                <w:rFonts w:ascii="Cambria Math" w:hAnsi="Cambria Math"/>
                <w:sz w:val="20"/>
              </w:rPr>
            </w:pPr>
            <w:r>
              <w:rPr>
                <w:rFonts w:ascii="Cambria Math" w:hAnsi="Cambria Math"/>
                <w:sz w:val="20"/>
              </w:rPr>
              <w:t>◉</w:t>
            </w:r>
          </w:p>
        </w:tc>
        <w:tc>
          <w:tcPr>
            <w:tcW w:w="993" w:type="dxa"/>
          </w:tcPr>
          <w:p w14:paraId="34159B13" w14:textId="77777777" w:rsidR="0098695F" w:rsidRDefault="0098695F">
            <w:pPr>
              <w:pStyle w:val="TableParagraph"/>
              <w:rPr>
                <w:rFonts w:ascii="Times New Roman"/>
                <w:sz w:val="20"/>
              </w:rPr>
            </w:pPr>
          </w:p>
        </w:tc>
      </w:tr>
      <w:tr w:rsidR="0098695F" w14:paraId="14DE407B" w14:textId="77777777">
        <w:trPr>
          <w:trHeight w:val="339"/>
        </w:trPr>
        <w:tc>
          <w:tcPr>
            <w:tcW w:w="6660" w:type="dxa"/>
          </w:tcPr>
          <w:p w14:paraId="3F1C6550" w14:textId="77777777" w:rsidR="0098695F" w:rsidRDefault="00043E1E">
            <w:pPr>
              <w:pStyle w:val="TableParagraph"/>
              <w:spacing w:before="47"/>
              <w:ind w:left="105"/>
              <w:rPr>
                <w:sz w:val="20"/>
              </w:rPr>
            </w:pPr>
            <w:r>
              <w:rPr>
                <w:sz w:val="20"/>
              </w:rPr>
              <w:t>Motivation</w:t>
            </w:r>
          </w:p>
        </w:tc>
        <w:tc>
          <w:tcPr>
            <w:tcW w:w="1027" w:type="dxa"/>
          </w:tcPr>
          <w:p w14:paraId="3F677818" w14:textId="77777777" w:rsidR="0098695F" w:rsidRDefault="0098695F">
            <w:pPr>
              <w:pStyle w:val="TableParagraph"/>
              <w:rPr>
                <w:rFonts w:ascii="Times New Roman"/>
                <w:sz w:val="20"/>
              </w:rPr>
            </w:pPr>
          </w:p>
        </w:tc>
        <w:tc>
          <w:tcPr>
            <w:tcW w:w="992" w:type="dxa"/>
          </w:tcPr>
          <w:p w14:paraId="7F76F5E0" w14:textId="77777777" w:rsidR="0098695F" w:rsidRDefault="00043E1E">
            <w:pPr>
              <w:pStyle w:val="TableParagraph"/>
              <w:spacing w:before="52"/>
              <w:ind w:left="409"/>
              <w:rPr>
                <w:rFonts w:ascii="Cambria Math" w:hAnsi="Cambria Math"/>
                <w:sz w:val="20"/>
              </w:rPr>
            </w:pPr>
            <w:r>
              <w:rPr>
                <w:rFonts w:ascii="Cambria Math" w:hAnsi="Cambria Math"/>
                <w:sz w:val="20"/>
              </w:rPr>
              <w:t>◉</w:t>
            </w:r>
          </w:p>
        </w:tc>
        <w:tc>
          <w:tcPr>
            <w:tcW w:w="993" w:type="dxa"/>
          </w:tcPr>
          <w:p w14:paraId="11C38551" w14:textId="77777777" w:rsidR="0098695F" w:rsidRDefault="0098695F">
            <w:pPr>
              <w:pStyle w:val="TableParagraph"/>
              <w:rPr>
                <w:rFonts w:ascii="Times New Roman"/>
                <w:sz w:val="20"/>
              </w:rPr>
            </w:pPr>
          </w:p>
        </w:tc>
      </w:tr>
      <w:tr w:rsidR="0098695F" w14:paraId="5D5C432C" w14:textId="77777777">
        <w:trPr>
          <w:trHeight w:val="340"/>
        </w:trPr>
        <w:tc>
          <w:tcPr>
            <w:tcW w:w="6660" w:type="dxa"/>
          </w:tcPr>
          <w:p w14:paraId="2D5C702C" w14:textId="77777777" w:rsidR="0098695F" w:rsidRDefault="00043E1E">
            <w:pPr>
              <w:pStyle w:val="TableParagraph"/>
              <w:spacing w:before="48"/>
              <w:ind w:left="105"/>
              <w:rPr>
                <w:sz w:val="20"/>
              </w:rPr>
            </w:pPr>
            <w:r>
              <w:rPr>
                <w:sz w:val="20"/>
              </w:rPr>
              <w:t>Personal resilience</w:t>
            </w:r>
          </w:p>
        </w:tc>
        <w:tc>
          <w:tcPr>
            <w:tcW w:w="1027" w:type="dxa"/>
          </w:tcPr>
          <w:p w14:paraId="4E481862" w14:textId="77777777" w:rsidR="0098695F" w:rsidRDefault="0098695F">
            <w:pPr>
              <w:pStyle w:val="TableParagraph"/>
              <w:rPr>
                <w:rFonts w:ascii="Times New Roman"/>
                <w:sz w:val="20"/>
              </w:rPr>
            </w:pPr>
          </w:p>
        </w:tc>
        <w:tc>
          <w:tcPr>
            <w:tcW w:w="992" w:type="dxa"/>
          </w:tcPr>
          <w:p w14:paraId="3EDC3D9F" w14:textId="77777777" w:rsidR="0098695F" w:rsidRDefault="00043E1E">
            <w:pPr>
              <w:pStyle w:val="TableParagraph"/>
              <w:spacing w:before="53"/>
              <w:ind w:left="409"/>
              <w:rPr>
                <w:rFonts w:ascii="Cambria Math" w:hAnsi="Cambria Math"/>
                <w:sz w:val="20"/>
              </w:rPr>
            </w:pPr>
            <w:r>
              <w:rPr>
                <w:rFonts w:ascii="Cambria Math" w:hAnsi="Cambria Math"/>
                <w:sz w:val="20"/>
              </w:rPr>
              <w:t>◉</w:t>
            </w:r>
          </w:p>
        </w:tc>
        <w:tc>
          <w:tcPr>
            <w:tcW w:w="993" w:type="dxa"/>
          </w:tcPr>
          <w:p w14:paraId="2234C452" w14:textId="77777777" w:rsidR="0098695F" w:rsidRDefault="0098695F">
            <w:pPr>
              <w:pStyle w:val="TableParagraph"/>
              <w:rPr>
                <w:rFonts w:ascii="Times New Roman"/>
                <w:sz w:val="20"/>
              </w:rPr>
            </w:pPr>
          </w:p>
        </w:tc>
      </w:tr>
      <w:tr w:rsidR="0098695F" w14:paraId="5793F799" w14:textId="77777777">
        <w:trPr>
          <w:trHeight w:val="340"/>
        </w:trPr>
        <w:tc>
          <w:tcPr>
            <w:tcW w:w="6660" w:type="dxa"/>
          </w:tcPr>
          <w:p w14:paraId="3789D078" w14:textId="77777777" w:rsidR="0098695F" w:rsidRDefault="00043E1E">
            <w:pPr>
              <w:pStyle w:val="TableParagraph"/>
              <w:spacing w:before="47"/>
              <w:ind w:left="105"/>
              <w:rPr>
                <w:sz w:val="20"/>
              </w:rPr>
            </w:pPr>
            <w:r>
              <w:rPr>
                <w:sz w:val="20"/>
              </w:rPr>
              <w:t>Integrity</w:t>
            </w:r>
          </w:p>
        </w:tc>
        <w:tc>
          <w:tcPr>
            <w:tcW w:w="1027" w:type="dxa"/>
          </w:tcPr>
          <w:p w14:paraId="3D0F4B22" w14:textId="77777777" w:rsidR="0098695F" w:rsidRDefault="0098695F">
            <w:pPr>
              <w:pStyle w:val="TableParagraph"/>
              <w:rPr>
                <w:rFonts w:ascii="Times New Roman"/>
                <w:sz w:val="20"/>
              </w:rPr>
            </w:pPr>
          </w:p>
        </w:tc>
        <w:tc>
          <w:tcPr>
            <w:tcW w:w="992" w:type="dxa"/>
          </w:tcPr>
          <w:p w14:paraId="0EC23265" w14:textId="77777777" w:rsidR="0098695F" w:rsidRDefault="00043E1E">
            <w:pPr>
              <w:pStyle w:val="TableParagraph"/>
              <w:spacing w:before="52"/>
              <w:ind w:left="409"/>
              <w:rPr>
                <w:rFonts w:ascii="Cambria Math" w:hAnsi="Cambria Math"/>
                <w:sz w:val="20"/>
              </w:rPr>
            </w:pPr>
            <w:r>
              <w:rPr>
                <w:rFonts w:ascii="Cambria Math" w:hAnsi="Cambria Math"/>
                <w:sz w:val="20"/>
              </w:rPr>
              <w:t>◉</w:t>
            </w:r>
          </w:p>
        </w:tc>
        <w:tc>
          <w:tcPr>
            <w:tcW w:w="993" w:type="dxa"/>
          </w:tcPr>
          <w:p w14:paraId="4B13F467" w14:textId="77777777" w:rsidR="0098695F" w:rsidRDefault="0098695F">
            <w:pPr>
              <w:pStyle w:val="TableParagraph"/>
              <w:rPr>
                <w:rFonts w:ascii="Times New Roman"/>
                <w:sz w:val="20"/>
              </w:rPr>
            </w:pPr>
          </w:p>
        </w:tc>
      </w:tr>
    </w:tbl>
    <w:p w14:paraId="628E7CCD" w14:textId="0D6E1799" w:rsidR="0098695F" w:rsidRDefault="0098695F">
      <w:pPr>
        <w:pStyle w:val="BodyText"/>
        <w:ind w:left="0" w:firstLine="0"/>
        <w:rPr>
          <w:b/>
        </w:rPr>
      </w:pPr>
    </w:p>
    <w:p w14:paraId="538BFBAF" w14:textId="77777777" w:rsidR="00C207F8" w:rsidRDefault="00C207F8">
      <w:pPr>
        <w:pStyle w:val="BodyText"/>
        <w:ind w:left="0" w:firstLine="0"/>
        <w:rPr>
          <w:b/>
        </w:rPr>
      </w:pPr>
    </w:p>
    <w:p w14:paraId="0F56A49C" w14:textId="77777777" w:rsidR="0098695F" w:rsidRDefault="0098695F">
      <w:pPr>
        <w:pStyle w:val="BodyText"/>
        <w:spacing w:before="4"/>
        <w:ind w:left="0" w:firstLine="0"/>
        <w:rPr>
          <w:b/>
          <w:sz w:val="16"/>
        </w:rPr>
      </w:pPr>
    </w:p>
    <w:tbl>
      <w:tblPr>
        <w:tblW w:w="5000" w:type="pct"/>
        <w:tblBorders>
          <w:top w:val="single" w:sz="4" w:space="0" w:color="A19C8D"/>
          <w:left w:val="single" w:sz="4" w:space="0" w:color="A19C8D"/>
          <w:bottom w:val="single" w:sz="4" w:space="0" w:color="A19C8D"/>
          <w:right w:val="single" w:sz="4" w:space="0" w:color="A19C8D"/>
          <w:insideH w:val="single" w:sz="4" w:space="0" w:color="A19C8D"/>
          <w:insideV w:val="single" w:sz="4" w:space="0" w:color="A19C8D"/>
        </w:tblBorders>
        <w:tblCellMar>
          <w:left w:w="0" w:type="dxa"/>
          <w:right w:w="0" w:type="dxa"/>
        </w:tblCellMar>
        <w:tblLook w:val="01E0" w:firstRow="1" w:lastRow="1" w:firstColumn="1" w:lastColumn="1" w:noHBand="0" w:noVBand="0"/>
      </w:tblPr>
      <w:tblGrid>
        <w:gridCol w:w="4938"/>
        <w:gridCol w:w="1471"/>
        <w:gridCol w:w="1393"/>
        <w:gridCol w:w="1126"/>
        <w:gridCol w:w="1122"/>
      </w:tblGrid>
      <w:tr w:rsidR="00C207F8" w14:paraId="318FFFAF" w14:textId="77777777" w:rsidTr="00C207F8">
        <w:trPr>
          <w:trHeight w:val="350"/>
        </w:trPr>
        <w:tc>
          <w:tcPr>
            <w:tcW w:w="2457" w:type="pct"/>
            <w:tcBorders>
              <w:top w:val="nil"/>
              <w:left w:val="nil"/>
              <w:bottom w:val="nil"/>
              <w:right w:val="nil"/>
            </w:tcBorders>
            <w:shd w:val="clear" w:color="auto" w:fill="A19C8D"/>
          </w:tcPr>
          <w:p w14:paraId="2BF121EF" w14:textId="7EF3BF94" w:rsidR="00C207F8" w:rsidRDefault="00C207F8" w:rsidP="00965651">
            <w:pPr>
              <w:pStyle w:val="TableParagraph"/>
              <w:spacing w:before="49"/>
              <w:ind w:left="112"/>
              <w:rPr>
                <w:b/>
                <w:sz w:val="20"/>
              </w:rPr>
            </w:pPr>
            <w:r>
              <w:rPr>
                <w:b/>
                <w:color w:val="FFFFFF"/>
                <w:sz w:val="20"/>
              </w:rPr>
              <w:t>Technical Competencies – Cash Competency Framework</w:t>
            </w:r>
          </w:p>
        </w:tc>
        <w:tc>
          <w:tcPr>
            <w:tcW w:w="732" w:type="pct"/>
            <w:tcBorders>
              <w:top w:val="nil"/>
              <w:left w:val="nil"/>
              <w:bottom w:val="nil"/>
              <w:right w:val="nil"/>
            </w:tcBorders>
            <w:shd w:val="clear" w:color="auto" w:fill="A19C8D"/>
          </w:tcPr>
          <w:p w14:paraId="5CAF9EF8" w14:textId="77777777" w:rsidR="00C207F8" w:rsidRDefault="00C207F8" w:rsidP="00965651">
            <w:pPr>
              <w:pStyle w:val="TableParagraph"/>
              <w:spacing w:before="35"/>
              <w:ind w:left="316" w:right="309"/>
              <w:jc w:val="center"/>
              <w:rPr>
                <w:b/>
                <w:color w:val="FFFFFF"/>
              </w:rPr>
            </w:pPr>
            <w:r>
              <w:rPr>
                <w:b/>
                <w:color w:val="FFFFFF"/>
              </w:rPr>
              <w:t>Found.</w:t>
            </w:r>
          </w:p>
        </w:tc>
        <w:tc>
          <w:tcPr>
            <w:tcW w:w="693" w:type="pct"/>
            <w:tcBorders>
              <w:top w:val="nil"/>
              <w:left w:val="nil"/>
              <w:bottom w:val="nil"/>
              <w:right w:val="nil"/>
            </w:tcBorders>
            <w:shd w:val="clear" w:color="auto" w:fill="A19C8D"/>
          </w:tcPr>
          <w:p w14:paraId="5872856E" w14:textId="77777777" w:rsidR="00C207F8" w:rsidRDefault="00C207F8" w:rsidP="00965651">
            <w:pPr>
              <w:pStyle w:val="TableParagraph"/>
              <w:spacing w:before="35"/>
              <w:ind w:left="316" w:right="309"/>
              <w:jc w:val="center"/>
              <w:rPr>
                <w:b/>
              </w:rPr>
            </w:pPr>
            <w:r>
              <w:rPr>
                <w:b/>
                <w:color w:val="FFFFFF"/>
              </w:rPr>
              <w:t>Tier 1</w:t>
            </w:r>
          </w:p>
        </w:tc>
        <w:tc>
          <w:tcPr>
            <w:tcW w:w="560" w:type="pct"/>
            <w:tcBorders>
              <w:top w:val="nil"/>
              <w:left w:val="nil"/>
              <w:bottom w:val="nil"/>
              <w:right w:val="nil"/>
            </w:tcBorders>
            <w:shd w:val="clear" w:color="auto" w:fill="A19C8D"/>
          </w:tcPr>
          <w:p w14:paraId="3C75B809" w14:textId="77777777" w:rsidR="00C207F8" w:rsidRDefault="00C207F8" w:rsidP="00965651">
            <w:pPr>
              <w:pStyle w:val="TableParagraph"/>
              <w:spacing w:before="35"/>
              <w:ind w:left="319" w:right="309"/>
              <w:jc w:val="center"/>
              <w:rPr>
                <w:b/>
              </w:rPr>
            </w:pPr>
            <w:r>
              <w:rPr>
                <w:b/>
                <w:color w:val="FFFFFF"/>
              </w:rPr>
              <w:t>Tier 2</w:t>
            </w:r>
          </w:p>
        </w:tc>
        <w:tc>
          <w:tcPr>
            <w:tcW w:w="559" w:type="pct"/>
            <w:tcBorders>
              <w:top w:val="nil"/>
              <w:left w:val="nil"/>
              <w:bottom w:val="nil"/>
              <w:right w:val="nil"/>
            </w:tcBorders>
            <w:shd w:val="clear" w:color="auto" w:fill="A19C8D"/>
          </w:tcPr>
          <w:p w14:paraId="0B21FA67" w14:textId="77777777" w:rsidR="00C207F8" w:rsidRDefault="00C207F8" w:rsidP="00965651">
            <w:pPr>
              <w:pStyle w:val="TableParagraph"/>
              <w:spacing w:before="35"/>
              <w:ind w:left="338"/>
              <w:rPr>
                <w:b/>
              </w:rPr>
            </w:pPr>
            <w:r>
              <w:rPr>
                <w:b/>
                <w:color w:val="FFFFFF"/>
              </w:rPr>
              <w:t>Tier 3</w:t>
            </w:r>
          </w:p>
        </w:tc>
      </w:tr>
      <w:tr w:rsidR="00C207F8" w14:paraId="6FCD690D" w14:textId="77777777" w:rsidTr="00C207F8">
        <w:trPr>
          <w:trHeight w:val="340"/>
        </w:trPr>
        <w:tc>
          <w:tcPr>
            <w:tcW w:w="2457" w:type="pct"/>
            <w:tcBorders>
              <w:top w:val="nil"/>
            </w:tcBorders>
          </w:tcPr>
          <w:p w14:paraId="7C50B43D" w14:textId="77777777" w:rsidR="00C207F8" w:rsidRDefault="00C207F8" w:rsidP="00965651">
            <w:pPr>
              <w:pStyle w:val="TableParagraph"/>
              <w:spacing w:before="1"/>
              <w:ind w:left="107"/>
              <w:rPr>
                <w:sz w:val="20"/>
              </w:rPr>
            </w:pPr>
            <w:r>
              <w:rPr>
                <w:sz w:val="20"/>
              </w:rPr>
              <w:t xml:space="preserve">Assessment and Analysis: </w:t>
            </w:r>
            <w:r w:rsidRPr="00A24424">
              <w:rPr>
                <w:sz w:val="20"/>
              </w:rPr>
              <w:t xml:space="preserve">Conduct CVA specific assessment and analysis in a timely manner, across phases, contexts, and sectors; informing the selection of the appropriate modality and mechanism in the design, implementation, </w:t>
            </w:r>
            <w:proofErr w:type="gramStart"/>
            <w:r w:rsidRPr="00A24424">
              <w:rPr>
                <w:sz w:val="20"/>
              </w:rPr>
              <w:t>monitoring</w:t>
            </w:r>
            <w:proofErr w:type="gramEnd"/>
            <w:r w:rsidRPr="00A24424">
              <w:rPr>
                <w:sz w:val="20"/>
              </w:rPr>
              <w:t xml:space="preserve"> and close out/transition of response/ program</w:t>
            </w:r>
          </w:p>
        </w:tc>
        <w:tc>
          <w:tcPr>
            <w:tcW w:w="732" w:type="pct"/>
            <w:tcBorders>
              <w:top w:val="nil"/>
            </w:tcBorders>
          </w:tcPr>
          <w:p w14:paraId="3F1F75EE" w14:textId="77777777" w:rsidR="00C207F8" w:rsidRDefault="00C207F8" w:rsidP="00965651">
            <w:pPr>
              <w:pStyle w:val="TableParagraph"/>
              <w:spacing w:before="49"/>
              <w:ind w:left="6"/>
              <w:jc w:val="center"/>
              <w:rPr>
                <w:rFonts w:ascii="Wingdings" w:hAnsi="Wingdings"/>
              </w:rPr>
            </w:pPr>
          </w:p>
        </w:tc>
        <w:tc>
          <w:tcPr>
            <w:tcW w:w="693" w:type="pct"/>
            <w:tcBorders>
              <w:top w:val="nil"/>
            </w:tcBorders>
          </w:tcPr>
          <w:p w14:paraId="34FC0959" w14:textId="77777777" w:rsidR="00C207F8" w:rsidRDefault="00C207F8" w:rsidP="00965651">
            <w:pPr>
              <w:pStyle w:val="TableParagraph"/>
              <w:spacing w:before="49"/>
              <w:ind w:left="6"/>
              <w:jc w:val="center"/>
              <w:rPr>
                <w:rFonts w:ascii="Wingdings" w:hAnsi="Wingdings"/>
              </w:rPr>
            </w:pPr>
            <w:r>
              <w:rPr>
                <w:rFonts w:ascii="Wingdings" w:hAnsi="Wingdings"/>
              </w:rPr>
              <w:t></w:t>
            </w:r>
          </w:p>
        </w:tc>
        <w:tc>
          <w:tcPr>
            <w:tcW w:w="560" w:type="pct"/>
            <w:tcBorders>
              <w:top w:val="nil"/>
            </w:tcBorders>
          </w:tcPr>
          <w:p w14:paraId="43FF65A9" w14:textId="77777777" w:rsidR="00C207F8" w:rsidRDefault="00C207F8" w:rsidP="00965651">
            <w:pPr>
              <w:pStyle w:val="TableParagraph"/>
              <w:rPr>
                <w:rFonts w:ascii="Times New Roman"/>
                <w:sz w:val="18"/>
              </w:rPr>
            </w:pPr>
          </w:p>
        </w:tc>
        <w:tc>
          <w:tcPr>
            <w:tcW w:w="559" w:type="pct"/>
            <w:tcBorders>
              <w:top w:val="nil"/>
            </w:tcBorders>
          </w:tcPr>
          <w:p w14:paraId="37EBE56D" w14:textId="77777777" w:rsidR="00C207F8" w:rsidRDefault="00C207F8" w:rsidP="00965651">
            <w:pPr>
              <w:pStyle w:val="TableParagraph"/>
              <w:rPr>
                <w:rFonts w:ascii="Times New Roman"/>
                <w:sz w:val="18"/>
              </w:rPr>
            </w:pPr>
          </w:p>
        </w:tc>
      </w:tr>
      <w:tr w:rsidR="00C207F8" w14:paraId="205F9C51" w14:textId="77777777" w:rsidTr="00C207F8">
        <w:trPr>
          <w:trHeight w:val="340"/>
        </w:trPr>
        <w:tc>
          <w:tcPr>
            <w:tcW w:w="2457" w:type="pct"/>
          </w:tcPr>
          <w:p w14:paraId="36440B7D" w14:textId="77777777" w:rsidR="00C207F8" w:rsidRDefault="00C207F8" w:rsidP="00965651">
            <w:pPr>
              <w:pStyle w:val="TableParagraph"/>
              <w:spacing w:before="1"/>
              <w:ind w:left="107"/>
              <w:rPr>
                <w:sz w:val="20"/>
              </w:rPr>
            </w:pPr>
            <w:r>
              <w:rPr>
                <w:sz w:val="20"/>
              </w:rPr>
              <w:t xml:space="preserve">Program, Plan and Delivery Design: </w:t>
            </w:r>
            <w:r w:rsidRPr="00D435E8">
              <w:rPr>
                <w:sz w:val="20"/>
              </w:rPr>
              <w:t>Design, integrate and implement CVA interventions appropriately in response/programs across contexts, phases, and sectors to meet varying needs of recipients and communities.</w:t>
            </w:r>
          </w:p>
        </w:tc>
        <w:tc>
          <w:tcPr>
            <w:tcW w:w="732" w:type="pct"/>
          </w:tcPr>
          <w:p w14:paraId="6B79864F" w14:textId="77777777" w:rsidR="00C207F8" w:rsidRDefault="00C207F8" w:rsidP="00965651">
            <w:pPr>
              <w:pStyle w:val="TableParagraph"/>
              <w:spacing w:before="49"/>
              <w:ind w:left="6"/>
              <w:jc w:val="center"/>
              <w:rPr>
                <w:rFonts w:ascii="Wingdings" w:hAnsi="Wingdings"/>
              </w:rPr>
            </w:pPr>
          </w:p>
        </w:tc>
        <w:tc>
          <w:tcPr>
            <w:tcW w:w="693" w:type="pct"/>
          </w:tcPr>
          <w:p w14:paraId="302284FA" w14:textId="77777777" w:rsidR="00C207F8" w:rsidRDefault="00C207F8" w:rsidP="00965651">
            <w:pPr>
              <w:pStyle w:val="TableParagraph"/>
              <w:spacing w:before="49"/>
              <w:ind w:left="6"/>
              <w:jc w:val="center"/>
              <w:rPr>
                <w:rFonts w:ascii="Wingdings" w:hAnsi="Wingdings"/>
              </w:rPr>
            </w:pPr>
            <w:r>
              <w:rPr>
                <w:rFonts w:ascii="Wingdings" w:hAnsi="Wingdings"/>
              </w:rPr>
              <w:t></w:t>
            </w:r>
          </w:p>
        </w:tc>
        <w:tc>
          <w:tcPr>
            <w:tcW w:w="560" w:type="pct"/>
          </w:tcPr>
          <w:p w14:paraId="37544376" w14:textId="77777777" w:rsidR="00C207F8" w:rsidRDefault="00C207F8" w:rsidP="00965651">
            <w:pPr>
              <w:pStyle w:val="TableParagraph"/>
              <w:rPr>
                <w:rFonts w:ascii="Times New Roman"/>
                <w:sz w:val="18"/>
              </w:rPr>
            </w:pPr>
          </w:p>
        </w:tc>
        <w:tc>
          <w:tcPr>
            <w:tcW w:w="559" w:type="pct"/>
          </w:tcPr>
          <w:p w14:paraId="36ACDB23" w14:textId="77777777" w:rsidR="00C207F8" w:rsidRDefault="00C207F8" w:rsidP="00965651">
            <w:pPr>
              <w:pStyle w:val="TableParagraph"/>
              <w:rPr>
                <w:rFonts w:ascii="Times New Roman"/>
                <w:sz w:val="18"/>
              </w:rPr>
            </w:pPr>
          </w:p>
        </w:tc>
      </w:tr>
      <w:tr w:rsidR="00C207F8" w14:paraId="104E6B98" w14:textId="77777777" w:rsidTr="00C207F8">
        <w:trPr>
          <w:trHeight w:val="976"/>
        </w:trPr>
        <w:tc>
          <w:tcPr>
            <w:tcW w:w="2457" w:type="pct"/>
          </w:tcPr>
          <w:p w14:paraId="0EFC97A9" w14:textId="77777777" w:rsidR="00C207F8" w:rsidRDefault="00C207F8" w:rsidP="00965651">
            <w:pPr>
              <w:pStyle w:val="TableParagraph"/>
              <w:spacing w:before="1"/>
              <w:ind w:left="107"/>
              <w:rPr>
                <w:sz w:val="20"/>
              </w:rPr>
            </w:pPr>
            <w:r>
              <w:rPr>
                <w:sz w:val="20"/>
              </w:rPr>
              <w:t xml:space="preserve">Implementation: </w:t>
            </w:r>
            <w:r w:rsidRPr="00D435E8">
              <w:rPr>
                <w:sz w:val="20"/>
              </w:rPr>
              <w:t>Use CVA specific guidance, tools, related procedures (procurement, finance, other) and resources to undertake assessment, analysis, CVA programme design, CVA implementation, monitoring, reconciliation, close-out/transition and learning for an effective CVA intervention (or “response/ program”</w:t>
            </w:r>
          </w:p>
        </w:tc>
        <w:tc>
          <w:tcPr>
            <w:tcW w:w="732" w:type="pct"/>
          </w:tcPr>
          <w:p w14:paraId="0B52E5C5" w14:textId="77777777" w:rsidR="00C207F8" w:rsidRDefault="00C207F8" w:rsidP="00965651">
            <w:pPr>
              <w:pStyle w:val="TableParagraph"/>
              <w:rPr>
                <w:rFonts w:ascii="Times New Roman"/>
                <w:sz w:val="18"/>
              </w:rPr>
            </w:pPr>
          </w:p>
        </w:tc>
        <w:tc>
          <w:tcPr>
            <w:tcW w:w="693" w:type="pct"/>
          </w:tcPr>
          <w:p w14:paraId="14F81B52" w14:textId="77777777" w:rsidR="006875DB" w:rsidRDefault="006875DB" w:rsidP="006875DB">
            <w:pPr>
              <w:pStyle w:val="TableParagraph"/>
              <w:spacing w:before="12"/>
              <w:jc w:val="center"/>
              <w:rPr>
                <w:b/>
                <w:sz w:val="29"/>
              </w:rPr>
            </w:pPr>
            <w:r>
              <w:rPr>
                <w:rFonts w:ascii="Wingdings" w:hAnsi="Wingdings"/>
              </w:rPr>
              <w:t></w:t>
            </w:r>
          </w:p>
          <w:p w14:paraId="064572F6" w14:textId="77777777" w:rsidR="00C207F8" w:rsidRDefault="00C207F8" w:rsidP="00965651">
            <w:pPr>
              <w:pStyle w:val="TableParagraph"/>
              <w:rPr>
                <w:rFonts w:ascii="Times New Roman"/>
                <w:sz w:val="18"/>
              </w:rPr>
            </w:pPr>
          </w:p>
        </w:tc>
        <w:tc>
          <w:tcPr>
            <w:tcW w:w="560" w:type="pct"/>
          </w:tcPr>
          <w:p w14:paraId="198F2781" w14:textId="77777777" w:rsidR="00C207F8" w:rsidRDefault="00C207F8" w:rsidP="006875DB">
            <w:pPr>
              <w:pStyle w:val="TableParagraph"/>
              <w:spacing w:before="12"/>
              <w:jc w:val="center"/>
              <w:rPr>
                <w:rFonts w:ascii="Wingdings" w:hAnsi="Wingdings"/>
              </w:rPr>
            </w:pPr>
          </w:p>
        </w:tc>
        <w:tc>
          <w:tcPr>
            <w:tcW w:w="559" w:type="pct"/>
          </w:tcPr>
          <w:p w14:paraId="23EB2DF2" w14:textId="77777777" w:rsidR="00C207F8" w:rsidRDefault="00C207F8" w:rsidP="00965651">
            <w:pPr>
              <w:pStyle w:val="TableParagraph"/>
              <w:rPr>
                <w:rFonts w:ascii="Times New Roman"/>
                <w:sz w:val="18"/>
              </w:rPr>
            </w:pPr>
          </w:p>
        </w:tc>
      </w:tr>
      <w:tr w:rsidR="00C207F8" w14:paraId="5F3059E5" w14:textId="77777777" w:rsidTr="00C207F8">
        <w:trPr>
          <w:trHeight w:val="337"/>
        </w:trPr>
        <w:tc>
          <w:tcPr>
            <w:tcW w:w="2457" w:type="pct"/>
          </w:tcPr>
          <w:p w14:paraId="2B824F0E" w14:textId="77777777" w:rsidR="00C207F8" w:rsidRDefault="00C207F8" w:rsidP="00965651">
            <w:pPr>
              <w:pStyle w:val="TableParagraph"/>
              <w:spacing w:before="1"/>
              <w:ind w:left="107"/>
              <w:rPr>
                <w:sz w:val="20"/>
              </w:rPr>
            </w:pPr>
            <w:r>
              <w:rPr>
                <w:sz w:val="20"/>
              </w:rPr>
              <w:t xml:space="preserve">Monitoring, Accountability and Learning: </w:t>
            </w:r>
            <w:r w:rsidRPr="00D435E8">
              <w:rPr>
                <w:sz w:val="20"/>
              </w:rPr>
              <w:t>Ensuring accountability (or Ensuring programme quality) and documenting learning (or best practices) for dissemination and future use.</w:t>
            </w:r>
          </w:p>
        </w:tc>
        <w:tc>
          <w:tcPr>
            <w:tcW w:w="732" w:type="pct"/>
          </w:tcPr>
          <w:p w14:paraId="411FA5B3" w14:textId="77777777" w:rsidR="00C207F8" w:rsidRDefault="00C207F8" w:rsidP="00965651">
            <w:pPr>
              <w:pStyle w:val="TableParagraph"/>
              <w:spacing w:before="46"/>
              <w:ind w:left="6"/>
              <w:jc w:val="center"/>
              <w:rPr>
                <w:rFonts w:ascii="Wingdings" w:hAnsi="Wingdings"/>
              </w:rPr>
            </w:pPr>
          </w:p>
        </w:tc>
        <w:tc>
          <w:tcPr>
            <w:tcW w:w="693" w:type="pct"/>
          </w:tcPr>
          <w:p w14:paraId="7624A728" w14:textId="77777777" w:rsidR="00C207F8" w:rsidRDefault="00C207F8" w:rsidP="00965651">
            <w:pPr>
              <w:pStyle w:val="TableParagraph"/>
              <w:spacing w:before="46"/>
              <w:ind w:left="6"/>
              <w:jc w:val="center"/>
              <w:rPr>
                <w:rFonts w:ascii="Wingdings" w:hAnsi="Wingdings"/>
              </w:rPr>
            </w:pPr>
            <w:r>
              <w:rPr>
                <w:rFonts w:ascii="Wingdings" w:hAnsi="Wingdings"/>
              </w:rPr>
              <w:t></w:t>
            </w:r>
          </w:p>
        </w:tc>
        <w:tc>
          <w:tcPr>
            <w:tcW w:w="560" w:type="pct"/>
          </w:tcPr>
          <w:p w14:paraId="772D8F48" w14:textId="77777777" w:rsidR="00C207F8" w:rsidRDefault="00C207F8" w:rsidP="00965651">
            <w:pPr>
              <w:pStyle w:val="TableParagraph"/>
              <w:rPr>
                <w:rFonts w:ascii="Times New Roman"/>
                <w:sz w:val="18"/>
              </w:rPr>
            </w:pPr>
          </w:p>
        </w:tc>
        <w:tc>
          <w:tcPr>
            <w:tcW w:w="559" w:type="pct"/>
          </w:tcPr>
          <w:p w14:paraId="29DEB0C6" w14:textId="77777777" w:rsidR="00C207F8" w:rsidRDefault="00C207F8" w:rsidP="00965651">
            <w:pPr>
              <w:pStyle w:val="TableParagraph"/>
              <w:rPr>
                <w:rFonts w:ascii="Times New Roman"/>
                <w:sz w:val="18"/>
              </w:rPr>
            </w:pPr>
          </w:p>
        </w:tc>
      </w:tr>
      <w:tr w:rsidR="00C207F8" w14:paraId="28705F07" w14:textId="77777777" w:rsidTr="00C207F8">
        <w:trPr>
          <w:trHeight w:val="486"/>
        </w:trPr>
        <w:tc>
          <w:tcPr>
            <w:tcW w:w="2457" w:type="pct"/>
          </w:tcPr>
          <w:p w14:paraId="5CF58859" w14:textId="77777777" w:rsidR="00C207F8" w:rsidRDefault="00C207F8" w:rsidP="00965651">
            <w:pPr>
              <w:pStyle w:val="TableParagraph"/>
              <w:spacing w:before="1"/>
              <w:ind w:left="107"/>
              <w:rPr>
                <w:sz w:val="20"/>
              </w:rPr>
            </w:pPr>
            <w:r w:rsidRPr="00D435E8">
              <w:rPr>
                <w:sz w:val="20"/>
              </w:rPr>
              <w:t>Partnerships and Coordination: Collaborate and build partnerships with key CVA stakeholders including RCRC Movement actors, national actors, government, the private sector, external humanitarian actors, coordination structures and working groups</w:t>
            </w:r>
            <w:r>
              <w:rPr>
                <w:sz w:val="20"/>
              </w:rPr>
              <w:t>.</w:t>
            </w:r>
          </w:p>
        </w:tc>
        <w:tc>
          <w:tcPr>
            <w:tcW w:w="732" w:type="pct"/>
          </w:tcPr>
          <w:p w14:paraId="527C9639" w14:textId="77777777" w:rsidR="00C207F8" w:rsidRDefault="00C207F8" w:rsidP="00965651">
            <w:pPr>
              <w:pStyle w:val="TableParagraph"/>
              <w:spacing w:before="121"/>
              <w:ind w:left="6"/>
              <w:jc w:val="center"/>
              <w:rPr>
                <w:rFonts w:ascii="Wingdings" w:hAnsi="Wingdings"/>
              </w:rPr>
            </w:pPr>
          </w:p>
        </w:tc>
        <w:tc>
          <w:tcPr>
            <w:tcW w:w="693" w:type="pct"/>
          </w:tcPr>
          <w:p w14:paraId="109BE506" w14:textId="77777777" w:rsidR="00C207F8" w:rsidRDefault="00C207F8" w:rsidP="00965651">
            <w:pPr>
              <w:pStyle w:val="TableParagraph"/>
              <w:spacing w:before="121"/>
              <w:ind w:left="6"/>
              <w:jc w:val="center"/>
              <w:rPr>
                <w:rFonts w:ascii="Wingdings" w:hAnsi="Wingdings"/>
              </w:rPr>
            </w:pPr>
            <w:r>
              <w:rPr>
                <w:rFonts w:ascii="Wingdings" w:hAnsi="Wingdings"/>
              </w:rPr>
              <w:t></w:t>
            </w:r>
          </w:p>
        </w:tc>
        <w:tc>
          <w:tcPr>
            <w:tcW w:w="560" w:type="pct"/>
          </w:tcPr>
          <w:p w14:paraId="47ADC243" w14:textId="77777777" w:rsidR="00C207F8" w:rsidRDefault="00C207F8" w:rsidP="00965651">
            <w:pPr>
              <w:pStyle w:val="TableParagraph"/>
              <w:rPr>
                <w:rFonts w:ascii="Times New Roman"/>
                <w:sz w:val="18"/>
              </w:rPr>
            </w:pPr>
          </w:p>
        </w:tc>
        <w:tc>
          <w:tcPr>
            <w:tcW w:w="559" w:type="pct"/>
          </w:tcPr>
          <w:p w14:paraId="70026F2F" w14:textId="77777777" w:rsidR="00C207F8" w:rsidRDefault="00C207F8" w:rsidP="00965651">
            <w:pPr>
              <w:pStyle w:val="TableParagraph"/>
              <w:rPr>
                <w:rFonts w:ascii="Times New Roman"/>
                <w:sz w:val="18"/>
              </w:rPr>
            </w:pPr>
          </w:p>
        </w:tc>
      </w:tr>
    </w:tbl>
    <w:p w14:paraId="16DB8B87" w14:textId="3704173A" w:rsidR="00F66AD8" w:rsidRDefault="00F66AD8"/>
    <w:p w14:paraId="3F746163" w14:textId="77777777" w:rsidR="00C207F8" w:rsidRDefault="00C207F8" w:rsidP="00C207F8">
      <w:pPr>
        <w:pStyle w:val="BodyText"/>
        <w:ind w:left="0" w:firstLine="0"/>
        <w:rPr>
          <w:b/>
        </w:rPr>
      </w:pPr>
    </w:p>
    <w:p w14:paraId="6EC8E708" w14:textId="77777777" w:rsidR="00C207F8" w:rsidRDefault="00C207F8" w:rsidP="00C207F8">
      <w:pPr>
        <w:pStyle w:val="BodyText"/>
        <w:spacing w:before="9"/>
        <w:ind w:left="0" w:firstLine="0"/>
        <w:rPr>
          <w:b/>
          <w:sz w:val="26"/>
        </w:rPr>
      </w:pPr>
    </w:p>
    <w:tbl>
      <w:tblPr>
        <w:tblW w:w="0" w:type="auto"/>
        <w:tblInd w:w="272" w:type="dxa"/>
        <w:tblBorders>
          <w:top w:val="single" w:sz="4" w:space="0" w:color="A19C8D"/>
          <w:left w:val="single" w:sz="4" w:space="0" w:color="A19C8D"/>
          <w:bottom w:val="single" w:sz="4" w:space="0" w:color="A19C8D"/>
          <w:right w:val="single" w:sz="4" w:space="0" w:color="A19C8D"/>
          <w:insideH w:val="single" w:sz="4" w:space="0" w:color="A19C8D"/>
          <w:insideV w:val="single" w:sz="4" w:space="0" w:color="A19C8D"/>
        </w:tblBorders>
        <w:tblLayout w:type="fixed"/>
        <w:tblCellMar>
          <w:left w:w="0" w:type="dxa"/>
          <w:right w:w="0" w:type="dxa"/>
        </w:tblCellMar>
        <w:tblLook w:val="01E0" w:firstRow="1" w:lastRow="1" w:firstColumn="1" w:lastColumn="1" w:noHBand="0" w:noVBand="0"/>
      </w:tblPr>
      <w:tblGrid>
        <w:gridCol w:w="7260"/>
        <w:gridCol w:w="1276"/>
        <w:gridCol w:w="1134"/>
      </w:tblGrid>
      <w:tr w:rsidR="00C207F8" w14:paraId="2A4A275B" w14:textId="77777777" w:rsidTr="00965651">
        <w:trPr>
          <w:trHeight w:val="490"/>
        </w:trPr>
        <w:tc>
          <w:tcPr>
            <w:tcW w:w="7260" w:type="dxa"/>
            <w:tcBorders>
              <w:top w:val="nil"/>
              <w:left w:val="nil"/>
              <w:bottom w:val="nil"/>
              <w:right w:val="nil"/>
            </w:tcBorders>
            <w:shd w:val="clear" w:color="auto" w:fill="A19C8D"/>
          </w:tcPr>
          <w:p w14:paraId="2C541678" w14:textId="77777777" w:rsidR="00C207F8" w:rsidRDefault="00C207F8" w:rsidP="00965651">
            <w:pPr>
              <w:pStyle w:val="TableParagraph"/>
              <w:ind w:left="110"/>
              <w:rPr>
                <w:b/>
                <w:sz w:val="20"/>
              </w:rPr>
            </w:pPr>
            <w:r>
              <w:rPr>
                <w:b/>
                <w:sz w:val="20"/>
              </w:rPr>
              <w:t>Languages</w:t>
            </w:r>
          </w:p>
        </w:tc>
        <w:tc>
          <w:tcPr>
            <w:tcW w:w="1276" w:type="dxa"/>
            <w:tcBorders>
              <w:top w:val="nil"/>
              <w:left w:val="nil"/>
              <w:bottom w:val="nil"/>
              <w:right w:val="nil"/>
            </w:tcBorders>
            <w:shd w:val="clear" w:color="auto" w:fill="A19C8D"/>
          </w:tcPr>
          <w:p w14:paraId="30EEB71C" w14:textId="77777777" w:rsidR="00C207F8" w:rsidRDefault="00C207F8" w:rsidP="00965651">
            <w:pPr>
              <w:pStyle w:val="TableParagraph"/>
              <w:ind w:left="241" w:right="237"/>
              <w:jc w:val="center"/>
              <w:rPr>
                <w:b/>
                <w:sz w:val="20"/>
              </w:rPr>
            </w:pPr>
            <w:r>
              <w:rPr>
                <w:b/>
                <w:sz w:val="20"/>
              </w:rPr>
              <w:t>Required</w:t>
            </w:r>
          </w:p>
        </w:tc>
        <w:tc>
          <w:tcPr>
            <w:tcW w:w="1134" w:type="dxa"/>
            <w:tcBorders>
              <w:top w:val="nil"/>
              <w:left w:val="nil"/>
              <w:bottom w:val="nil"/>
              <w:right w:val="nil"/>
            </w:tcBorders>
            <w:shd w:val="clear" w:color="auto" w:fill="A19C8D"/>
          </w:tcPr>
          <w:p w14:paraId="50F38BE1" w14:textId="77777777" w:rsidR="00C207F8" w:rsidRDefault="00C207F8" w:rsidP="00965651">
            <w:pPr>
              <w:pStyle w:val="TableParagraph"/>
              <w:ind w:left="153" w:right="147"/>
              <w:jc w:val="center"/>
              <w:rPr>
                <w:b/>
                <w:sz w:val="20"/>
              </w:rPr>
            </w:pPr>
            <w:r>
              <w:rPr>
                <w:b/>
                <w:sz w:val="20"/>
              </w:rPr>
              <w:t>Preferred</w:t>
            </w:r>
          </w:p>
        </w:tc>
      </w:tr>
      <w:tr w:rsidR="00C207F8" w14:paraId="0EFA03A6" w14:textId="77777777" w:rsidTr="00965651">
        <w:trPr>
          <w:trHeight w:val="339"/>
        </w:trPr>
        <w:tc>
          <w:tcPr>
            <w:tcW w:w="7260" w:type="dxa"/>
            <w:tcBorders>
              <w:top w:val="nil"/>
            </w:tcBorders>
          </w:tcPr>
          <w:p w14:paraId="79D4A81F" w14:textId="77777777" w:rsidR="00C207F8" w:rsidRDefault="00C207F8" w:rsidP="00965651">
            <w:pPr>
              <w:pStyle w:val="TableParagraph"/>
              <w:spacing w:before="29"/>
              <w:ind w:left="105"/>
              <w:rPr>
                <w:sz w:val="20"/>
              </w:rPr>
            </w:pPr>
            <w:r>
              <w:rPr>
                <w:sz w:val="20"/>
              </w:rPr>
              <w:t>Fluently spoken and written English</w:t>
            </w:r>
          </w:p>
        </w:tc>
        <w:tc>
          <w:tcPr>
            <w:tcW w:w="1276" w:type="dxa"/>
            <w:tcBorders>
              <w:top w:val="nil"/>
            </w:tcBorders>
          </w:tcPr>
          <w:p w14:paraId="6E4293D6" w14:textId="77777777" w:rsidR="00C207F8" w:rsidRDefault="00C207F8" w:rsidP="00965651">
            <w:pPr>
              <w:pStyle w:val="TableParagraph"/>
              <w:spacing w:before="21"/>
              <w:ind w:left="4"/>
              <w:jc w:val="center"/>
              <w:rPr>
                <w:rFonts w:ascii="Cambria Math" w:hAnsi="Cambria Math"/>
              </w:rPr>
            </w:pPr>
            <w:r>
              <w:rPr>
                <w:rFonts w:ascii="Cambria Math" w:hAnsi="Cambria Math"/>
                <w:w w:val="99"/>
              </w:rPr>
              <w:t>◉</w:t>
            </w:r>
          </w:p>
        </w:tc>
        <w:tc>
          <w:tcPr>
            <w:tcW w:w="1134" w:type="dxa"/>
            <w:tcBorders>
              <w:top w:val="nil"/>
            </w:tcBorders>
          </w:tcPr>
          <w:p w14:paraId="0B2E6C36" w14:textId="77777777" w:rsidR="00C207F8" w:rsidRDefault="00C207F8" w:rsidP="00965651">
            <w:pPr>
              <w:pStyle w:val="TableParagraph"/>
              <w:rPr>
                <w:rFonts w:ascii="Times New Roman"/>
                <w:sz w:val="20"/>
              </w:rPr>
            </w:pPr>
          </w:p>
        </w:tc>
      </w:tr>
      <w:tr w:rsidR="00C207F8" w14:paraId="71680E51" w14:textId="77777777" w:rsidTr="00965651">
        <w:trPr>
          <w:trHeight w:val="340"/>
        </w:trPr>
        <w:tc>
          <w:tcPr>
            <w:tcW w:w="7260" w:type="dxa"/>
          </w:tcPr>
          <w:p w14:paraId="286ABB57" w14:textId="77777777" w:rsidR="00C207F8" w:rsidRDefault="00C207F8" w:rsidP="00965651">
            <w:pPr>
              <w:pStyle w:val="TableParagraph"/>
              <w:spacing w:before="29"/>
              <w:ind w:left="105"/>
              <w:rPr>
                <w:sz w:val="20"/>
              </w:rPr>
            </w:pPr>
            <w:r>
              <w:rPr>
                <w:sz w:val="20"/>
              </w:rPr>
              <w:t>Good command of another IFRC official language (French, Spanish or Arabic)</w:t>
            </w:r>
          </w:p>
        </w:tc>
        <w:tc>
          <w:tcPr>
            <w:tcW w:w="1276" w:type="dxa"/>
          </w:tcPr>
          <w:p w14:paraId="21A1CFC0" w14:textId="77777777" w:rsidR="00C207F8" w:rsidRDefault="00C207F8" w:rsidP="00965651">
            <w:pPr>
              <w:pStyle w:val="TableParagraph"/>
              <w:rPr>
                <w:rFonts w:ascii="Times New Roman"/>
                <w:sz w:val="20"/>
              </w:rPr>
            </w:pPr>
          </w:p>
        </w:tc>
        <w:tc>
          <w:tcPr>
            <w:tcW w:w="1134" w:type="dxa"/>
          </w:tcPr>
          <w:p w14:paraId="57ABB5BE" w14:textId="77777777" w:rsidR="00C207F8" w:rsidRDefault="00C207F8" w:rsidP="00965651">
            <w:pPr>
              <w:pStyle w:val="TableParagraph"/>
              <w:spacing w:before="22"/>
              <w:ind w:left="6"/>
              <w:jc w:val="center"/>
              <w:rPr>
                <w:rFonts w:ascii="Cambria Math" w:hAnsi="Cambria Math"/>
              </w:rPr>
            </w:pPr>
            <w:r>
              <w:rPr>
                <w:rFonts w:ascii="Cambria Math" w:hAnsi="Cambria Math"/>
                <w:w w:val="99"/>
              </w:rPr>
              <w:t>◉</w:t>
            </w:r>
          </w:p>
        </w:tc>
      </w:tr>
      <w:tr w:rsidR="00C207F8" w14:paraId="4DEC2FF8" w14:textId="77777777" w:rsidTr="00965651">
        <w:trPr>
          <w:trHeight w:val="340"/>
        </w:trPr>
        <w:tc>
          <w:tcPr>
            <w:tcW w:w="7260" w:type="dxa"/>
          </w:tcPr>
          <w:p w14:paraId="3FFA2087" w14:textId="77777777" w:rsidR="00C207F8" w:rsidRDefault="00C207F8" w:rsidP="00965651">
            <w:pPr>
              <w:pStyle w:val="TableParagraph"/>
              <w:spacing w:before="29"/>
              <w:ind w:left="105"/>
              <w:rPr>
                <w:sz w:val="20"/>
              </w:rPr>
            </w:pPr>
            <w:r>
              <w:rPr>
                <w:sz w:val="20"/>
              </w:rPr>
              <w:t>Other languages: dependent on operational context</w:t>
            </w:r>
          </w:p>
        </w:tc>
        <w:tc>
          <w:tcPr>
            <w:tcW w:w="1276" w:type="dxa"/>
          </w:tcPr>
          <w:p w14:paraId="79BEB27B" w14:textId="77777777" w:rsidR="00C207F8" w:rsidRDefault="00C207F8" w:rsidP="00965651">
            <w:pPr>
              <w:pStyle w:val="TableParagraph"/>
              <w:rPr>
                <w:rFonts w:ascii="Times New Roman"/>
                <w:sz w:val="20"/>
              </w:rPr>
            </w:pPr>
          </w:p>
        </w:tc>
        <w:tc>
          <w:tcPr>
            <w:tcW w:w="1134" w:type="dxa"/>
          </w:tcPr>
          <w:p w14:paraId="23D217EA" w14:textId="77777777" w:rsidR="00C207F8" w:rsidRDefault="00C207F8" w:rsidP="00965651">
            <w:pPr>
              <w:pStyle w:val="TableParagraph"/>
              <w:spacing w:before="21"/>
              <w:ind w:left="6"/>
              <w:jc w:val="center"/>
              <w:rPr>
                <w:rFonts w:ascii="Cambria Math" w:hAnsi="Cambria Math"/>
              </w:rPr>
            </w:pPr>
            <w:r>
              <w:rPr>
                <w:rFonts w:ascii="Cambria Math" w:hAnsi="Cambria Math"/>
                <w:w w:val="99"/>
              </w:rPr>
              <w:t>◉</w:t>
            </w:r>
          </w:p>
        </w:tc>
      </w:tr>
    </w:tbl>
    <w:p w14:paraId="78F90D44" w14:textId="77777777" w:rsidR="00C207F8" w:rsidRDefault="00C207F8" w:rsidP="00C207F8"/>
    <w:p w14:paraId="3966ABFB" w14:textId="77777777" w:rsidR="00C207F8" w:rsidRDefault="00C207F8"/>
    <w:sectPr w:rsidR="00C207F8">
      <w:pgSz w:w="11910" w:h="16840"/>
      <w:pgMar w:top="1420" w:right="680" w:bottom="1120" w:left="1180" w:header="0" w:footer="9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5A29C" w14:textId="77777777" w:rsidR="007B3480" w:rsidRDefault="007B3480">
      <w:r>
        <w:separator/>
      </w:r>
    </w:p>
  </w:endnote>
  <w:endnote w:type="continuationSeparator" w:id="0">
    <w:p w14:paraId="44D16673" w14:textId="77777777" w:rsidR="007B3480" w:rsidRDefault="007B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73FB6" w14:textId="77777777" w:rsidR="0098695F" w:rsidRDefault="004F1518">
    <w:pPr>
      <w:pStyle w:val="BodyText"/>
      <w:spacing w:line="14" w:lineRule="auto"/>
      <w:ind w:left="0" w:firstLine="0"/>
      <w:rPr>
        <w:sz w:val="14"/>
      </w:rPr>
    </w:pPr>
    <w:r>
      <w:pict w14:anchorId="68C0CBF1">
        <v:shapetype id="_x0000_t202" coordsize="21600,21600" o:spt="202" path="m,l,21600r21600,l21600,xe">
          <v:stroke joinstyle="miter"/>
          <v:path gradientshapeok="t" o:connecttype="rect"/>
        </v:shapetype>
        <v:shape id="_x0000_s2049" type="#_x0000_t202" style="position:absolute;margin-left:70.9pt;margin-top:780.3pt;width:218pt;height:13pt;z-index:-251658752;mso-position-horizontal-relative:page;mso-position-vertical-relative:page" filled="f" stroked="f">
          <v:textbox inset="0,0,0,0">
            <w:txbxContent>
              <w:p w14:paraId="400BCB51" w14:textId="77777777" w:rsidR="0098695F" w:rsidRDefault="00043E1E">
                <w:pPr>
                  <w:spacing w:line="244" w:lineRule="exact"/>
                  <w:ind w:left="20"/>
                </w:pPr>
                <w:r>
                  <w:t>CVA Surge Office Role Profile – 05/03/2020 v</w:t>
                </w:r>
                <w:r>
                  <w:fldChar w:fldCharType="begin"/>
                </w:r>
                <w:r>
                  <w:instrText xml:space="preserve"> PAGE </w:instrText>
                </w:r>
                <w:r>
                  <w:fldChar w:fldCharType="separate"/>
                </w:r>
                <w:r>
                  <w:t>36</w:t>
                </w:r>
                <w:r>
                  <w:fldChar w:fldCharType="end"/>
                </w:r>
                <w: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13820" w14:textId="77777777" w:rsidR="007B3480" w:rsidRDefault="007B3480">
      <w:r>
        <w:separator/>
      </w:r>
    </w:p>
  </w:footnote>
  <w:footnote w:type="continuationSeparator" w:id="0">
    <w:p w14:paraId="1699127E" w14:textId="77777777" w:rsidR="007B3480" w:rsidRDefault="007B3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6162D"/>
    <w:multiLevelType w:val="hybridMultilevel"/>
    <w:tmpl w:val="C6BCB196"/>
    <w:lvl w:ilvl="0" w:tplc="654EB5F8">
      <w:numFmt w:val="bullet"/>
      <w:lvlText w:val="●"/>
      <w:lvlJc w:val="left"/>
      <w:pPr>
        <w:ind w:left="372" w:hanging="723"/>
      </w:pPr>
      <w:rPr>
        <w:rFonts w:ascii="Calibri" w:eastAsia="Calibri" w:hAnsi="Calibri" w:cs="Calibri" w:hint="default"/>
        <w:w w:val="100"/>
        <w:sz w:val="20"/>
        <w:szCs w:val="20"/>
        <w:lang w:val="en-GB" w:eastAsia="en-GB" w:bidi="en-GB"/>
      </w:rPr>
    </w:lvl>
    <w:lvl w:ilvl="1" w:tplc="917003E0">
      <w:numFmt w:val="bullet"/>
      <w:lvlText w:val="•"/>
      <w:lvlJc w:val="left"/>
      <w:pPr>
        <w:ind w:left="1346" w:hanging="723"/>
      </w:pPr>
      <w:rPr>
        <w:rFonts w:hint="default"/>
        <w:lang w:val="en-GB" w:eastAsia="en-GB" w:bidi="en-GB"/>
      </w:rPr>
    </w:lvl>
    <w:lvl w:ilvl="2" w:tplc="E8909BA2">
      <w:numFmt w:val="bullet"/>
      <w:lvlText w:val="•"/>
      <w:lvlJc w:val="left"/>
      <w:pPr>
        <w:ind w:left="2313" w:hanging="723"/>
      </w:pPr>
      <w:rPr>
        <w:rFonts w:hint="default"/>
        <w:lang w:val="en-GB" w:eastAsia="en-GB" w:bidi="en-GB"/>
      </w:rPr>
    </w:lvl>
    <w:lvl w:ilvl="3" w:tplc="10502C12">
      <w:numFmt w:val="bullet"/>
      <w:lvlText w:val="•"/>
      <w:lvlJc w:val="left"/>
      <w:pPr>
        <w:ind w:left="3279" w:hanging="723"/>
      </w:pPr>
      <w:rPr>
        <w:rFonts w:hint="default"/>
        <w:lang w:val="en-GB" w:eastAsia="en-GB" w:bidi="en-GB"/>
      </w:rPr>
    </w:lvl>
    <w:lvl w:ilvl="4" w:tplc="F68E508C">
      <w:numFmt w:val="bullet"/>
      <w:lvlText w:val="•"/>
      <w:lvlJc w:val="left"/>
      <w:pPr>
        <w:ind w:left="4246" w:hanging="723"/>
      </w:pPr>
      <w:rPr>
        <w:rFonts w:hint="default"/>
        <w:lang w:val="en-GB" w:eastAsia="en-GB" w:bidi="en-GB"/>
      </w:rPr>
    </w:lvl>
    <w:lvl w:ilvl="5" w:tplc="8FBA445C">
      <w:numFmt w:val="bullet"/>
      <w:lvlText w:val="•"/>
      <w:lvlJc w:val="left"/>
      <w:pPr>
        <w:ind w:left="5213" w:hanging="723"/>
      </w:pPr>
      <w:rPr>
        <w:rFonts w:hint="default"/>
        <w:lang w:val="en-GB" w:eastAsia="en-GB" w:bidi="en-GB"/>
      </w:rPr>
    </w:lvl>
    <w:lvl w:ilvl="6" w:tplc="C9684ECC">
      <w:numFmt w:val="bullet"/>
      <w:lvlText w:val="•"/>
      <w:lvlJc w:val="left"/>
      <w:pPr>
        <w:ind w:left="6179" w:hanging="723"/>
      </w:pPr>
      <w:rPr>
        <w:rFonts w:hint="default"/>
        <w:lang w:val="en-GB" w:eastAsia="en-GB" w:bidi="en-GB"/>
      </w:rPr>
    </w:lvl>
    <w:lvl w:ilvl="7" w:tplc="45E84342">
      <w:numFmt w:val="bullet"/>
      <w:lvlText w:val="•"/>
      <w:lvlJc w:val="left"/>
      <w:pPr>
        <w:ind w:left="7146" w:hanging="723"/>
      </w:pPr>
      <w:rPr>
        <w:rFonts w:hint="default"/>
        <w:lang w:val="en-GB" w:eastAsia="en-GB" w:bidi="en-GB"/>
      </w:rPr>
    </w:lvl>
    <w:lvl w:ilvl="8" w:tplc="9D16D262">
      <w:numFmt w:val="bullet"/>
      <w:lvlText w:val="•"/>
      <w:lvlJc w:val="left"/>
      <w:pPr>
        <w:ind w:left="8113" w:hanging="723"/>
      </w:pPr>
      <w:rPr>
        <w:rFonts w:hint="default"/>
        <w:lang w:val="en-GB" w:eastAsia="en-GB" w:bidi="en-GB"/>
      </w:rPr>
    </w:lvl>
  </w:abstractNum>
  <w:abstractNum w:abstractNumId="1" w15:restartNumberingAfterBreak="0">
    <w:nsid w:val="46EF0675"/>
    <w:multiLevelType w:val="hybridMultilevel"/>
    <w:tmpl w:val="D7B038DC"/>
    <w:lvl w:ilvl="0" w:tplc="C7EA0B16">
      <w:numFmt w:val="bullet"/>
      <w:lvlText w:val="●"/>
      <w:lvlJc w:val="left"/>
      <w:pPr>
        <w:ind w:left="226" w:hanging="723"/>
      </w:pPr>
      <w:rPr>
        <w:rFonts w:hint="default"/>
        <w:w w:val="100"/>
        <w:lang w:val="en-GB" w:eastAsia="en-GB" w:bidi="en-GB"/>
      </w:rPr>
    </w:lvl>
    <w:lvl w:ilvl="1" w:tplc="C20E4E98">
      <w:start w:val="1"/>
      <w:numFmt w:val="decimal"/>
      <w:lvlText w:val="%2."/>
      <w:lvlJc w:val="left"/>
      <w:pPr>
        <w:ind w:left="1093" w:hanging="723"/>
        <w:jc w:val="left"/>
      </w:pPr>
      <w:rPr>
        <w:rFonts w:hint="default"/>
        <w:w w:val="100"/>
        <w:lang w:val="en-GB" w:eastAsia="en-GB" w:bidi="en-GB"/>
      </w:rPr>
    </w:lvl>
    <w:lvl w:ilvl="2" w:tplc="89D88C9A">
      <w:numFmt w:val="bullet"/>
      <w:lvlText w:val="•"/>
      <w:lvlJc w:val="left"/>
      <w:pPr>
        <w:ind w:left="2094" w:hanging="723"/>
      </w:pPr>
      <w:rPr>
        <w:rFonts w:hint="default"/>
        <w:lang w:val="en-GB" w:eastAsia="en-GB" w:bidi="en-GB"/>
      </w:rPr>
    </w:lvl>
    <w:lvl w:ilvl="3" w:tplc="8570BA76">
      <w:numFmt w:val="bullet"/>
      <w:lvlText w:val="•"/>
      <w:lvlJc w:val="left"/>
      <w:pPr>
        <w:ind w:left="3088" w:hanging="723"/>
      </w:pPr>
      <w:rPr>
        <w:rFonts w:hint="default"/>
        <w:lang w:val="en-GB" w:eastAsia="en-GB" w:bidi="en-GB"/>
      </w:rPr>
    </w:lvl>
    <w:lvl w:ilvl="4" w:tplc="C8502194">
      <w:numFmt w:val="bullet"/>
      <w:lvlText w:val="•"/>
      <w:lvlJc w:val="left"/>
      <w:pPr>
        <w:ind w:left="4082" w:hanging="723"/>
      </w:pPr>
      <w:rPr>
        <w:rFonts w:hint="default"/>
        <w:lang w:val="en-GB" w:eastAsia="en-GB" w:bidi="en-GB"/>
      </w:rPr>
    </w:lvl>
    <w:lvl w:ilvl="5" w:tplc="AAF0497C">
      <w:numFmt w:val="bullet"/>
      <w:lvlText w:val="•"/>
      <w:lvlJc w:val="left"/>
      <w:pPr>
        <w:ind w:left="5076" w:hanging="723"/>
      </w:pPr>
      <w:rPr>
        <w:rFonts w:hint="default"/>
        <w:lang w:val="en-GB" w:eastAsia="en-GB" w:bidi="en-GB"/>
      </w:rPr>
    </w:lvl>
    <w:lvl w:ilvl="6" w:tplc="AA121222">
      <w:numFmt w:val="bullet"/>
      <w:lvlText w:val="•"/>
      <w:lvlJc w:val="left"/>
      <w:pPr>
        <w:ind w:left="6070" w:hanging="723"/>
      </w:pPr>
      <w:rPr>
        <w:rFonts w:hint="default"/>
        <w:lang w:val="en-GB" w:eastAsia="en-GB" w:bidi="en-GB"/>
      </w:rPr>
    </w:lvl>
    <w:lvl w:ilvl="7" w:tplc="04D82D56">
      <w:numFmt w:val="bullet"/>
      <w:lvlText w:val="•"/>
      <w:lvlJc w:val="left"/>
      <w:pPr>
        <w:ind w:left="7064" w:hanging="723"/>
      </w:pPr>
      <w:rPr>
        <w:rFonts w:hint="default"/>
        <w:lang w:val="en-GB" w:eastAsia="en-GB" w:bidi="en-GB"/>
      </w:rPr>
    </w:lvl>
    <w:lvl w:ilvl="8" w:tplc="B9B618AA">
      <w:numFmt w:val="bullet"/>
      <w:lvlText w:val="•"/>
      <w:lvlJc w:val="left"/>
      <w:pPr>
        <w:ind w:left="8058" w:hanging="723"/>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8695F"/>
    <w:rsid w:val="00043E1E"/>
    <w:rsid w:val="004F1518"/>
    <w:rsid w:val="00602567"/>
    <w:rsid w:val="006875DB"/>
    <w:rsid w:val="007B3480"/>
    <w:rsid w:val="0098695F"/>
    <w:rsid w:val="00C207F8"/>
    <w:rsid w:val="00F66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D0AFC0"/>
  <w15:docId w15:val="{3D770D82-9CED-420B-A914-FD0C4EE0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60"/>
      <w:ind w:left="1093" w:hanging="724"/>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72" w:hanging="3"/>
    </w:pPr>
    <w:rPr>
      <w:sz w:val="20"/>
      <w:szCs w:val="20"/>
    </w:rPr>
  </w:style>
  <w:style w:type="paragraph" w:styleId="ListParagraph">
    <w:name w:val="List Paragraph"/>
    <w:basedOn w:val="Normal"/>
    <w:uiPriority w:val="1"/>
    <w:qFormat/>
    <w:pPr>
      <w:spacing w:before="120"/>
      <w:ind w:left="372" w:hanging="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sh-hu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1955</Words>
  <Characters>11150</Characters>
  <Application>Microsoft Office Word</Application>
  <DocSecurity>0</DocSecurity>
  <Lines>92</Lines>
  <Paragraphs>26</Paragraphs>
  <ScaleCrop>false</ScaleCrop>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jfrize</dc:creator>
  <cp:lastModifiedBy>Jennifer Harper</cp:lastModifiedBy>
  <cp:revision>2</cp:revision>
  <dcterms:created xsi:type="dcterms:W3CDTF">2021-12-23T11:06:00Z</dcterms:created>
  <dcterms:modified xsi:type="dcterms:W3CDTF">2021-12-23T11:06:00Z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for Office 365</vt:lpwstr>
  </property>
  <property fmtid="{D5CDD505-2E9C-101B-9397-08002B2CF9AE}" pid="4" name="LastSaved">
    <vt:filetime>2021-12-20T00:00:00Z</vt:filetime>
  </property>
</Properties>
</file>