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B0F2E" w14:textId="77777777" w:rsidR="00E10C95" w:rsidRPr="006E5C59" w:rsidRDefault="00E10C95" w:rsidP="00B2618C">
      <w:pPr>
        <w:pStyle w:val="Title"/>
        <w:jc w:val="center"/>
        <w:rPr>
          <w:sz w:val="44"/>
          <w:szCs w:val="44"/>
        </w:rPr>
      </w:pPr>
    </w:p>
    <w:p w14:paraId="524205A1" w14:textId="48BDF98A" w:rsidR="00ED16BE" w:rsidRPr="006E5C59" w:rsidRDefault="00ED16BE" w:rsidP="00B2618C">
      <w:pPr>
        <w:pStyle w:val="Title"/>
        <w:jc w:val="center"/>
        <w:rPr>
          <w:sz w:val="44"/>
          <w:szCs w:val="44"/>
        </w:rPr>
      </w:pPr>
      <w:r>
        <w:rPr>
          <w:sz w:val="44"/>
        </w:rPr>
        <w:t>Passation des marchés des prestataires de services financiers (PSF)</w:t>
      </w:r>
    </w:p>
    <w:p w14:paraId="2CA32364" w14:textId="1EEA7330" w:rsidR="00ED16BE" w:rsidRPr="006E5C59" w:rsidRDefault="00ED16BE" w:rsidP="00B2618C">
      <w:pPr>
        <w:pStyle w:val="Title"/>
        <w:jc w:val="center"/>
        <w:rPr>
          <w:sz w:val="44"/>
          <w:szCs w:val="44"/>
        </w:rPr>
      </w:pPr>
      <w:r>
        <w:rPr>
          <w:sz w:val="44"/>
        </w:rPr>
        <w:t>Procédure opérationnelle normalisée (SOP)</w:t>
      </w:r>
    </w:p>
    <w:p w14:paraId="1D4205AA" w14:textId="2D2EC74A" w:rsidR="0083354F" w:rsidRPr="006E5C59" w:rsidRDefault="00ED16BE" w:rsidP="00B2618C">
      <w:pPr>
        <w:pStyle w:val="Title"/>
        <w:jc w:val="center"/>
        <w:rPr>
          <w:sz w:val="44"/>
          <w:szCs w:val="44"/>
        </w:rPr>
      </w:pPr>
      <w:r>
        <w:rPr>
          <w:sz w:val="44"/>
        </w:rPr>
        <w:t>FICR Région Afrique 2021</w:t>
      </w:r>
    </w:p>
    <w:p w14:paraId="76A023E4" w14:textId="77777777" w:rsidR="00CE5DF8" w:rsidRPr="006E5C59" w:rsidRDefault="00CE5DF8" w:rsidP="00CE5DF8"/>
    <w:p w14:paraId="0D2D365B" w14:textId="1A8B022D" w:rsidR="00E10C95" w:rsidRPr="006E5C59" w:rsidRDefault="00E10C95" w:rsidP="00E10C95"/>
    <w:p w14:paraId="7F45D164" w14:textId="77777777" w:rsidR="00E10C95" w:rsidRPr="006E5C59" w:rsidRDefault="00E10C95" w:rsidP="00E10C95">
      <w:pPr>
        <w:keepNext/>
      </w:pPr>
      <w:r>
        <w:rPr>
          <w:noProof/>
        </w:rPr>
        <w:drawing>
          <wp:inline distT="0" distB="0" distL="0" distR="0" wp14:anchorId="6201D5BC" wp14:editId="27EAF917">
            <wp:extent cx="5731510" cy="3820795"/>
            <wp:effectExtent l="0" t="0" r="2540" b="8255"/>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1DF25E7" w14:textId="2DBC138B" w:rsidR="00E10C95" w:rsidRPr="006E5C59" w:rsidRDefault="00E10C95" w:rsidP="00E10C95">
      <w:pPr>
        <w:pStyle w:val="Caption"/>
      </w:pPr>
      <w:r>
        <w:t xml:space="preserve">Photo </w:t>
      </w:r>
      <w:r w:rsidRPr="006E5C59">
        <w:fldChar w:fldCharType="begin"/>
      </w:r>
      <w:r w:rsidRPr="006E5C59">
        <w:instrText>SEQ Picture \* ARABIC</w:instrText>
      </w:r>
      <w:r w:rsidRPr="006E5C59">
        <w:fldChar w:fldCharType="separate"/>
      </w:r>
      <w:r w:rsidR="00730241">
        <w:rPr>
          <w:noProof/>
        </w:rPr>
        <w:t>1</w:t>
      </w:r>
      <w:r w:rsidRPr="006E5C59">
        <w:fldChar w:fldCharType="end"/>
      </w:r>
      <w:r>
        <w:t>: (c) IFRC 2021</w:t>
      </w:r>
      <w:r w:rsidRPr="006E5C59">
        <w:rPr>
          <w:rStyle w:val="FootnoteReference"/>
        </w:rPr>
        <w:footnoteReference w:id="2"/>
      </w:r>
    </w:p>
    <w:p w14:paraId="567B383B" w14:textId="788DE300" w:rsidR="00FC0D61" w:rsidRPr="006E5C59" w:rsidRDefault="00FC0D61" w:rsidP="00C73127">
      <w:pPr>
        <w:rPr>
          <w:sz w:val="20"/>
          <w:szCs w:val="20"/>
        </w:rPr>
      </w:pPr>
    </w:p>
    <w:p w14:paraId="0E59079A" w14:textId="14D8A694" w:rsidR="00C73127" w:rsidRPr="006E5C59" w:rsidRDefault="0034245D" w:rsidP="00C73127">
      <w:pPr>
        <w:rPr>
          <w:b/>
          <w:bCs/>
          <w:sz w:val="20"/>
          <w:szCs w:val="20"/>
        </w:rPr>
      </w:pPr>
      <w:r>
        <w:rPr>
          <w:b/>
          <w:sz w:val="20"/>
        </w:rPr>
        <w:t xml:space="preserve">Auteurs : </w:t>
      </w:r>
    </w:p>
    <w:p w14:paraId="2A72B1B7" w14:textId="0D4B7CB7" w:rsidR="00ED16BE" w:rsidRPr="0068408F" w:rsidRDefault="0034245D" w:rsidP="00CE5DF8">
      <w:pPr>
        <w:spacing w:after="0"/>
        <w:rPr>
          <w:color w:val="6EADB2" w:themeColor="hyperlink"/>
          <w:sz w:val="20"/>
          <w:szCs w:val="20"/>
          <w:u w:val="single"/>
        </w:rPr>
      </w:pPr>
      <w:r w:rsidRPr="0068408F">
        <w:rPr>
          <w:sz w:val="20"/>
          <w:szCs w:val="20"/>
        </w:rPr>
        <w:t xml:space="preserve">Maja Tønning, coordinatrice régionale des TM, FICR Afrique, </w:t>
      </w:r>
      <w:hyperlink r:id="rId12" w:history="1">
        <w:r w:rsidRPr="0068408F">
          <w:rPr>
            <w:rStyle w:val="Hyperlink"/>
            <w:sz w:val="20"/>
            <w:szCs w:val="20"/>
          </w:rPr>
          <w:t>Maja.Tonning@ifrc.org</w:t>
        </w:r>
      </w:hyperlink>
    </w:p>
    <w:p w14:paraId="6C66D18E" w14:textId="27FDB521" w:rsidR="006045BA" w:rsidRPr="0068408F" w:rsidRDefault="00ED16BE" w:rsidP="00CE5DF8">
      <w:pPr>
        <w:spacing w:after="0"/>
        <w:jc w:val="both"/>
        <w:rPr>
          <w:sz w:val="20"/>
          <w:szCs w:val="20"/>
        </w:rPr>
      </w:pPr>
      <w:r w:rsidRPr="0068408F">
        <w:rPr>
          <w:sz w:val="20"/>
          <w:szCs w:val="20"/>
        </w:rPr>
        <w:t>Vanesa Colsa, Soutien à l'approvisionnement du PSF</w:t>
      </w:r>
    </w:p>
    <w:p w14:paraId="4B1A827D" w14:textId="23FC2391" w:rsidR="00ED16BE" w:rsidRPr="0068408F" w:rsidRDefault="00ED16BE" w:rsidP="00CE5DF8">
      <w:pPr>
        <w:spacing w:after="0"/>
        <w:jc w:val="both"/>
        <w:rPr>
          <w:sz w:val="20"/>
          <w:szCs w:val="20"/>
        </w:rPr>
      </w:pPr>
      <w:r w:rsidRPr="0068408F">
        <w:rPr>
          <w:sz w:val="20"/>
          <w:szCs w:val="20"/>
        </w:rPr>
        <w:t xml:space="preserve">Sergio Fernandes, responsable régional des achats, FICR Afrique, </w:t>
      </w:r>
      <w:hyperlink r:id="rId13" w:history="1">
        <w:r w:rsidRPr="0068408F">
          <w:rPr>
            <w:rStyle w:val="Hyperlink"/>
            <w:sz w:val="20"/>
            <w:szCs w:val="20"/>
          </w:rPr>
          <w:t>Sergio.Fernandes@ifrc.org</w:t>
        </w:r>
      </w:hyperlink>
      <w:r w:rsidRPr="0068408F">
        <w:rPr>
          <w:sz w:val="20"/>
          <w:szCs w:val="20"/>
        </w:rPr>
        <w:t xml:space="preserve"> </w:t>
      </w:r>
    </w:p>
    <w:p w14:paraId="624352FF" w14:textId="1AED362A" w:rsidR="00ED16BE" w:rsidRPr="0068408F" w:rsidRDefault="007F5320" w:rsidP="00CE5DF8">
      <w:pPr>
        <w:spacing w:after="0"/>
        <w:jc w:val="both"/>
        <w:rPr>
          <w:sz w:val="20"/>
          <w:szCs w:val="20"/>
        </w:rPr>
      </w:pPr>
      <w:r w:rsidRPr="0068408F">
        <w:rPr>
          <w:sz w:val="20"/>
          <w:szCs w:val="20"/>
        </w:rPr>
        <w:t xml:space="preserve">Carren </w:t>
      </w:r>
      <w:proofErr w:type="spellStart"/>
      <w:r w:rsidRPr="0068408F">
        <w:rPr>
          <w:sz w:val="20"/>
          <w:szCs w:val="20"/>
        </w:rPr>
        <w:t>Auma</w:t>
      </w:r>
      <w:proofErr w:type="spellEnd"/>
      <w:r w:rsidRPr="0068408F">
        <w:rPr>
          <w:sz w:val="20"/>
          <w:szCs w:val="20"/>
        </w:rPr>
        <w:t xml:space="preserve"> </w:t>
      </w:r>
      <w:proofErr w:type="spellStart"/>
      <w:r w:rsidRPr="0068408F">
        <w:rPr>
          <w:sz w:val="20"/>
          <w:szCs w:val="20"/>
        </w:rPr>
        <w:t>Oyayo</w:t>
      </w:r>
      <w:proofErr w:type="spellEnd"/>
      <w:r w:rsidRPr="0068408F">
        <w:rPr>
          <w:sz w:val="20"/>
          <w:szCs w:val="20"/>
        </w:rPr>
        <w:t xml:space="preserve">, responsable des achats, FICR Afrique </w:t>
      </w:r>
      <w:hyperlink r:id="rId14">
        <w:r w:rsidRPr="0068408F">
          <w:rPr>
            <w:rStyle w:val="Hyperlink"/>
            <w:sz w:val="20"/>
            <w:szCs w:val="20"/>
          </w:rPr>
          <w:t>Carren.OYAYO@ifrc.org</w:t>
        </w:r>
      </w:hyperlink>
      <w:r w:rsidRPr="0068408F">
        <w:rPr>
          <w:sz w:val="20"/>
          <w:szCs w:val="20"/>
        </w:rPr>
        <w:t xml:space="preserve"> </w:t>
      </w:r>
    </w:p>
    <w:p w14:paraId="25B113FD" w14:textId="04EB02FA" w:rsidR="4E67F93F" w:rsidRPr="00BB7DEF" w:rsidRDefault="4E67F93F" w:rsidP="4E67F93F">
      <w:pPr>
        <w:spacing w:after="0"/>
        <w:jc w:val="both"/>
        <w:rPr>
          <w:sz w:val="20"/>
          <w:szCs w:val="20"/>
        </w:rPr>
      </w:pPr>
    </w:p>
    <w:sdt>
      <w:sdtPr>
        <w:rPr>
          <w:color w:val="FF0000"/>
          <w:sz w:val="28"/>
          <w:szCs w:val="28"/>
        </w:rPr>
        <w:id w:val="-162240410"/>
        <w:docPartObj>
          <w:docPartGallery w:val="Table of Contents"/>
          <w:docPartUnique/>
        </w:docPartObj>
      </w:sdtPr>
      <w:sdtEndPr>
        <w:rPr>
          <w:b/>
          <w:bCs/>
          <w:noProof/>
          <w:color w:val="auto"/>
          <w:sz w:val="16"/>
          <w:szCs w:val="16"/>
        </w:rPr>
      </w:sdtEndPr>
      <w:sdtContent>
        <w:p w14:paraId="2718C157" w14:textId="25F67673" w:rsidR="006C08EB" w:rsidRPr="006E5C59" w:rsidRDefault="006C08EB" w:rsidP="00D5513C">
          <w:pPr>
            <w:spacing w:after="60"/>
            <w:rPr>
              <w:color w:val="FF0000"/>
              <w:sz w:val="28"/>
              <w:szCs w:val="28"/>
            </w:rPr>
          </w:pPr>
          <w:r>
            <w:rPr>
              <w:color w:val="FF0000"/>
              <w:sz w:val="28"/>
            </w:rPr>
            <w:t>Sommaire</w:t>
          </w:r>
        </w:p>
        <w:p w14:paraId="0F64AA3E" w14:textId="7747B91E" w:rsidR="00784F85" w:rsidRPr="00784F85" w:rsidRDefault="006C08EB">
          <w:pPr>
            <w:pStyle w:val="TOC1"/>
            <w:tabs>
              <w:tab w:val="right" w:leader="dot" w:pos="9016"/>
            </w:tabs>
            <w:rPr>
              <w:rFonts w:eastAsiaTheme="minorEastAsia"/>
              <w:noProof/>
              <w:sz w:val="20"/>
              <w:szCs w:val="20"/>
              <w:lang w:val="da-DK" w:eastAsia="da-DK"/>
            </w:rPr>
          </w:pPr>
          <w:r w:rsidRPr="00784F85">
            <w:rPr>
              <w:sz w:val="20"/>
              <w:szCs w:val="20"/>
            </w:rPr>
            <w:fldChar w:fldCharType="begin"/>
          </w:r>
          <w:r w:rsidRPr="00784F85">
            <w:rPr>
              <w:sz w:val="20"/>
              <w:szCs w:val="20"/>
            </w:rPr>
            <w:instrText xml:space="preserve"> TOC \o "1-3" \h \z \u </w:instrText>
          </w:r>
          <w:r w:rsidRPr="00784F85">
            <w:rPr>
              <w:sz w:val="20"/>
              <w:szCs w:val="20"/>
            </w:rPr>
            <w:fldChar w:fldCharType="separate"/>
          </w:r>
          <w:hyperlink w:anchor="_Toc96934157" w:history="1">
            <w:r w:rsidR="00784F85" w:rsidRPr="00784F85">
              <w:rPr>
                <w:rStyle w:val="Hyperlink"/>
                <w:noProof/>
                <w:sz w:val="20"/>
                <w:szCs w:val="20"/>
              </w:rPr>
              <w:t>Abréviations*</w:t>
            </w:r>
            <w:r w:rsidR="00784F85" w:rsidRPr="00784F85">
              <w:rPr>
                <w:noProof/>
                <w:webHidden/>
                <w:sz w:val="20"/>
                <w:szCs w:val="20"/>
              </w:rPr>
              <w:tab/>
            </w:r>
            <w:r w:rsidR="00784F85" w:rsidRPr="00784F85">
              <w:rPr>
                <w:noProof/>
                <w:webHidden/>
                <w:sz w:val="20"/>
                <w:szCs w:val="20"/>
              </w:rPr>
              <w:fldChar w:fldCharType="begin"/>
            </w:r>
            <w:r w:rsidR="00784F85" w:rsidRPr="00784F85">
              <w:rPr>
                <w:noProof/>
                <w:webHidden/>
                <w:sz w:val="20"/>
                <w:szCs w:val="20"/>
              </w:rPr>
              <w:instrText xml:space="preserve"> PAGEREF _Toc96934157 \h </w:instrText>
            </w:r>
            <w:r w:rsidR="00784F85" w:rsidRPr="00784F85">
              <w:rPr>
                <w:noProof/>
                <w:webHidden/>
                <w:sz w:val="20"/>
                <w:szCs w:val="20"/>
              </w:rPr>
            </w:r>
            <w:r w:rsidR="00784F85" w:rsidRPr="00784F85">
              <w:rPr>
                <w:noProof/>
                <w:webHidden/>
                <w:sz w:val="20"/>
                <w:szCs w:val="20"/>
              </w:rPr>
              <w:fldChar w:fldCharType="separate"/>
            </w:r>
            <w:r w:rsidR="00730241">
              <w:rPr>
                <w:noProof/>
                <w:webHidden/>
                <w:sz w:val="20"/>
                <w:szCs w:val="20"/>
              </w:rPr>
              <w:t>2</w:t>
            </w:r>
            <w:r w:rsidR="00784F85" w:rsidRPr="00784F85">
              <w:rPr>
                <w:noProof/>
                <w:webHidden/>
                <w:sz w:val="20"/>
                <w:szCs w:val="20"/>
              </w:rPr>
              <w:fldChar w:fldCharType="end"/>
            </w:r>
          </w:hyperlink>
        </w:p>
        <w:p w14:paraId="23E3C71F" w14:textId="276B0664" w:rsidR="00784F85" w:rsidRPr="00784F85" w:rsidRDefault="00784F85">
          <w:pPr>
            <w:pStyle w:val="TOC1"/>
            <w:tabs>
              <w:tab w:val="left" w:pos="440"/>
              <w:tab w:val="right" w:leader="dot" w:pos="9016"/>
            </w:tabs>
            <w:rPr>
              <w:rFonts w:eastAsiaTheme="minorEastAsia"/>
              <w:noProof/>
              <w:sz w:val="20"/>
              <w:szCs w:val="20"/>
              <w:lang w:val="da-DK" w:eastAsia="da-DK"/>
            </w:rPr>
          </w:pPr>
          <w:hyperlink w:anchor="_Toc96934158" w:history="1">
            <w:r w:rsidRPr="00784F85">
              <w:rPr>
                <w:rStyle w:val="Hyperlink"/>
                <w:noProof/>
                <w:sz w:val="20"/>
                <w:szCs w:val="20"/>
              </w:rPr>
              <w:t>1.</w:t>
            </w:r>
            <w:r w:rsidRPr="00784F85">
              <w:rPr>
                <w:rFonts w:eastAsiaTheme="minorEastAsia"/>
                <w:noProof/>
                <w:sz w:val="20"/>
                <w:szCs w:val="20"/>
                <w:lang w:val="da-DK" w:eastAsia="da-DK"/>
              </w:rPr>
              <w:tab/>
            </w:r>
            <w:r w:rsidRPr="00784F85">
              <w:rPr>
                <w:rStyle w:val="Hyperlink"/>
                <w:noProof/>
                <w:sz w:val="20"/>
                <w:szCs w:val="20"/>
              </w:rPr>
              <w:t>Introduction</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_Toc96934158 \h </w:instrText>
            </w:r>
            <w:r w:rsidRPr="00784F85">
              <w:rPr>
                <w:noProof/>
                <w:webHidden/>
                <w:sz w:val="20"/>
                <w:szCs w:val="20"/>
              </w:rPr>
            </w:r>
            <w:r w:rsidRPr="00784F85">
              <w:rPr>
                <w:noProof/>
                <w:webHidden/>
                <w:sz w:val="20"/>
                <w:szCs w:val="20"/>
              </w:rPr>
              <w:fldChar w:fldCharType="separate"/>
            </w:r>
            <w:r w:rsidR="00730241">
              <w:rPr>
                <w:noProof/>
                <w:webHidden/>
                <w:sz w:val="20"/>
                <w:szCs w:val="20"/>
              </w:rPr>
              <w:t>3</w:t>
            </w:r>
            <w:r w:rsidRPr="00784F85">
              <w:rPr>
                <w:noProof/>
                <w:webHidden/>
                <w:sz w:val="20"/>
                <w:szCs w:val="20"/>
              </w:rPr>
              <w:fldChar w:fldCharType="end"/>
            </w:r>
          </w:hyperlink>
        </w:p>
        <w:p w14:paraId="745AA562" w14:textId="00F1D647"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59" w:history="1">
            <w:r w:rsidRPr="00784F85">
              <w:rPr>
                <w:rStyle w:val="Hyperlink"/>
                <w:noProof/>
                <w:sz w:val="20"/>
                <w:szCs w:val="20"/>
              </w:rPr>
              <w:t>1.1.</w:t>
            </w:r>
            <w:r w:rsidRPr="00784F85">
              <w:rPr>
                <w:rFonts w:eastAsiaTheme="minorEastAsia"/>
                <w:noProof/>
                <w:sz w:val="20"/>
                <w:szCs w:val="20"/>
                <w:lang w:val="da-DK" w:eastAsia="da-DK"/>
              </w:rPr>
              <w:tab/>
            </w:r>
            <w:r w:rsidRPr="00784F85">
              <w:rPr>
                <w:rStyle w:val="Hyperlink"/>
                <w:noProof/>
                <w:sz w:val="20"/>
                <w:szCs w:val="20"/>
              </w:rPr>
              <w:t>Objectif et public du document</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_Toc96934159 \h </w:instrText>
            </w:r>
            <w:r w:rsidRPr="00784F85">
              <w:rPr>
                <w:noProof/>
                <w:webHidden/>
                <w:sz w:val="20"/>
                <w:szCs w:val="20"/>
              </w:rPr>
            </w:r>
            <w:r w:rsidRPr="00784F85">
              <w:rPr>
                <w:noProof/>
                <w:webHidden/>
                <w:sz w:val="20"/>
                <w:szCs w:val="20"/>
              </w:rPr>
              <w:fldChar w:fldCharType="separate"/>
            </w:r>
            <w:r w:rsidR="00730241">
              <w:rPr>
                <w:noProof/>
                <w:webHidden/>
                <w:sz w:val="20"/>
                <w:szCs w:val="20"/>
              </w:rPr>
              <w:t>3</w:t>
            </w:r>
            <w:r w:rsidRPr="00784F85">
              <w:rPr>
                <w:noProof/>
                <w:webHidden/>
                <w:sz w:val="20"/>
                <w:szCs w:val="20"/>
              </w:rPr>
              <w:fldChar w:fldCharType="end"/>
            </w:r>
          </w:hyperlink>
        </w:p>
        <w:p w14:paraId="5487987C" w14:textId="5E1855B1"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60" w:history="1">
            <w:r w:rsidRPr="00784F85">
              <w:rPr>
                <w:rStyle w:val="Hyperlink"/>
                <w:noProof/>
                <w:sz w:val="20"/>
                <w:szCs w:val="20"/>
              </w:rPr>
              <w:t>1.2.</w:t>
            </w:r>
            <w:r w:rsidRPr="00784F85">
              <w:rPr>
                <w:rFonts w:eastAsiaTheme="minorEastAsia"/>
                <w:noProof/>
                <w:sz w:val="20"/>
                <w:szCs w:val="20"/>
                <w:lang w:val="da-DK" w:eastAsia="da-DK"/>
              </w:rPr>
              <w:tab/>
            </w:r>
            <w:r w:rsidRPr="00784F85">
              <w:rPr>
                <w:rStyle w:val="Hyperlink"/>
                <w:noProof/>
                <w:sz w:val="20"/>
                <w:szCs w:val="20"/>
              </w:rPr>
              <w:t>A qui s'adresse ce document ?</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_Toc96934160 \h </w:instrText>
            </w:r>
            <w:r w:rsidRPr="00784F85">
              <w:rPr>
                <w:noProof/>
                <w:webHidden/>
                <w:sz w:val="20"/>
                <w:szCs w:val="20"/>
              </w:rPr>
            </w:r>
            <w:r w:rsidRPr="00784F85">
              <w:rPr>
                <w:noProof/>
                <w:webHidden/>
                <w:sz w:val="20"/>
                <w:szCs w:val="20"/>
              </w:rPr>
              <w:fldChar w:fldCharType="separate"/>
            </w:r>
            <w:r w:rsidR="00730241">
              <w:rPr>
                <w:noProof/>
                <w:webHidden/>
                <w:sz w:val="20"/>
                <w:szCs w:val="20"/>
              </w:rPr>
              <w:t>3</w:t>
            </w:r>
            <w:r w:rsidRPr="00784F85">
              <w:rPr>
                <w:noProof/>
                <w:webHidden/>
                <w:sz w:val="20"/>
                <w:szCs w:val="20"/>
              </w:rPr>
              <w:fldChar w:fldCharType="end"/>
            </w:r>
          </w:hyperlink>
        </w:p>
        <w:p w14:paraId="70F1BEDC" w14:textId="1724E998" w:rsidR="00784F85" w:rsidRPr="00784F85" w:rsidRDefault="00784F85">
          <w:pPr>
            <w:pStyle w:val="TOC1"/>
            <w:tabs>
              <w:tab w:val="left" w:pos="440"/>
              <w:tab w:val="right" w:leader="dot" w:pos="9016"/>
            </w:tabs>
            <w:rPr>
              <w:rFonts w:eastAsiaTheme="minorEastAsia"/>
              <w:noProof/>
              <w:sz w:val="20"/>
              <w:szCs w:val="20"/>
              <w:lang w:val="da-DK" w:eastAsia="da-DK"/>
            </w:rPr>
          </w:pPr>
          <w:hyperlink w:anchor="_Toc96934161" w:history="1">
            <w:r w:rsidRPr="00784F85">
              <w:rPr>
                <w:rStyle w:val="Hyperlink"/>
                <w:noProof/>
                <w:sz w:val="20"/>
                <w:szCs w:val="20"/>
              </w:rPr>
              <w:t>2.</w:t>
            </w:r>
            <w:r w:rsidRPr="00784F85">
              <w:rPr>
                <w:rFonts w:eastAsiaTheme="minorEastAsia"/>
                <w:noProof/>
                <w:sz w:val="20"/>
                <w:szCs w:val="20"/>
                <w:lang w:val="da-DK" w:eastAsia="da-DK"/>
              </w:rPr>
              <w:tab/>
            </w:r>
            <w:r w:rsidRPr="00784F85">
              <w:rPr>
                <w:rStyle w:val="Hyperlink"/>
                <w:noProof/>
                <w:sz w:val="20"/>
                <w:szCs w:val="20"/>
              </w:rPr>
              <w:t>Processus de passation des marchés des PSF</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_Toc96934161 \h </w:instrText>
            </w:r>
            <w:r w:rsidRPr="00784F85">
              <w:rPr>
                <w:noProof/>
                <w:webHidden/>
                <w:sz w:val="20"/>
                <w:szCs w:val="20"/>
              </w:rPr>
            </w:r>
            <w:r w:rsidRPr="00784F85">
              <w:rPr>
                <w:noProof/>
                <w:webHidden/>
                <w:sz w:val="20"/>
                <w:szCs w:val="20"/>
              </w:rPr>
              <w:fldChar w:fldCharType="separate"/>
            </w:r>
            <w:r w:rsidR="00730241">
              <w:rPr>
                <w:noProof/>
                <w:webHidden/>
                <w:sz w:val="20"/>
                <w:szCs w:val="20"/>
              </w:rPr>
              <w:t>3</w:t>
            </w:r>
            <w:r w:rsidRPr="00784F85">
              <w:rPr>
                <w:noProof/>
                <w:webHidden/>
                <w:sz w:val="20"/>
                <w:szCs w:val="20"/>
              </w:rPr>
              <w:fldChar w:fldCharType="end"/>
            </w:r>
          </w:hyperlink>
        </w:p>
        <w:p w14:paraId="0533FAC2" w14:textId="7DF8C367"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62" w:history="1">
            <w:r w:rsidRPr="00784F85">
              <w:rPr>
                <w:rStyle w:val="Hyperlink"/>
                <w:noProof/>
                <w:sz w:val="20"/>
                <w:szCs w:val="20"/>
              </w:rPr>
              <w:t>2.1.</w:t>
            </w:r>
            <w:r w:rsidRPr="00784F85">
              <w:rPr>
                <w:rFonts w:eastAsiaTheme="minorEastAsia"/>
                <w:noProof/>
                <w:sz w:val="20"/>
                <w:szCs w:val="20"/>
                <w:lang w:val="da-DK" w:eastAsia="da-DK"/>
              </w:rPr>
              <w:tab/>
            </w:r>
            <w:r w:rsidRPr="00784F85">
              <w:rPr>
                <w:rStyle w:val="Hyperlink"/>
                <w:noProof/>
                <w:sz w:val="20"/>
                <w:szCs w:val="20"/>
              </w:rPr>
              <w:t>Cahier des charges (SoW) et documents d'appel d'offres</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_Toc96934162 \h </w:instrText>
            </w:r>
            <w:r w:rsidRPr="00784F85">
              <w:rPr>
                <w:noProof/>
                <w:webHidden/>
                <w:sz w:val="20"/>
                <w:szCs w:val="20"/>
              </w:rPr>
            </w:r>
            <w:r w:rsidRPr="00784F85">
              <w:rPr>
                <w:noProof/>
                <w:webHidden/>
                <w:sz w:val="20"/>
                <w:szCs w:val="20"/>
              </w:rPr>
              <w:fldChar w:fldCharType="separate"/>
            </w:r>
            <w:r w:rsidR="00730241">
              <w:rPr>
                <w:noProof/>
                <w:webHidden/>
                <w:sz w:val="20"/>
                <w:szCs w:val="20"/>
              </w:rPr>
              <w:t>4</w:t>
            </w:r>
            <w:r w:rsidRPr="00784F85">
              <w:rPr>
                <w:noProof/>
                <w:webHidden/>
                <w:sz w:val="20"/>
                <w:szCs w:val="20"/>
              </w:rPr>
              <w:fldChar w:fldCharType="end"/>
            </w:r>
          </w:hyperlink>
        </w:p>
        <w:p w14:paraId="36278944" w14:textId="3891A6A6"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63" w:history="1">
            <w:r w:rsidRPr="00784F85">
              <w:rPr>
                <w:rStyle w:val="Hyperlink"/>
                <w:noProof/>
                <w:sz w:val="20"/>
                <w:szCs w:val="20"/>
              </w:rPr>
              <w:t>2.2.</w:t>
            </w:r>
            <w:r w:rsidRPr="00784F85">
              <w:rPr>
                <w:rFonts w:eastAsiaTheme="minorEastAsia"/>
                <w:noProof/>
                <w:sz w:val="20"/>
                <w:szCs w:val="20"/>
                <w:lang w:val="da-DK" w:eastAsia="da-DK"/>
              </w:rPr>
              <w:tab/>
            </w:r>
            <w:r w:rsidRPr="00784F85">
              <w:rPr>
                <w:rStyle w:val="Hyperlink"/>
                <w:noProof/>
                <w:sz w:val="20"/>
                <w:szCs w:val="20"/>
              </w:rPr>
              <w:t>Appel d'offres</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_Toc96934163 \h </w:instrText>
            </w:r>
            <w:r w:rsidRPr="00784F85">
              <w:rPr>
                <w:noProof/>
                <w:webHidden/>
                <w:sz w:val="20"/>
                <w:szCs w:val="20"/>
              </w:rPr>
            </w:r>
            <w:r w:rsidRPr="00784F85">
              <w:rPr>
                <w:noProof/>
                <w:webHidden/>
                <w:sz w:val="20"/>
                <w:szCs w:val="20"/>
              </w:rPr>
              <w:fldChar w:fldCharType="separate"/>
            </w:r>
            <w:r w:rsidR="00730241">
              <w:rPr>
                <w:noProof/>
                <w:webHidden/>
                <w:sz w:val="20"/>
                <w:szCs w:val="20"/>
              </w:rPr>
              <w:t>5</w:t>
            </w:r>
            <w:r w:rsidRPr="00784F85">
              <w:rPr>
                <w:noProof/>
                <w:webHidden/>
                <w:sz w:val="20"/>
                <w:szCs w:val="20"/>
              </w:rPr>
              <w:fldChar w:fldCharType="end"/>
            </w:r>
          </w:hyperlink>
        </w:p>
        <w:p w14:paraId="25C9D6AA" w14:textId="5DB0E096"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64" w:history="1">
            <w:r w:rsidRPr="00784F85">
              <w:rPr>
                <w:rStyle w:val="Hyperlink"/>
                <w:noProof/>
                <w:sz w:val="20"/>
                <w:szCs w:val="20"/>
              </w:rPr>
              <w:t>2.3.</w:t>
            </w:r>
            <w:r w:rsidRPr="00784F85">
              <w:rPr>
                <w:rFonts w:eastAsiaTheme="minorEastAsia"/>
                <w:noProof/>
                <w:sz w:val="20"/>
                <w:szCs w:val="20"/>
                <w:lang w:val="da-DK" w:eastAsia="da-DK"/>
              </w:rPr>
              <w:tab/>
            </w:r>
            <w:r w:rsidRPr="00784F85">
              <w:rPr>
                <w:rStyle w:val="Hyperlink"/>
                <w:noProof/>
                <w:sz w:val="20"/>
                <w:szCs w:val="20"/>
              </w:rPr>
              <w:t>Types de contrats</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_Toc96934164 \h </w:instrText>
            </w:r>
            <w:r w:rsidRPr="00784F85">
              <w:rPr>
                <w:noProof/>
                <w:webHidden/>
                <w:sz w:val="20"/>
                <w:szCs w:val="20"/>
              </w:rPr>
            </w:r>
            <w:r w:rsidRPr="00784F85">
              <w:rPr>
                <w:noProof/>
                <w:webHidden/>
                <w:sz w:val="20"/>
                <w:szCs w:val="20"/>
              </w:rPr>
              <w:fldChar w:fldCharType="separate"/>
            </w:r>
            <w:r w:rsidR="00730241">
              <w:rPr>
                <w:noProof/>
                <w:webHidden/>
                <w:sz w:val="20"/>
                <w:szCs w:val="20"/>
              </w:rPr>
              <w:t>6</w:t>
            </w:r>
            <w:r w:rsidRPr="00784F85">
              <w:rPr>
                <w:noProof/>
                <w:webHidden/>
                <w:sz w:val="20"/>
                <w:szCs w:val="20"/>
              </w:rPr>
              <w:fldChar w:fldCharType="end"/>
            </w:r>
          </w:hyperlink>
        </w:p>
        <w:p w14:paraId="4B3CECE2" w14:textId="7BF7436B"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65" w:history="1">
            <w:r w:rsidRPr="00784F85">
              <w:rPr>
                <w:rStyle w:val="Hyperlink"/>
                <w:noProof/>
                <w:sz w:val="20"/>
                <w:szCs w:val="20"/>
              </w:rPr>
              <w:t>2.4.</w:t>
            </w:r>
            <w:r w:rsidRPr="00784F85">
              <w:rPr>
                <w:rFonts w:eastAsiaTheme="minorEastAsia"/>
                <w:noProof/>
                <w:sz w:val="20"/>
                <w:szCs w:val="20"/>
                <w:lang w:val="da-DK" w:eastAsia="da-DK"/>
              </w:rPr>
              <w:tab/>
            </w:r>
            <w:r w:rsidRPr="00784F85">
              <w:rPr>
                <w:rStyle w:val="Hyperlink"/>
                <w:noProof/>
                <w:sz w:val="20"/>
                <w:szCs w:val="20"/>
              </w:rPr>
              <w:t>Manuel d'achat de la FICR</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_Toc96934165 \h </w:instrText>
            </w:r>
            <w:r w:rsidRPr="00784F85">
              <w:rPr>
                <w:noProof/>
                <w:webHidden/>
                <w:sz w:val="20"/>
                <w:szCs w:val="20"/>
              </w:rPr>
            </w:r>
            <w:r w:rsidRPr="00784F85">
              <w:rPr>
                <w:noProof/>
                <w:webHidden/>
                <w:sz w:val="20"/>
                <w:szCs w:val="20"/>
              </w:rPr>
              <w:fldChar w:fldCharType="separate"/>
            </w:r>
            <w:r w:rsidR="00730241">
              <w:rPr>
                <w:noProof/>
                <w:webHidden/>
                <w:sz w:val="20"/>
                <w:szCs w:val="20"/>
              </w:rPr>
              <w:t>6</w:t>
            </w:r>
            <w:r w:rsidRPr="00784F85">
              <w:rPr>
                <w:noProof/>
                <w:webHidden/>
                <w:sz w:val="20"/>
                <w:szCs w:val="20"/>
              </w:rPr>
              <w:fldChar w:fldCharType="end"/>
            </w:r>
          </w:hyperlink>
        </w:p>
        <w:p w14:paraId="7B586B9F" w14:textId="1F36D123" w:rsidR="00784F85" w:rsidRPr="00784F85" w:rsidRDefault="00784F85">
          <w:pPr>
            <w:pStyle w:val="TOC2"/>
            <w:tabs>
              <w:tab w:val="left" w:pos="880"/>
              <w:tab w:val="right" w:leader="dot" w:pos="9016"/>
            </w:tabs>
            <w:rPr>
              <w:rFonts w:eastAsiaTheme="minorEastAsia"/>
              <w:noProof/>
              <w:sz w:val="20"/>
              <w:szCs w:val="20"/>
              <w:lang w:val="da-DK" w:eastAsia="da-DK"/>
            </w:rPr>
          </w:pPr>
          <w:hyperlink w:anchor="_Toc96934166" w:history="1">
            <w:r w:rsidRPr="00784F85">
              <w:rPr>
                <w:rStyle w:val="Hyperlink"/>
                <w:noProof/>
                <w:sz w:val="20"/>
                <w:szCs w:val="20"/>
              </w:rPr>
              <w:t>2.5.</w:t>
            </w:r>
            <w:r w:rsidRPr="00784F85">
              <w:rPr>
                <w:rFonts w:eastAsiaTheme="minorEastAsia"/>
                <w:noProof/>
                <w:sz w:val="20"/>
                <w:szCs w:val="20"/>
                <w:lang w:val="da-DK" w:eastAsia="da-DK"/>
              </w:rPr>
              <w:tab/>
            </w:r>
            <w:r w:rsidRPr="00784F85">
              <w:rPr>
                <w:rStyle w:val="Hyperlink"/>
                <w:noProof/>
                <w:sz w:val="20"/>
                <w:szCs w:val="20"/>
              </w:rPr>
              <w:t>Formation en ligne gratuite</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_Toc96934166 \h </w:instrText>
            </w:r>
            <w:r w:rsidRPr="00784F85">
              <w:rPr>
                <w:noProof/>
                <w:webHidden/>
                <w:sz w:val="20"/>
                <w:szCs w:val="20"/>
              </w:rPr>
            </w:r>
            <w:r w:rsidRPr="00784F85">
              <w:rPr>
                <w:noProof/>
                <w:webHidden/>
                <w:sz w:val="20"/>
                <w:szCs w:val="20"/>
              </w:rPr>
              <w:fldChar w:fldCharType="separate"/>
            </w:r>
            <w:r w:rsidR="00730241">
              <w:rPr>
                <w:noProof/>
                <w:webHidden/>
                <w:sz w:val="20"/>
                <w:szCs w:val="20"/>
              </w:rPr>
              <w:t>7</w:t>
            </w:r>
            <w:r w:rsidRPr="00784F85">
              <w:rPr>
                <w:noProof/>
                <w:webHidden/>
                <w:sz w:val="20"/>
                <w:szCs w:val="20"/>
              </w:rPr>
              <w:fldChar w:fldCharType="end"/>
            </w:r>
          </w:hyperlink>
        </w:p>
        <w:p w14:paraId="0A25A495" w14:textId="0554BB89" w:rsidR="00784F85" w:rsidRPr="00784F85" w:rsidRDefault="00784F85">
          <w:pPr>
            <w:pStyle w:val="TOC1"/>
            <w:tabs>
              <w:tab w:val="left" w:pos="440"/>
              <w:tab w:val="right" w:leader="dot" w:pos="9016"/>
            </w:tabs>
            <w:rPr>
              <w:rFonts w:eastAsiaTheme="minorEastAsia"/>
              <w:noProof/>
              <w:sz w:val="20"/>
              <w:szCs w:val="20"/>
              <w:lang w:val="da-DK" w:eastAsia="da-DK"/>
            </w:rPr>
          </w:pPr>
          <w:hyperlink w:anchor="_Toc96934167" w:history="1">
            <w:r w:rsidRPr="00784F85">
              <w:rPr>
                <w:rStyle w:val="Hyperlink"/>
                <w:noProof/>
                <w:sz w:val="20"/>
                <w:szCs w:val="20"/>
              </w:rPr>
              <w:t>3.</w:t>
            </w:r>
            <w:r w:rsidRPr="00784F85">
              <w:rPr>
                <w:rFonts w:eastAsiaTheme="minorEastAsia"/>
                <w:noProof/>
                <w:sz w:val="20"/>
                <w:szCs w:val="20"/>
                <w:lang w:val="da-DK" w:eastAsia="da-DK"/>
              </w:rPr>
              <w:tab/>
            </w:r>
            <w:r w:rsidRPr="00784F85">
              <w:rPr>
                <w:rStyle w:val="Hyperlink"/>
                <w:noProof/>
                <w:sz w:val="20"/>
                <w:szCs w:val="20"/>
              </w:rPr>
              <w:t>Accord-cadre de PSF</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_Toc96934167 \h </w:instrText>
            </w:r>
            <w:r w:rsidRPr="00784F85">
              <w:rPr>
                <w:noProof/>
                <w:webHidden/>
                <w:sz w:val="20"/>
                <w:szCs w:val="20"/>
              </w:rPr>
            </w:r>
            <w:r w:rsidRPr="00784F85">
              <w:rPr>
                <w:noProof/>
                <w:webHidden/>
                <w:sz w:val="20"/>
                <w:szCs w:val="20"/>
              </w:rPr>
              <w:fldChar w:fldCharType="separate"/>
            </w:r>
            <w:r w:rsidR="00730241">
              <w:rPr>
                <w:noProof/>
                <w:webHidden/>
                <w:sz w:val="20"/>
                <w:szCs w:val="20"/>
              </w:rPr>
              <w:t>7</w:t>
            </w:r>
            <w:r w:rsidRPr="00784F85">
              <w:rPr>
                <w:noProof/>
                <w:webHidden/>
                <w:sz w:val="20"/>
                <w:szCs w:val="20"/>
              </w:rPr>
              <w:fldChar w:fldCharType="end"/>
            </w:r>
          </w:hyperlink>
        </w:p>
        <w:p w14:paraId="6127984E" w14:textId="2704EA1F" w:rsidR="00784F85" w:rsidRPr="00784F85" w:rsidRDefault="00784F85">
          <w:pPr>
            <w:pStyle w:val="TOC1"/>
            <w:tabs>
              <w:tab w:val="left" w:pos="440"/>
              <w:tab w:val="right" w:leader="dot" w:pos="9016"/>
            </w:tabs>
            <w:rPr>
              <w:rFonts w:eastAsiaTheme="minorEastAsia"/>
              <w:noProof/>
              <w:sz w:val="20"/>
              <w:szCs w:val="20"/>
              <w:lang w:val="da-DK" w:eastAsia="da-DK"/>
            </w:rPr>
          </w:pPr>
          <w:hyperlink w:anchor="_Toc96934168" w:history="1">
            <w:r w:rsidRPr="00784F85">
              <w:rPr>
                <w:rStyle w:val="Hyperlink"/>
                <w:noProof/>
                <w:sz w:val="20"/>
                <w:szCs w:val="20"/>
              </w:rPr>
              <w:t>4.</w:t>
            </w:r>
            <w:r w:rsidRPr="00784F85">
              <w:rPr>
                <w:rFonts w:eastAsiaTheme="minorEastAsia"/>
                <w:noProof/>
                <w:sz w:val="20"/>
                <w:szCs w:val="20"/>
                <w:lang w:val="da-DK" w:eastAsia="da-DK"/>
              </w:rPr>
              <w:tab/>
            </w:r>
            <w:r w:rsidRPr="00784F85">
              <w:rPr>
                <w:rStyle w:val="Hyperlink"/>
                <w:noProof/>
                <w:sz w:val="20"/>
                <w:szCs w:val="20"/>
              </w:rPr>
              <w:t>Utilisation/activation de l'accord-cadre des PSF</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_Toc96934168 \h </w:instrText>
            </w:r>
            <w:r w:rsidRPr="00784F85">
              <w:rPr>
                <w:noProof/>
                <w:webHidden/>
                <w:sz w:val="20"/>
                <w:szCs w:val="20"/>
              </w:rPr>
            </w:r>
            <w:r w:rsidRPr="00784F85">
              <w:rPr>
                <w:noProof/>
                <w:webHidden/>
                <w:sz w:val="20"/>
                <w:szCs w:val="20"/>
              </w:rPr>
              <w:fldChar w:fldCharType="separate"/>
            </w:r>
            <w:r w:rsidR="00730241">
              <w:rPr>
                <w:noProof/>
                <w:webHidden/>
                <w:sz w:val="20"/>
                <w:szCs w:val="20"/>
              </w:rPr>
              <w:t>8</w:t>
            </w:r>
            <w:r w:rsidRPr="00784F85">
              <w:rPr>
                <w:noProof/>
                <w:webHidden/>
                <w:sz w:val="20"/>
                <w:szCs w:val="20"/>
              </w:rPr>
              <w:fldChar w:fldCharType="end"/>
            </w:r>
          </w:hyperlink>
        </w:p>
        <w:p w14:paraId="470AE0AC" w14:textId="60A1CE1C" w:rsidR="00784F85" w:rsidRPr="00784F85" w:rsidRDefault="00784F85">
          <w:pPr>
            <w:pStyle w:val="TOC1"/>
            <w:tabs>
              <w:tab w:val="left" w:pos="440"/>
              <w:tab w:val="right" w:leader="dot" w:pos="9016"/>
            </w:tabs>
            <w:rPr>
              <w:rFonts w:eastAsiaTheme="minorEastAsia"/>
              <w:noProof/>
              <w:sz w:val="20"/>
              <w:szCs w:val="20"/>
              <w:lang w:val="da-DK" w:eastAsia="da-DK"/>
            </w:rPr>
          </w:pPr>
          <w:hyperlink w:anchor="_Toc96934169" w:history="1">
            <w:r w:rsidRPr="00784F85">
              <w:rPr>
                <w:rStyle w:val="Hyperlink"/>
                <w:noProof/>
                <w:sz w:val="20"/>
                <w:szCs w:val="20"/>
              </w:rPr>
              <w:t>5.</w:t>
            </w:r>
            <w:r w:rsidRPr="00784F85">
              <w:rPr>
                <w:rFonts w:eastAsiaTheme="minorEastAsia"/>
                <w:noProof/>
                <w:sz w:val="20"/>
                <w:szCs w:val="20"/>
                <w:lang w:val="da-DK" w:eastAsia="da-DK"/>
              </w:rPr>
              <w:tab/>
            </w:r>
            <w:r w:rsidRPr="00784F85">
              <w:rPr>
                <w:rStyle w:val="Hyperlink"/>
                <w:noProof/>
                <w:sz w:val="20"/>
                <w:szCs w:val="20"/>
              </w:rPr>
              <w:t>Demande d'approbation exceptionnelle</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_Toc96934169 \h </w:instrText>
            </w:r>
            <w:r w:rsidRPr="00784F85">
              <w:rPr>
                <w:noProof/>
                <w:webHidden/>
                <w:sz w:val="20"/>
                <w:szCs w:val="20"/>
              </w:rPr>
            </w:r>
            <w:r w:rsidRPr="00784F85">
              <w:rPr>
                <w:noProof/>
                <w:webHidden/>
                <w:sz w:val="20"/>
                <w:szCs w:val="20"/>
              </w:rPr>
              <w:fldChar w:fldCharType="separate"/>
            </w:r>
            <w:r w:rsidR="00730241">
              <w:rPr>
                <w:noProof/>
                <w:webHidden/>
                <w:sz w:val="20"/>
                <w:szCs w:val="20"/>
              </w:rPr>
              <w:t>9</w:t>
            </w:r>
            <w:r w:rsidRPr="00784F85">
              <w:rPr>
                <w:noProof/>
                <w:webHidden/>
                <w:sz w:val="20"/>
                <w:szCs w:val="20"/>
              </w:rPr>
              <w:fldChar w:fldCharType="end"/>
            </w:r>
          </w:hyperlink>
        </w:p>
        <w:p w14:paraId="0759F563" w14:textId="017D2F5C" w:rsidR="00784F85" w:rsidRPr="00784F85" w:rsidRDefault="00784F85">
          <w:pPr>
            <w:pStyle w:val="TOC1"/>
            <w:tabs>
              <w:tab w:val="right" w:leader="dot" w:pos="9016"/>
            </w:tabs>
            <w:rPr>
              <w:rFonts w:eastAsiaTheme="minorEastAsia"/>
              <w:noProof/>
              <w:sz w:val="20"/>
              <w:szCs w:val="20"/>
              <w:lang w:val="da-DK" w:eastAsia="da-DK"/>
            </w:rPr>
          </w:pPr>
          <w:hyperlink w:anchor="_Toc96934170" w:history="1">
            <w:r w:rsidRPr="00784F85">
              <w:rPr>
                <w:rStyle w:val="Hyperlink"/>
                <w:noProof/>
                <w:sz w:val="20"/>
                <w:szCs w:val="20"/>
              </w:rPr>
              <w:t>Annexe 1 : Liste de contrôle des exigences de conformité de la FICR</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_Toc96934170 \h </w:instrText>
            </w:r>
            <w:r w:rsidRPr="00784F85">
              <w:rPr>
                <w:noProof/>
                <w:webHidden/>
                <w:sz w:val="20"/>
                <w:szCs w:val="20"/>
              </w:rPr>
            </w:r>
            <w:r w:rsidRPr="00784F85">
              <w:rPr>
                <w:noProof/>
                <w:webHidden/>
                <w:sz w:val="20"/>
                <w:szCs w:val="20"/>
              </w:rPr>
              <w:fldChar w:fldCharType="separate"/>
            </w:r>
            <w:r w:rsidR="00730241">
              <w:rPr>
                <w:noProof/>
                <w:webHidden/>
                <w:sz w:val="20"/>
                <w:szCs w:val="20"/>
              </w:rPr>
              <w:t>12</w:t>
            </w:r>
            <w:r w:rsidRPr="00784F85">
              <w:rPr>
                <w:noProof/>
                <w:webHidden/>
                <w:sz w:val="20"/>
                <w:szCs w:val="20"/>
              </w:rPr>
              <w:fldChar w:fldCharType="end"/>
            </w:r>
          </w:hyperlink>
        </w:p>
        <w:p w14:paraId="212794B5" w14:textId="09530652" w:rsidR="00784F85" w:rsidRPr="00784F85" w:rsidRDefault="00784F85">
          <w:pPr>
            <w:pStyle w:val="TOC1"/>
            <w:tabs>
              <w:tab w:val="right" w:leader="dot" w:pos="9016"/>
            </w:tabs>
            <w:rPr>
              <w:rFonts w:eastAsiaTheme="minorEastAsia"/>
              <w:noProof/>
              <w:sz w:val="20"/>
              <w:szCs w:val="20"/>
              <w:lang w:val="da-DK" w:eastAsia="da-DK"/>
            </w:rPr>
          </w:pPr>
          <w:hyperlink w:anchor="_Toc96934171" w:history="1">
            <w:r w:rsidRPr="00784F85">
              <w:rPr>
                <w:rStyle w:val="Hyperlink"/>
                <w:noProof/>
                <w:sz w:val="20"/>
                <w:szCs w:val="20"/>
              </w:rPr>
              <w:t>Annexe 2 : Déroulement du processus, rôles et responsabilités pour la sélection et la contractualisation des PSF</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_Toc96934171 \h </w:instrText>
            </w:r>
            <w:r w:rsidRPr="00784F85">
              <w:rPr>
                <w:noProof/>
                <w:webHidden/>
                <w:sz w:val="20"/>
                <w:szCs w:val="20"/>
              </w:rPr>
            </w:r>
            <w:r w:rsidRPr="00784F85">
              <w:rPr>
                <w:noProof/>
                <w:webHidden/>
                <w:sz w:val="20"/>
                <w:szCs w:val="20"/>
              </w:rPr>
              <w:fldChar w:fldCharType="separate"/>
            </w:r>
            <w:r w:rsidR="00730241">
              <w:rPr>
                <w:noProof/>
                <w:webHidden/>
                <w:sz w:val="20"/>
                <w:szCs w:val="20"/>
              </w:rPr>
              <w:t>16</w:t>
            </w:r>
            <w:r w:rsidRPr="00784F85">
              <w:rPr>
                <w:noProof/>
                <w:webHidden/>
                <w:sz w:val="20"/>
                <w:szCs w:val="20"/>
              </w:rPr>
              <w:fldChar w:fldCharType="end"/>
            </w:r>
          </w:hyperlink>
        </w:p>
        <w:p w14:paraId="0680B102" w14:textId="3E6B177D" w:rsidR="00784F85" w:rsidRPr="00784F85" w:rsidRDefault="00784F85">
          <w:pPr>
            <w:pStyle w:val="TOC1"/>
            <w:tabs>
              <w:tab w:val="right" w:leader="dot" w:pos="9016"/>
            </w:tabs>
            <w:rPr>
              <w:rFonts w:eastAsiaTheme="minorEastAsia"/>
              <w:noProof/>
              <w:sz w:val="20"/>
              <w:szCs w:val="20"/>
              <w:lang w:val="da-DK" w:eastAsia="da-DK"/>
            </w:rPr>
          </w:pPr>
          <w:hyperlink w:anchor="_Toc96934172" w:history="1">
            <w:r w:rsidRPr="00784F85">
              <w:rPr>
                <w:rStyle w:val="Hyperlink"/>
                <w:noProof/>
                <w:sz w:val="20"/>
                <w:szCs w:val="20"/>
              </w:rPr>
              <w:t>Annexe 3 : Glossaire des termes</w:t>
            </w:r>
            <w:r w:rsidRPr="00784F85">
              <w:rPr>
                <w:noProof/>
                <w:webHidden/>
                <w:sz w:val="20"/>
                <w:szCs w:val="20"/>
              </w:rPr>
              <w:tab/>
            </w:r>
            <w:r w:rsidRPr="00784F85">
              <w:rPr>
                <w:noProof/>
                <w:webHidden/>
                <w:sz w:val="20"/>
                <w:szCs w:val="20"/>
              </w:rPr>
              <w:fldChar w:fldCharType="begin"/>
            </w:r>
            <w:r w:rsidRPr="00784F85">
              <w:rPr>
                <w:noProof/>
                <w:webHidden/>
                <w:sz w:val="20"/>
                <w:szCs w:val="20"/>
              </w:rPr>
              <w:instrText xml:space="preserve"> PAGEREF _Toc96934172 \h </w:instrText>
            </w:r>
            <w:r w:rsidRPr="00784F85">
              <w:rPr>
                <w:noProof/>
                <w:webHidden/>
                <w:sz w:val="20"/>
                <w:szCs w:val="20"/>
              </w:rPr>
            </w:r>
            <w:r w:rsidRPr="00784F85">
              <w:rPr>
                <w:noProof/>
                <w:webHidden/>
                <w:sz w:val="20"/>
                <w:szCs w:val="20"/>
              </w:rPr>
              <w:fldChar w:fldCharType="separate"/>
            </w:r>
            <w:r w:rsidR="00730241">
              <w:rPr>
                <w:noProof/>
                <w:webHidden/>
                <w:sz w:val="20"/>
                <w:szCs w:val="20"/>
              </w:rPr>
              <w:t>21</w:t>
            </w:r>
            <w:r w:rsidRPr="00784F85">
              <w:rPr>
                <w:noProof/>
                <w:webHidden/>
                <w:sz w:val="20"/>
                <w:szCs w:val="20"/>
              </w:rPr>
              <w:fldChar w:fldCharType="end"/>
            </w:r>
          </w:hyperlink>
        </w:p>
        <w:p w14:paraId="7BBDEEFC" w14:textId="69B4C14F" w:rsidR="006C08EB" w:rsidRPr="006E5C59" w:rsidRDefault="006C08EB" w:rsidP="00D5513C">
          <w:pPr>
            <w:jc w:val="both"/>
            <w:rPr>
              <w:sz w:val="20"/>
            </w:rPr>
          </w:pPr>
          <w:r w:rsidRPr="00784F85">
            <w:rPr>
              <w:b/>
              <w:sz w:val="20"/>
              <w:szCs w:val="20"/>
            </w:rPr>
            <w:fldChar w:fldCharType="end"/>
          </w:r>
        </w:p>
      </w:sdtContent>
    </w:sdt>
    <w:p w14:paraId="6BFFD07B" w14:textId="0711BA22" w:rsidR="00EB6FD2" w:rsidRPr="006E5C59" w:rsidRDefault="006C08EB" w:rsidP="003F72A2">
      <w:pPr>
        <w:pStyle w:val="Heading1"/>
        <w:numPr>
          <w:ilvl w:val="0"/>
          <w:numId w:val="0"/>
        </w:numPr>
      </w:pPr>
      <w:bookmarkStart w:id="0" w:name="_Toc96934157"/>
      <w:r>
        <w:t>Abréviations*</w:t>
      </w:r>
      <w:bookmarkEnd w:id="0"/>
      <w:r>
        <w:t xml:space="preserve"> </w:t>
      </w:r>
    </w:p>
    <w:p w14:paraId="26830D2A" w14:textId="74456E3B" w:rsidR="0021616D" w:rsidRPr="006E5C59" w:rsidRDefault="0021616D" w:rsidP="00D5513C">
      <w:pPr>
        <w:spacing w:after="60"/>
        <w:jc w:val="both"/>
        <w:rPr>
          <w:sz w:val="20"/>
          <w:szCs w:val="20"/>
        </w:rPr>
      </w:pPr>
      <w:r w:rsidRPr="000C653F">
        <w:rPr>
          <w:b/>
          <w:bCs/>
          <w:sz w:val="20"/>
        </w:rPr>
        <w:t>BRA</w:t>
      </w:r>
      <w:r>
        <w:rPr>
          <w:sz w:val="20"/>
        </w:rPr>
        <w:tab/>
      </w:r>
      <w:r>
        <w:rPr>
          <w:sz w:val="20"/>
        </w:rPr>
        <w:tab/>
        <w:t xml:space="preserve"> Bureau régional pour l'Afrique </w:t>
      </w:r>
    </w:p>
    <w:p w14:paraId="26A2B091" w14:textId="51BC5D81" w:rsidR="00D5513C" w:rsidRPr="006E5C59" w:rsidRDefault="00D5513C" w:rsidP="00D5513C">
      <w:pPr>
        <w:spacing w:after="60"/>
        <w:jc w:val="both"/>
        <w:rPr>
          <w:sz w:val="20"/>
          <w:szCs w:val="20"/>
        </w:rPr>
      </w:pPr>
      <w:r>
        <w:rPr>
          <w:b/>
          <w:sz w:val="20"/>
        </w:rPr>
        <w:t xml:space="preserve">COC </w:t>
      </w:r>
      <w:r>
        <w:tab/>
      </w:r>
      <w:r>
        <w:tab/>
        <w:t>Comité des contrats</w:t>
      </w:r>
      <w:r>
        <w:rPr>
          <w:sz w:val="20"/>
        </w:rPr>
        <w:t xml:space="preserve"> </w:t>
      </w:r>
    </w:p>
    <w:p w14:paraId="0437BB31" w14:textId="2E084303" w:rsidR="00EA3BB1" w:rsidRPr="006E5C59" w:rsidRDefault="00EA3BB1" w:rsidP="00D5513C">
      <w:pPr>
        <w:spacing w:after="60"/>
        <w:jc w:val="both"/>
        <w:rPr>
          <w:sz w:val="20"/>
          <w:szCs w:val="20"/>
        </w:rPr>
      </w:pPr>
      <w:r>
        <w:rPr>
          <w:b/>
          <w:bCs/>
          <w:sz w:val="20"/>
        </w:rPr>
        <w:t>TM</w:t>
      </w:r>
      <w:r>
        <w:rPr>
          <w:sz w:val="20"/>
        </w:rPr>
        <w:tab/>
      </w:r>
      <w:r>
        <w:rPr>
          <w:sz w:val="20"/>
        </w:rPr>
        <w:tab/>
        <w:t xml:space="preserve">Transferts monétaires </w:t>
      </w:r>
    </w:p>
    <w:p w14:paraId="77D550A0" w14:textId="064EA0B5" w:rsidR="001F24D4" w:rsidRPr="006E5C59" w:rsidRDefault="00EA3BB1" w:rsidP="00D5513C">
      <w:pPr>
        <w:spacing w:after="60"/>
        <w:jc w:val="both"/>
        <w:rPr>
          <w:sz w:val="20"/>
          <w:szCs w:val="20"/>
        </w:rPr>
      </w:pPr>
      <w:r>
        <w:rPr>
          <w:b/>
          <w:sz w:val="20"/>
        </w:rPr>
        <w:t>PSF</w:t>
      </w:r>
      <w:r>
        <w:rPr>
          <w:b/>
          <w:sz w:val="20"/>
        </w:rPr>
        <w:tab/>
      </w:r>
      <w:r>
        <w:rPr>
          <w:b/>
          <w:sz w:val="20"/>
        </w:rPr>
        <w:tab/>
      </w:r>
      <w:r>
        <w:rPr>
          <w:sz w:val="20"/>
        </w:rPr>
        <w:t>Prestataire de services financiers</w:t>
      </w:r>
    </w:p>
    <w:p w14:paraId="6FD40A0B" w14:textId="22C1AC72" w:rsidR="00EA3BB1" w:rsidRPr="006E5C59" w:rsidRDefault="001F24D4" w:rsidP="00D5513C">
      <w:pPr>
        <w:spacing w:after="60"/>
        <w:jc w:val="both"/>
        <w:rPr>
          <w:sz w:val="20"/>
          <w:szCs w:val="20"/>
        </w:rPr>
      </w:pPr>
      <w:r>
        <w:rPr>
          <w:b/>
          <w:sz w:val="20"/>
        </w:rPr>
        <w:t>FICR</w:t>
      </w:r>
      <w:r>
        <w:rPr>
          <w:b/>
          <w:sz w:val="20"/>
        </w:rPr>
        <w:tab/>
      </w:r>
      <w:r>
        <w:rPr>
          <w:b/>
          <w:sz w:val="20"/>
        </w:rPr>
        <w:tab/>
      </w:r>
      <w:r>
        <w:rPr>
          <w:sz w:val="20"/>
        </w:rPr>
        <w:t xml:space="preserve">Fédération internationale des sociétés de la Croix-Rouge et du Croissant-Rouge </w:t>
      </w:r>
    </w:p>
    <w:p w14:paraId="29BECF99" w14:textId="4F30F6F6" w:rsidR="003102EA" w:rsidRPr="006E5C59" w:rsidRDefault="003102EA" w:rsidP="00D5513C">
      <w:pPr>
        <w:spacing w:after="60"/>
        <w:jc w:val="both"/>
        <w:rPr>
          <w:sz w:val="20"/>
          <w:szCs w:val="20"/>
        </w:rPr>
      </w:pPr>
      <w:r>
        <w:rPr>
          <w:b/>
          <w:bCs/>
          <w:sz w:val="20"/>
        </w:rPr>
        <w:t>KYC</w:t>
      </w:r>
      <w:r>
        <w:rPr>
          <w:sz w:val="20"/>
        </w:rPr>
        <w:tab/>
      </w:r>
      <w:r>
        <w:rPr>
          <w:sz w:val="20"/>
        </w:rPr>
        <w:tab/>
        <w:t xml:space="preserve">Connaissance de la clientèle </w:t>
      </w:r>
    </w:p>
    <w:p w14:paraId="247F235F" w14:textId="3376B63E" w:rsidR="007C27C4" w:rsidRPr="006E5C59" w:rsidRDefault="007C27C4" w:rsidP="00D5513C">
      <w:pPr>
        <w:spacing w:after="60"/>
        <w:jc w:val="both"/>
        <w:rPr>
          <w:b/>
          <w:bCs/>
          <w:sz w:val="20"/>
          <w:szCs w:val="20"/>
        </w:rPr>
      </w:pPr>
      <w:r>
        <w:rPr>
          <w:b/>
          <w:sz w:val="20"/>
        </w:rPr>
        <w:t>LR</w:t>
      </w:r>
      <w:r>
        <w:rPr>
          <w:b/>
          <w:sz w:val="20"/>
        </w:rPr>
        <w:tab/>
      </w:r>
      <w:r>
        <w:rPr>
          <w:b/>
          <w:sz w:val="20"/>
        </w:rPr>
        <w:tab/>
      </w:r>
      <w:r>
        <w:rPr>
          <w:sz w:val="20"/>
        </w:rPr>
        <w:t xml:space="preserve">Réquisition logistique </w:t>
      </w:r>
    </w:p>
    <w:p w14:paraId="073BAFE3" w14:textId="6717D894" w:rsidR="00883D54" w:rsidRPr="006E5C59" w:rsidRDefault="00883D54" w:rsidP="00D5513C">
      <w:pPr>
        <w:spacing w:after="60"/>
        <w:jc w:val="both"/>
        <w:rPr>
          <w:sz w:val="20"/>
          <w:szCs w:val="20"/>
        </w:rPr>
      </w:pPr>
      <w:r>
        <w:rPr>
          <w:b/>
          <w:bCs/>
          <w:sz w:val="20"/>
        </w:rPr>
        <w:t>TMUM</w:t>
      </w:r>
      <w:r>
        <w:rPr>
          <w:sz w:val="20"/>
        </w:rPr>
        <w:tab/>
      </w:r>
      <w:r>
        <w:rPr>
          <w:sz w:val="20"/>
        </w:rPr>
        <w:tab/>
        <w:t>Transferts monétaires à usages multiples</w:t>
      </w:r>
    </w:p>
    <w:p w14:paraId="273D03AC" w14:textId="7D50CB28" w:rsidR="001F24D4" w:rsidRPr="006E5C59" w:rsidRDefault="001F24D4" w:rsidP="00D5513C">
      <w:pPr>
        <w:spacing w:after="60"/>
        <w:jc w:val="both"/>
        <w:rPr>
          <w:sz w:val="20"/>
          <w:szCs w:val="20"/>
        </w:rPr>
      </w:pPr>
      <w:r>
        <w:rPr>
          <w:b/>
          <w:bCs/>
          <w:sz w:val="20"/>
        </w:rPr>
        <w:t>SN</w:t>
      </w:r>
      <w:r>
        <w:rPr>
          <w:sz w:val="20"/>
        </w:rPr>
        <w:tab/>
      </w:r>
      <w:r>
        <w:rPr>
          <w:sz w:val="20"/>
        </w:rPr>
        <w:tab/>
        <w:t xml:space="preserve">Société nationale </w:t>
      </w:r>
    </w:p>
    <w:p w14:paraId="38D59EE5" w14:textId="3F90B818" w:rsidR="001F24D4" w:rsidRPr="006E5C59" w:rsidRDefault="001F24D4" w:rsidP="00D5513C">
      <w:pPr>
        <w:spacing w:after="60"/>
        <w:jc w:val="both"/>
        <w:rPr>
          <w:sz w:val="20"/>
          <w:szCs w:val="20"/>
        </w:rPr>
      </w:pPr>
      <w:r>
        <w:rPr>
          <w:b/>
          <w:bCs/>
          <w:sz w:val="20"/>
        </w:rPr>
        <w:t>SNP</w:t>
      </w:r>
      <w:r>
        <w:rPr>
          <w:sz w:val="20"/>
        </w:rPr>
        <w:tab/>
      </w:r>
      <w:r>
        <w:rPr>
          <w:sz w:val="20"/>
        </w:rPr>
        <w:tab/>
        <w:t xml:space="preserve">Société nationale partenaire </w:t>
      </w:r>
    </w:p>
    <w:p w14:paraId="2DF354E6" w14:textId="3A489438" w:rsidR="007E3547" w:rsidRPr="006E5C59" w:rsidRDefault="007E3547" w:rsidP="00D5513C">
      <w:pPr>
        <w:spacing w:after="60"/>
        <w:jc w:val="both"/>
        <w:rPr>
          <w:sz w:val="20"/>
          <w:szCs w:val="20"/>
        </w:rPr>
      </w:pPr>
      <w:r>
        <w:rPr>
          <w:b/>
          <w:bCs/>
          <w:sz w:val="20"/>
        </w:rPr>
        <w:t>RLU</w:t>
      </w:r>
      <w:r>
        <w:rPr>
          <w:sz w:val="20"/>
        </w:rPr>
        <w:tab/>
      </w:r>
      <w:r>
        <w:rPr>
          <w:sz w:val="20"/>
        </w:rPr>
        <w:tab/>
        <w:t>Unité logistique régionale</w:t>
      </w:r>
    </w:p>
    <w:p w14:paraId="1B2A13C5" w14:textId="40CDB50B" w:rsidR="001F24D4" w:rsidRPr="006E5C59" w:rsidRDefault="001F24D4" w:rsidP="00D5513C">
      <w:pPr>
        <w:spacing w:after="60"/>
        <w:jc w:val="both"/>
        <w:rPr>
          <w:sz w:val="20"/>
          <w:szCs w:val="20"/>
        </w:rPr>
      </w:pPr>
      <w:r>
        <w:rPr>
          <w:b/>
          <w:bCs/>
          <w:sz w:val="20"/>
        </w:rPr>
        <w:t>SOP</w:t>
      </w:r>
      <w:r>
        <w:rPr>
          <w:sz w:val="20"/>
        </w:rPr>
        <w:tab/>
      </w:r>
      <w:r>
        <w:rPr>
          <w:sz w:val="20"/>
        </w:rPr>
        <w:tab/>
        <w:t>Procédures opérationnelle normalisées</w:t>
      </w:r>
    </w:p>
    <w:p w14:paraId="04339882" w14:textId="77777777" w:rsidR="00D5513C" w:rsidRPr="006E5C59" w:rsidRDefault="00EA3BB1" w:rsidP="00D5513C">
      <w:pPr>
        <w:spacing w:after="60"/>
        <w:jc w:val="both"/>
        <w:rPr>
          <w:sz w:val="20"/>
          <w:szCs w:val="20"/>
        </w:rPr>
      </w:pPr>
      <w:proofErr w:type="spellStart"/>
      <w:r>
        <w:rPr>
          <w:b/>
          <w:sz w:val="20"/>
        </w:rPr>
        <w:t>SoW</w:t>
      </w:r>
      <w:proofErr w:type="spellEnd"/>
      <w:r>
        <w:rPr>
          <w:b/>
          <w:sz w:val="20"/>
        </w:rPr>
        <w:tab/>
      </w:r>
      <w:r>
        <w:rPr>
          <w:b/>
          <w:sz w:val="20"/>
        </w:rPr>
        <w:tab/>
      </w:r>
      <w:r>
        <w:rPr>
          <w:sz w:val="20"/>
        </w:rPr>
        <w:t>Cahier des charges</w:t>
      </w:r>
    </w:p>
    <w:p w14:paraId="75BCDD69" w14:textId="77777777" w:rsidR="007306D5" w:rsidRPr="006E5C59" w:rsidRDefault="007306D5" w:rsidP="00D5513C">
      <w:pPr>
        <w:rPr>
          <w:sz w:val="20"/>
          <w:szCs w:val="20"/>
        </w:rPr>
      </w:pPr>
    </w:p>
    <w:p w14:paraId="16140D4B" w14:textId="79A14E98" w:rsidR="00C27C0B" w:rsidRPr="006E5C59" w:rsidRDefault="00D5513C" w:rsidP="00D5513C">
      <w:pPr>
        <w:rPr>
          <w:rFonts w:asciiTheme="majorHAnsi" w:eastAsiaTheme="majorEastAsia" w:hAnsiTheme="majorHAnsi" w:cstheme="majorBidi"/>
          <w:color w:val="FF0000"/>
          <w:sz w:val="28"/>
          <w:szCs w:val="28"/>
        </w:rPr>
      </w:pPr>
      <w:r>
        <w:rPr>
          <w:sz w:val="20"/>
        </w:rPr>
        <w:t xml:space="preserve">*Voir également, </w:t>
      </w:r>
      <w:hyperlink w:anchor="_Annex_3:_Glossary" w:history="1">
        <w:r>
          <w:rPr>
            <w:rStyle w:val="Hyperlink"/>
            <w:sz w:val="20"/>
          </w:rPr>
          <w:t>Annexe 3 :</w:t>
        </w:r>
      </w:hyperlink>
      <w:hyperlink w:anchor="_Annex_3:_Glossary" w:history="1">
        <w:r>
          <w:rPr>
            <w:rStyle w:val="Hyperlink"/>
            <w:sz w:val="20"/>
          </w:rPr>
          <w:t xml:space="preserve"> Glossaire des termes</w:t>
        </w:r>
      </w:hyperlink>
      <w:r>
        <w:br w:type="page"/>
      </w:r>
    </w:p>
    <w:p w14:paraId="009F1D41" w14:textId="044CEC5B" w:rsidR="00EA3BB1" w:rsidRPr="006E5C59" w:rsidRDefault="00EA3BB1" w:rsidP="00BB4100">
      <w:pPr>
        <w:pStyle w:val="Heading1"/>
      </w:pPr>
      <w:bookmarkStart w:id="1" w:name="_Toc96934158"/>
      <w:r>
        <w:lastRenderedPageBreak/>
        <w:t>Introduction</w:t>
      </w:r>
      <w:bookmarkEnd w:id="1"/>
      <w:r>
        <w:t xml:space="preserve"> </w:t>
      </w:r>
    </w:p>
    <w:p w14:paraId="761A9A38" w14:textId="27F803A3" w:rsidR="003643E6" w:rsidRPr="006E5C59" w:rsidRDefault="003643E6" w:rsidP="4E67F93F">
      <w:pPr>
        <w:jc w:val="both"/>
        <w:rPr>
          <w:sz w:val="20"/>
          <w:szCs w:val="20"/>
        </w:rPr>
      </w:pPr>
      <w:r>
        <w:rPr>
          <w:sz w:val="20"/>
        </w:rPr>
        <w:t>Le recours aux Transferts monétaires (TM) nécessite souvent l'intégration d'une tierce partie, telle qu'une banque, une société de téléphonie mobile ou un vendeur de coupons, dans le processus de fourniture de la « dernière étape ». L'évaluation et la sélection de ces prestataires sont essentielles car leur performance a un impact direct sur la qualité de l'assistance fournie. Les processus et procédures de passation de marchés contribuent à garantir que le prestataire approprié est sélectionné et permettent de gérer les risques et d'offrir un ensemble de contrôles et d'équilibres. Ils sont essentiels pour sélectionner des services qui permettent aux bénéficiaires de recevoir la bonne assistance de la bonne manière, qui disposent de points de retrait et de liquidités suffisants, qui peuvent atteindre les personnes en temps voulu, qui sont conformes aux réglementations financières locales et qui ont une couverture suffisante.</w:t>
      </w:r>
    </w:p>
    <w:p w14:paraId="37D53364" w14:textId="6341CAE8" w:rsidR="00286D96" w:rsidRPr="006E5C59" w:rsidRDefault="009700E0" w:rsidP="00995B18">
      <w:pPr>
        <w:jc w:val="both"/>
        <w:rPr>
          <w:sz w:val="20"/>
          <w:szCs w:val="20"/>
        </w:rPr>
      </w:pPr>
      <w:r>
        <w:rPr>
          <w:sz w:val="20"/>
        </w:rPr>
        <w:t xml:space="preserve">Le document suivant détaille les processus relatifs à l'achat de prestataires de services financiers (PSF). L'acquisition des PSF doit être menée par le programme de la Société nationale (SN) et le personnel logistique, suivie de près par les homologues de la FICR dans les bureaux du Cluster et soutenue par le Bureau régional (BR). </w:t>
      </w:r>
    </w:p>
    <w:p w14:paraId="21AC4E05" w14:textId="783723B4" w:rsidR="00BB7DEF" w:rsidRDefault="00464419" w:rsidP="00D11C5E">
      <w:pPr>
        <w:jc w:val="both"/>
        <w:rPr>
          <w:sz w:val="20"/>
          <w:szCs w:val="20"/>
        </w:rPr>
      </w:pPr>
      <w:r>
        <w:rPr>
          <w:sz w:val="20"/>
        </w:rPr>
        <w:t xml:space="preserve">Avant de commencer le processus de sélection d'un prestataire de services financiers, la SN doit réaliser une analyse de faisabilité des TM et une cartographie des PSF. Plus de détails sur ces étapes sont disponibles dans le document « Flux du processus des TM », qui est disponible </w:t>
      </w:r>
      <w:hyperlink r:id="rId15" w:anchor="other-key-docs" w:history="1">
        <w:r w:rsidRPr="00D8076C">
          <w:rPr>
            <w:rStyle w:val="Hyperlink"/>
            <w:sz w:val="20"/>
          </w:rPr>
          <w:t>ici</w:t>
        </w:r>
      </w:hyperlink>
      <w:r w:rsidR="00D8076C">
        <w:rPr>
          <w:sz w:val="20"/>
        </w:rPr>
        <w:t xml:space="preserve">. </w:t>
      </w:r>
      <w:r>
        <w:rPr>
          <w:sz w:val="20"/>
        </w:rPr>
        <w:t xml:space="preserve"> </w:t>
      </w:r>
      <w:bookmarkStart w:id="2" w:name="_Toc352182602"/>
      <w:bookmarkStart w:id="3" w:name="_Toc352182873"/>
      <w:bookmarkStart w:id="4" w:name="_Toc71573661"/>
    </w:p>
    <w:p w14:paraId="150728C9" w14:textId="17E933CF" w:rsidR="00134EBF" w:rsidRPr="006E5C59" w:rsidRDefault="00113C0C" w:rsidP="00BB7DEF">
      <w:pPr>
        <w:pStyle w:val="Heading2"/>
      </w:pPr>
      <w:bookmarkStart w:id="5" w:name="_Toc96934159"/>
      <w:r>
        <w:t>Objectif et public du document</w:t>
      </w:r>
      <w:bookmarkEnd w:id="2"/>
      <w:bookmarkEnd w:id="3"/>
      <w:bookmarkEnd w:id="4"/>
      <w:bookmarkEnd w:id="5"/>
      <w:r>
        <w:t xml:space="preserve"> </w:t>
      </w:r>
    </w:p>
    <w:p w14:paraId="2D44D86F" w14:textId="38FCAA5E" w:rsidR="00D43B20" w:rsidRPr="00431454" w:rsidRDefault="00D43B20" w:rsidP="00D43B20">
      <w:pPr>
        <w:spacing w:after="240" w:line="276" w:lineRule="auto"/>
        <w:rPr>
          <w:sz w:val="20"/>
          <w:szCs w:val="20"/>
        </w:rPr>
      </w:pPr>
      <w:bookmarkStart w:id="6" w:name="_Hlk528062824"/>
      <w:r w:rsidRPr="00431454">
        <w:rPr>
          <w:sz w:val="20"/>
          <w:szCs w:val="20"/>
        </w:rPr>
        <w:t>L'objectif de ce document est de fournir des lignes directrices pour aider le personnel et les volontaires des SN et de la FICR à suivre les meilleures pratiques en matière de passation de marchés, en gérant les contrats des prestataires, les contrôles de qualité et toutes les autres étapes essentielles à la réussite des appels d'offres des prestataires de services financiers pour les programmes de TM</w:t>
      </w:r>
      <w:bookmarkEnd w:id="6"/>
      <w:r w:rsidRPr="00431454">
        <w:rPr>
          <w:sz w:val="20"/>
          <w:szCs w:val="20"/>
        </w:rPr>
        <w:t>.</w:t>
      </w:r>
    </w:p>
    <w:p w14:paraId="59385D5D" w14:textId="4567CBFE" w:rsidR="00134EBF" w:rsidRPr="00431454" w:rsidRDefault="00134EBF" w:rsidP="00AD7F8F">
      <w:pPr>
        <w:jc w:val="both"/>
        <w:rPr>
          <w:bCs/>
          <w:sz w:val="20"/>
          <w:szCs w:val="20"/>
        </w:rPr>
      </w:pPr>
      <w:r w:rsidRPr="00431454">
        <w:rPr>
          <w:sz w:val="20"/>
          <w:szCs w:val="20"/>
        </w:rPr>
        <w:t xml:space="preserve">Ce document est soutenu par la </w:t>
      </w:r>
      <w:hyperlink r:id="rId16" w:history="1">
        <w:r w:rsidRPr="00431454">
          <w:rPr>
            <w:rStyle w:val="Hyperlink"/>
            <w:sz w:val="20"/>
            <w:szCs w:val="20"/>
          </w:rPr>
          <w:t>boîte à outils Cash in Emergencies</w:t>
        </w:r>
      </w:hyperlink>
      <w:r w:rsidRPr="00431454">
        <w:rPr>
          <w:rStyle w:val="Hyperlink"/>
          <w:sz w:val="20"/>
          <w:szCs w:val="20"/>
        </w:rPr>
        <w:t xml:space="preserve"> (</w:t>
      </w:r>
      <w:proofErr w:type="spellStart"/>
      <w:r w:rsidR="00C93EE6">
        <w:rPr>
          <w:rStyle w:val="Hyperlink"/>
          <w:sz w:val="20"/>
          <w:szCs w:val="20"/>
        </w:rPr>
        <w:t>fr</w:t>
      </w:r>
      <w:proofErr w:type="spellEnd"/>
      <w:r w:rsidRPr="00431454">
        <w:rPr>
          <w:rStyle w:val="Hyperlink"/>
          <w:sz w:val="20"/>
          <w:szCs w:val="20"/>
        </w:rPr>
        <w:t>)</w:t>
      </w:r>
      <w:r w:rsidRPr="00431454">
        <w:rPr>
          <w:sz w:val="20"/>
          <w:szCs w:val="20"/>
        </w:rPr>
        <w:t xml:space="preserve">, </w:t>
      </w:r>
      <w:hyperlink r:id="rId17" w:history="1">
        <w:proofErr w:type="spellStart"/>
        <w:r w:rsidR="00CF56B3" w:rsidRPr="00CF56B3">
          <w:rPr>
            <w:rStyle w:val="Hyperlink"/>
            <w:sz w:val="20"/>
            <w:szCs w:val="20"/>
          </w:rPr>
          <w:t>FICR</w:t>
        </w:r>
        <w:r w:rsidRPr="00CF56B3">
          <w:rPr>
            <w:rStyle w:val="Hyperlink"/>
            <w:sz w:val="20"/>
            <w:szCs w:val="20"/>
          </w:rPr>
          <w:t>’s</w:t>
        </w:r>
        <w:proofErr w:type="spellEnd"/>
        <w:r w:rsidR="00EE26CC" w:rsidRPr="00CF56B3">
          <w:rPr>
            <w:rStyle w:val="Hyperlink"/>
            <w:sz w:val="20"/>
            <w:szCs w:val="20"/>
          </w:rPr>
          <w:t xml:space="preserve"> </w:t>
        </w:r>
        <w:r w:rsidRPr="00CF56B3">
          <w:rPr>
            <w:rStyle w:val="Hyperlink"/>
            <w:sz w:val="20"/>
            <w:szCs w:val="20"/>
          </w:rPr>
          <w:t xml:space="preserve">TM </w:t>
        </w:r>
        <w:r w:rsidR="00C93EE6" w:rsidRPr="00CF56B3">
          <w:rPr>
            <w:rStyle w:val="Hyperlink"/>
            <w:sz w:val="20"/>
            <w:szCs w:val="20"/>
          </w:rPr>
          <w:t>Guides programmatiques</w:t>
        </w:r>
      </w:hyperlink>
      <w:r w:rsidRPr="00431454">
        <w:rPr>
          <w:sz w:val="20"/>
          <w:szCs w:val="20"/>
        </w:rPr>
        <w:t xml:space="preserve"> et d'autres ressources </w:t>
      </w:r>
      <w:r w:rsidR="00434529">
        <w:rPr>
          <w:sz w:val="20"/>
          <w:szCs w:val="20"/>
        </w:rPr>
        <w:t xml:space="preserve">de </w:t>
      </w:r>
      <w:hyperlink r:id="rId18" w:history="1">
        <w:r w:rsidRPr="00431454">
          <w:rPr>
            <w:rStyle w:val="Hyperlink"/>
            <w:sz w:val="20"/>
            <w:szCs w:val="20"/>
          </w:rPr>
          <w:t>Cash Hub (</w:t>
        </w:r>
        <w:proofErr w:type="spellStart"/>
        <w:r w:rsidRPr="00431454">
          <w:rPr>
            <w:rStyle w:val="Hyperlink"/>
            <w:sz w:val="20"/>
            <w:szCs w:val="20"/>
          </w:rPr>
          <w:t>fr</w:t>
        </w:r>
        <w:proofErr w:type="spellEnd"/>
        <w:r w:rsidRPr="00431454">
          <w:rPr>
            <w:rStyle w:val="Hyperlink"/>
            <w:sz w:val="20"/>
            <w:szCs w:val="20"/>
          </w:rPr>
          <w:t>)</w:t>
        </w:r>
      </w:hyperlink>
      <w:r w:rsidRPr="00431454">
        <w:rPr>
          <w:sz w:val="20"/>
          <w:szCs w:val="20"/>
        </w:rPr>
        <w:t xml:space="preserve">. </w:t>
      </w:r>
    </w:p>
    <w:p w14:paraId="6262AB46" w14:textId="66E29506" w:rsidR="00134EBF" w:rsidRPr="006E5C59" w:rsidRDefault="00134EBF" w:rsidP="0006550B">
      <w:pPr>
        <w:pStyle w:val="Heading2"/>
      </w:pPr>
      <w:bookmarkStart w:id="7" w:name="_Toc352182875"/>
      <w:bookmarkStart w:id="8" w:name="_Toc71573663"/>
      <w:bookmarkStart w:id="9" w:name="_Toc96934160"/>
      <w:r>
        <w:t>A qui s'adresse ce document ?</w:t>
      </w:r>
      <w:bookmarkEnd w:id="7"/>
      <w:bookmarkEnd w:id="8"/>
      <w:bookmarkEnd w:id="9"/>
      <w:r>
        <w:t xml:space="preserve"> </w:t>
      </w:r>
    </w:p>
    <w:p w14:paraId="7E518B3F" w14:textId="75D6938E" w:rsidR="00134EBF" w:rsidRPr="006E5C59" w:rsidRDefault="00134EBF" w:rsidP="00AD7F8F">
      <w:pPr>
        <w:jc w:val="both"/>
        <w:rPr>
          <w:sz w:val="20"/>
          <w:szCs w:val="20"/>
        </w:rPr>
      </w:pPr>
      <w:r>
        <w:rPr>
          <w:sz w:val="20"/>
        </w:rPr>
        <w:t xml:space="preserve">Ce document fournit une explication générique des processus internes de la FICR pour les TM, à utiliser au niveau du Bureau régional pour l'Afrique (BRA) (Nairobi), par les Bureaux </w:t>
      </w:r>
      <w:proofErr w:type="spellStart"/>
      <w:r>
        <w:rPr>
          <w:sz w:val="20"/>
        </w:rPr>
        <w:t>multipays</w:t>
      </w:r>
      <w:proofErr w:type="spellEnd"/>
      <w:r>
        <w:rPr>
          <w:sz w:val="20"/>
        </w:rPr>
        <w:t xml:space="preserve"> et par les Sociétés nationales (SN), y compris les fonctions du personnel dans : </w:t>
      </w:r>
    </w:p>
    <w:p w14:paraId="1957E288" w14:textId="7EC2461D" w:rsidR="00134EBF" w:rsidRPr="006E5C59" w:rsidRDefault="00134EBF" w:rsidP="00DB6AC2">
      <w:pPr>
        <w:pStyle w:val="ListParagraph"/>
        <w:numPr>
          <w:ilvl w:val="0"/>
          <w:numId w:val="4"/>
        </w:numPr>
        <w:jc w:val="both"/>
        <w:rPr>
          <w:sz w:val="20"/>
          <w:szCs w:val="20"/>
        </w:rPr>
      </w:pPr>
      <w:r>
        <w:rPr>
          <w:b/>
          <w:bCs/>
          <w:sz w:val="20"/>
        </w:rPr>
        <w:t>Tous les secteurs fonctionnels du Bureau Régional Afrique de la FICR, y compris au niveau des clusters, impliqués dans la prise de décision de la réponse opérationnelle initiale</w:t>
      </w:r>
      <w:r>
        <w:rPr>
          <w:sz w:val="20"/>
        </w:rPr>
        <w:t xml:space="preserve"> (Opérations, Logistique, Finance, Juridique, Sécurité et Programmes), qui ont besoin de comprendre les flux de processus pour administrer les TM</w:t>
      </w:r>
    </w:p>
    <w:p w14:paraId="5B9A2B95" w14:textId="0635F0E8" w:rsidR="00134EBF" w:rsidRPr="006E5C59" w:rsidRDefault="1274AC46" w:rsidP="00DB6AC2">
      <w:pPr>
        <w:pStyle w:val="ListParagraph"/>
        <w:numPr>
          <w:ilvl w:val="0"/>
          <w:numId w:val="4"/>
        </w:numPr>
        <w:jc w:val="both"/>
        <w:rPr>
          <w:sz w:val="20"/>
          <w:szCs w:val="20"/>
        </w:rPr>
      </w:pPr>
      <w:r>
        <w:rPr>
          <w:b/>
          <w:bCs/>
          <w:sz w:val="20"/>
        </w:rPr>
        <w:t>Tout le personnel d'intervention d'urgence et de soutien aux services de la FICR</w:t>
      </w:r>
      <w:r>
        <w:rPr>
          <w:sz w:val="20"/>
        </w:rPr>
        <w:t xml:space="preserve">, y compris les Opérations, les Programmes, la Logistique et les Finances </w:t>
      </w:r>
    </w:p>
    <w:p w14:paraId="2612FC35" w14:textId="2800D198" w:rsidR="00344D9E" w:rsidRPr="006E5C59" w:rsidRDefault="00344D9E" w:rsidP="00DB6AC2">
      <w:pPr>
        <w:pStyle w:val="ListParagraph"/>
        <w:numPr>
          <w:ilvl w:val="0"/>
          <w:numId w:val="4"/>
        </w:numPr>
        <w:jc w:val="both"/>
        <w:rPr>
          <w:sz w:val="20"/>
          <w:szCs w:val="20"/>
        </w:rPr>
      </w:pPr>
      <w:r>
        <w:rPr>
          <w:b/>
          <w:bCs/>
          <w:sz w:val="20"/>
        </w:rPr>
        <w:t>Le personnel des programmes, de la logistique et des finances des Sociétés nationales</w:t>
      </w:r>
      <w:r>
        <w:rPr>
          <w:sz w:val="20"/>
        </w:rPr>
        <w:t xml:space="preserve"> engagé dans la préparation et la réponse aux TM </w:t>
      </w:r>
    </w:p>
    <w:p w14:paraId="50F11BCE" w14:textId="21748B88" w:rsidR="00AC773F" w:rsidRPr="00BB1B4C" w:rsidRDefault="0078510A" w:rsidP="00BB1B4C">
      <w:pPr>
        <w:pStyle w:val="ListParagraph"/>
        <w:numPr>
          <w:ilvl w:val="0"/>
          <w:numId w:val="4"/>
        </w:numPr>
        <w:jc w:val="both"/>
        <w:rPr>
          <w:sz w:val="20"/>
          <w:szCs w:val="20"/>
        </w:rPr>
      </w:pPr>
      <w:r>
        <w:rPr>
          <w:sz w:val="20"/>
        </w:rPr>
        <w:t>Personnel de la Société nationale partenaire (SNP) soutenant la SN dans la passation de marchés pour le PSF.</w:t>
      </w:r>
      <w:bookmarkStart w:id="10" w:name="_CVA_feasibility_assessment"/>
      <w:bookmarkEnd w:id="10"/>
    </w:p>
    <w:p w14:paraId="1545B708" w14:textId="03EA5CA7" w:rsidR="00235FA9" w:rsidRPr="006E5C59" w:rsidRDefault="00655055" w:rsidP="00BB4100">
      <w:pPr>
        <w:pStyle w:val="Heading1"/>
      </w:pPr>
      <w:bookmarkStart w:id="11" w:name="_Toc96934161"/>
      <w:r>
        <w:t>Processus de passation des marchés des PSF</w:t>
      </w:r>
      <w:bookmarkEnd w:id="11"/>
    </w:p>
    <w:p w14:paraId="40482B13" w14:textId="793387BB" w:rsidR="00FA4C60" w:rsidRPr="006E5C59" w:rsidRDefault="00FA4C60" w:rsidP="4E67F93F">
      <w:pPr>
        <w:rPr>
          <w:sz w:val="20"/>
          <w:highlight w:val="yellow"/>
          <w:bdr w:val="none" w:sz="0" w:space="0" w:color="auto" w:frame="1"/>
        </w:rPr>
      </w:pPr>
      <w:r>
        <w:rPr>
          <w:sz w:val="20"/>
          <w:bdr w:val="none" w:sz="0" w:space="0" w:color="auto" w:frame="1"/>
        </w:rPr>
        <w:t xml:space="preserve">Une fois qu'il a été décidé, sur la base de l'analyse de faisabilité et de l'analyse de risque, que l'argent liquide ou les bons d'achat constituent la modalité appropriée, il faut sélectionner une tierce partie pour soutenir le programme </w:t>
      </w:r>
      <w:r>
        <w:rPr>
          <w:sz w:val="20"/>
          <w:bdr w:val="none" w:sz="0" w:space="0" w:color="auto" w:frame="1"/>
        </w:rPr>
        <w:lastRenderedPageBreak/>
        <w:t>jusqu’à la « dernière étape ». Lorsqu'une SN souhaite mettre en œuvre les TM dans le cadre d'un Appel d'urgence (EA) ou d'un DREF, elle devra suivre un processus de passation de marché PSF conforme aux procédures de la FICR.</w:t>
      </w:r>
      <w:r w:rsidR="00424360" w:rsidRPr="006E5C59">
        <w:rPr>
          <w:rStyle w:val="FootnoteReference"/>
          <w:b/>
          <w:bCs/>
          <w:sz w:val="20"/>
          <w:bdr w:val="none" w:sz="0" w:space="0" w:color="auto" w:frame="1"/>
        </w:rPr>
        <w:footnoteReference w:id="3"/>
      </w:r>
    </w:p>
    <w:p w14:paraId="2BA95DCE" w14:textId="080DB5B3" w:rsidR="00FA4C60" w:rsidRPr="006E5C59" w:rsidRDefault="00FA4C60" w:rsidP="005226F1">
      <w:pPr>
        <w:rPr>
          <w:sz w:val="20"/>
          <w:szCs w:val="20"/>
          <w:bdr w:val="none" w:sz="0" w:space="0" w:color="auto" w:frame="1"/>
        </w:rPr>
      </w:pPr>
      <w:r>
        <w:rPr>
          <w:sz w:val="20"/>
          <w:bdr w:val="none" w:sz="0" w:space="0" w:color="auto" w:frame="1"/>
        </w:rPr>
        <w:t xml:space="preserve">Le processus d'achat commence toujours par une Réquisition logistique (LR), qui sert de document d'autorisation pour le pouvoir d'achat. La LR détaille également des aspects essentiels tels que la nature de la demande du programme (par exemple, l'argent mobile, l'argent liquide dans des enveloppes ou une autre modalité des TM) ainsi que le calendrier/délai indicatif et la devise, entre autres. Elle devrait idéalement être accompagnée en annexe du cahier des charges détaillant la nature du programme/demande. Le demandeur doit préparer la LR avec des limites budgétaires - une ligne pour le nombre de bénéficiaires / le montant par bénéficiaire / le montant total à débourser, une ligne pour le service de PSF budgétisé (et tout autre frais pertinent). </w:t>
      </w:r>
    </w:p>
    <w:p w14:paraId="28474AF6" w14:textId="097B0BEB" w:rsidR="00235FA9" w:rsidRPr="00B24DFC" w:rsidRDefault="00FA4C60" w:rsidP="00BF5467">
      <w:pPr>
        <w:rPr>
          <w:sz w:val="20"/>
          <w:szCs w:val="20"/>
          <w:bdr w:val="none" w:sz="0" w:space="0" w:color="auto" w:frame="1"/>
        </w:rPr>
      </w:pPr>
      <w:r w:rsidRPr="00B24DFC">
        <w:rPr>
          <w:sz w:val="20"/>
          <w:szCs w:val="20"/>
        </w:rPr>
        <w:t xml:space="preserve">Une vue d'ensemble rapide du processus de passation de marché du PSF est indiquée dans la Figure 1. Le processus détaillé, y compris les rôles et responsabilités, est disponible dans </w:t>
      </w:r>
      <w:hyperlink w:anchor="_Annex_2:_Process" w:history="1">
        <w:r w:rsidRPr="00B24DFC">
          <w:rPr>
            <w:rStyle w:val="Hyperlink"/>
            <w:sz w:val="20"/>
            <w:szCs w:val="20"/>
          </w:rPr>
          <w:t>l'annexe 2</w:t>
        </w:r>
      </w:hyperlink>
      <w:r w:rsidRPr="00B24DFC">
        <w:rPr>
          <w:sz w:val="20"/>
          <w:szCs w:val="20"/>
        </w:rPr>
        <w:t xml:space="preserve"> de ce document. Certaines étapes de chaque processus peuvent être réalisées simultanément (comme la préparation de l'appel d'offres et l'établissement du cahier des charges)</w:t>
      </w:r>
      <w:r w:rsidR="00B24DFC">
        <w:rPr>
          <w:sz w:val="20"/>
          <w:szCs w:val="20"/>
        </w:rPr>
        <w:t xml:space="preserve">. </w:t>
      </w:r>
    </w:p>
    <w:p w14:paraId="1A848AAB" w14:textId="4ED5C1CD" w:rsidR="00CE1BCD" w:rsidRDefault="00D80B29" w:rsidP="004B1A1B">
      <w:pPr>
        <w:pStyle w:val="Caption"/>
        <w:jc w:val="center"/>
        <w:rPr>
          <w:sz w:val="18"/>
        </w:rPr>
      </w:pPr>
      <w:r>
        <w:rPr>
          <w:noProof/>
        </w:rPr>
        <w:drawing>
          <wp:anchor distT="0" distB="0" distL="114300" distR="114300" simplePos="0" relativeHeight="251660288" behindDoc="0" locked="0" layoutInCell="1" allowOverlap="1" wp14:anchorId="3D563182" wp14:editId="19419CE2">
            <wp:simplePos x="0" y="0"/>
            <wp:positionH relativeFrom="column">
              <wp:posOffset>-193371</wp:posOffset>
            </wp:positionH>
            <wp:positionV relativeFrom="paragraph">
              <wp:posOffset>274955</wp:posOffset>
            </wp:positionV>
            <wp:extent cx="6495237" cy="3147754"/>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66" b="-5"/>
                    <a:stretch/>
                  </pic:blipFill>
                  <pic:spPr bwMode="auto">
                    <a:xfrm>
                      <a:off x="0" y="0"/>
                      <a:ext cx="6495237" cy="3147754"/>
                    </a:xfrm>
                    <a:prstGeom prst="rect">
                      <a:avLst/>
                    </a:prstGeom>
                    <a:noFill/>
                    <a:ln>
                      <a:noFill/>
                    </a:ln>
                    <a:extLst>
                      <a:ext uri="{53640926-AAD7-44D8-BBD7-CCE9431645EC}">
                        <a14:shadowObscured xmlns:a14="http://schemas.microsoft.com/office/drawing/2010/main"/>
                      </a:ext>
                    </a:extLst>
                  </pic:spPr>
                </pic:pic>
              </a:graphicData>
            </a:graphic>
          </wp:anchor>
        </w:drawing>
      </w:r>
      <w:r w:rsidR="004038C3">
        <w:rPr>
          <w:sz w:val="18"/>
        </w:rPr>
        <w:t xml:space="preserve">Figure </w:t>
      </w:r>
      <w:r w:rsidR="00CE1BCD" w:rsidRPr="006E5C59">
        <w:rPr>
          <w:sz w:val="18"/>
        </w:rPr>
        <w:fldChar w:fldCharType="begin"/>
      </w:r>
      <w:r w:rsidR="00CE1BCD" w:rsidRPr="006E5C59">
        <w:rPr>
          <w:sz w:val="18"/>
        </w:rPr>
        <w:instrText xml:space="preserve"> SEQ Figure \* ARABIC </w:instrText>
      </w:r>
      <w:r w:rsidR="00CE1BCD" w:rsidRPr="006E5C59">
        <w:rPr>
          <w:sz w:val="18"/>
        </w:rPr>
        <w:fldChar w:fldCharType="separate"/>
      </w:r>
      <w:r w:rsidR="00730241">
        <w:rPr>
          <w:noProof/>
          <w:sz w:val="18"/>
        </w:rPr>
        <w:t>1</w:t>
      </w:r>
      <w:r w:rsidR="00CE1BCD" w:rsidRPr="006E5C59">
        <w:rPr>
          <w:sz w:val="18"/>
        </w:rPr>
        <w:fldChar w:fldCharType="end"/>
      </w:r>
      <w:r w:rsidR="004038C3">
        <w:rPr>
          <w:sz w:val="18"/>
        </w:rPr>
        <w:t>: Processus de passation de marchés pour les PSF</w:t>
      </w:r>
    </w:p>
    <w:p w14:paraId="7DEC7C3D" w14:textId="2150D5B8" w:rsidR="00743669" w:rsidRPr="00743669" w:rsidRDefault="00743669" w:rsidP="00743669"/>
    <w:p w14:paraId="18D4B3F9" w14:textId="2E8337A2" w:rsidR="00BB1D87" w:rsidRPr="006E5C59" w:rsidRDefault="00BB1D87" w:rsidP="0006550B">
      <w:pPr>
        <w:pStyle w:val="Heading2"/>
      </w:pPr>
      <w:bookmarkStart w:id="12" w:name="_Toc96934162"/>
      <w:r>
        <w:t>Cahier des charges (</w:t>
      </w:r>
      <w:proofErr w:type="spellStart"/>
      <w:r>
        <w:t>SoW</w:t>
      </w:r>
      <w:proofErr w:type="spellEnd"/>
      <w:r>
        <w:t>) et documents d'appel d'offres</w:t>
      </w:r>
      <w:bookmarkEnd w:id="12"/>
    </w:p>
    <w:p w14:paraId="7E172DF9" w14:textId="7358AFD2" w:rsidR="00BB1D87" w:rsidRPr="006E5C59" w:rsidRDefault="00BB1D87" w:rsidP="00406DA1">
      <w:pPr>
        <w:jc w:val="both"/>
        <w:rPr>
          <w:sz w:val="20"/>
          <w:szCs w:val="20"/>
          <w:bdr w:val="none" w:sz="0" w:space="0" w:color="auto" w:frame="1"/>
        </w:rPr>
      </w:pPr>
      <w:r>
        <w:rPr>
          <w:b/>
          <w:sz w:val="20"/>
        </w:rPr>
        <w:t>Le cahier des charges est un document essentiel, qui nécessite l'engagement de plusieurs fonctions.</w:t>
      </w:r>
      <w:r>
        <w:rPr>
          <w:sz w:val="20"/>
        </w:rPr>
        <w:t xml:space="preserve"> Le cahier des charges est utilisé pour donner les détails et le contexte d'un programme typique d'assistance en espèces et ce que le PSF doit comprendre sur la façon dont nous travaillons, et le type de projets attendus. </w:t>
      </w:r>
      <w:r>
        <w:rPr>
          <w:i/>
          <w:iCs/>
          <w:sz w:val="20"/>
        </w:rPr>
        <w:t>Le coordinateur régional des TM et le responsable régional de la passation de marchés peuvent vous aider en vous proposant des projets de cahier des charges et des exemples tirés d'autres contextes.</w:t>
      </w:r>
      <w:r>
        <w:rPr>
          <w:i/>
          <w:sz w:val="20"/>
        </w:rPr>
        <w:t xml:space="preserve"> </w:t>
      </w:r>
    </w:p>
    <w:p w14:paraId="5A4BAE74" w14:textId="77777777" w:rsidR="00BB1D87" w:rsidRPr="006E5C59" w:rsidRDefault="00BB1D87" w:rsidP="00406DA1">
      <w:pPr>
        <w:jc w:val="both"/>
        <w:rPr>
          <w:sz w:val="20"/>
          <w:szCs w:val="20"/>
          <w:bdr w:val="none" w:sz="0" w:space="0" w:color="auto" w:frame="1"/>
        </w:rPr>
      </w:pPr>
      <w:r>
        <w:rPr>
          <w:sz w:val="20"/>
          <w:bdr w:val="none" w:sz="0" w:space="0" w:color="auto" w:frame="1"/>
        </w:rPr>
        <w:t xml:space="preserve">Les documents d'appel d'offres peuvent être préparés </w:t>
      </w:r>
      <w:r>
        <w:rPr>
          <w:sz w:val="20"/>
          <w:u w:val="single"/>
          <w:bdr w:val="none" w:sz="0" w:space="0" w:color="auto" w:frame="1"/>
        </w:rPr>
        <w:t>en même temps que</w:t>
      </w:r>
      <w:r>
        <w:rPr>
          <w:sz w:val="20"/>
          <w:bdr w:val="none" w:sz="0" w:space="0" w:color="auto" w:frame="1"/>
        </w:rPr>
        <w:t xml:space="preserve"> le cahier des charges. Le dossier d'appel d'offres comprend :</w:t>
      </w:r>
    </w:p>
    <w:p w14:paraId="247081DE" w14:textId="77777777" w:rsidR="00BB1D87" w:rsidRPr="006E5C59" w:rsidRDefault="00BB1D87" w:rsidP="00DB6AC2">
      <w:pPr>
        <w:pStyle w:val="ListParagraph"/>
        <w:numPr>
          <w:ilvl w:val="0"/>
          <w:numId w:val="17"/>
        </w:numPr>
        <w:jc w:val="both"/>
        <w:rPr>
          <w:sz w:val="20"/>
          <w:szCs w:val="20"/>
          <w:bdr w:val="none" w:sz="0" w:space="0" w:color="auto" w:frame="1"/>
        </w:rPr>
      </w:pPr>
      <w:r>
        <w:rPr>
          <w:sz w:val="20"/>
          <w:bdr w:val="none" w:sz="0" w:space="0" w:color="auto" w:frame="1"/>
        </w:rPr>
        <w:lastRenderedPageBreak/>
        <w:t>Les appels d'offres et les demandes de prix</w:t>
      </w:r>
    </w:p>
    <w:p w14:paraId="0B32E071" w14:textId="77777777" w:rsidR="00BB1D87" w:rsidRPr="006E5C59" w:rsidRDefault="00BB1D87" w:rsidP="00DB6AC2">
      <w:pPr>
        <w:pStyle w:val="ListParagraph"/>
        <w:numPr>
          <w:ilvl w:val="0"/>
          <w:numId w:val="17"/>
        </w:numPr>
        <w:jc w:val="both"/>
        <w:rPr>
          <w:sz w:val="20"/>
          <w:szCs w:val="20"/>
          <w:bdr w:val="none" w:sz="0" w:space="0" w:color="auto" w:frame="1"/>
        </w:rPr>
      </w:pPr>
      <w:proofErr w:type="spellStart"/>
      <w:r>
        <w:rPr>
          <w:sz w:val="20"/>
          <w:bdr w:val="none" w:sz="0" w:space="0" w:color="auto" w:frame="1"/>
        </w:rPr>
        <w:t>SoW</w:t>
      </w:r>
      <w:proofErr w:type="spellEnd"/>
    </w:p>
    <w:p w14:paraId="39D90AC5" w14:textId="77777777" w:rsidR="00BB1D87" w:rsidRPr="006E5C59" w:rsidRDefault="00BB1D87" w:rsidP="00DB6AC2">
      <w:pPr>
        <w:pStyle w:val="ListParagraph"/>
        <w:numPr>
          <w:ilvl w:val="0"/>
          <w:numId w:val="17"/>
        </w:numPr>
        <w:jc w:val="both"/>
        <w:rPr>
          <w:sz w:val="20"/>
          <w:szCs w:val="20"/>
          <w:bdr w:val="none" w:sz="0" w:space="0" w:color="auto" w:frame="1"/>
        </w:rPr>
      </w:pPr>
      <w:r>
        <w:rPr>
          <w:sz w:val="20"/>
          <w:bdr w:val="none" w:sz="0" w:space="0" w:color="auto" w:frame="1"/>
        </w:rPr>
        <w:t>Feuille de réponse du PSF</w:t>
      </w:r>
    </w:p>
    <w:p w14:paraId="567EF87D" w14:textId="77777777" w:rsidR="00BB1D87" w:rsidRPr="006E5C59" w:rsidRDefault="00BB1D87" w:rsidP="00DB6AC2">
      <w:pPr>
        <w:pStyle w:val="ListParagraph"/>
        <w:numPr>
          <w:ilvl w:val="0"/>
          <w:numId w:val="17"/>
        </w:numPr>
        <w:jc w:val="both"/>
        <w:rPr>
          <w:sz w:val="20"/>
          <w:szCs w:val="20"/>
          <w:bdr w:val="none" w:sz="0" w:space="0" w:color="auto" w:frame="1"/>
        </w:rPr>
      </w:pPr>
      <w:r>
        <w:rPr>
          <w:sz w:val="20"/>
          <w:bdr w:val="none" w:sz="0" w:space="0" w:color="auto" w:frame="1"/>
        </w:rPr>
        <w:t xml:space="preserve">Modèle de tarification </w:t>
      </w:r>
    </w:p>
    <w:p w14:paraId="600FB3D7" w14:textId="77777777" w:rsidR="00BB1D87" w:rsidRPr="006E5C59" w:rsidRDefault="00BB1D87" w:rsidP="00DB6AC2">
      <w:pPr>
        <w:pStyle w:val="ListParagraph"/>
        <w:numPr>
          <w:ilvl w:val="0"/>
          <w:numId w:val="17"/>
        </w:numPr>
        <w:jc w:val="both"/>
        <w:rPr>
          <w:sz w:val="20"/>
          <w:szCs w:val="20"/>
          <w:bdr w:val="none" w:sz="0" w:space="0" w:color="auto" w:frame="1"/>
        </w:rPr>
      </w:pPr>
      <w:r>
        <w:rPr>
          <w:sz w:val="20"/>
          <w:bdr w:val="none" w:sz="0" w:space="0" w:color="auto" w:frame="1"/>
        </w:rPr>
        <w:t>Déclaration d'engagement</w:t>
      </w:r>
    </w:p>
    <w:p w14:paraId="235EC3C8" w14:textId="7C6048A8" w:rsidR="0033243B" w:rsidRPr="006E5C59" w:rsidRDefault="0033243B" w:rsidP="00DB6AC2">
      <w:pPr>
        <w:pStyle w:val="ListParagraph"/>
        <w:numPr>
          <w:ilvl w:val="0"/>
          <w:numId w:val="17"/>
        </w:numPr>
        <w:jc w:val="both"/>
        <w:rPr>
          <w:sz w:val="20"/>
          <w:szCs w:val="20"/>
          <w:bdr w:val="none" w:sz="0" w:space="0" w:color="auto" w:frame="1"/>
        </w:rPr>
      </w:pPr>
      <w:r>
        <w:rPr>
          <w:sz w:val="20"/>
          <w:bdr w:val="none" w:sz="0" w:space="0" w:color="auto" w:frame="1"/>
        </w:rPr>
        <w:t>Conditions générales pour les contrats de service</w:t>
      </w:r>
    </w:p>
    <w:p w14:paraId="5573368A" w14:textId="289BD4EF" w:rsidR="00BB1D87" w:rsidRPr="006E5C59" w:rsidRDefault="00BB1D87" w:rsidP="00DB6AC2">
      <w:pPr>
        <w:pStyle w:val="ListParagraph"/>
        <w:numPr>
          <w:ilvl w:val="0"/>
          <w:numId w:val="17"/>
        </w:numPr>
        <w:jc w:val="both"/>
        <w:rPr>
          <w:sz w:val="20"/>
          <w:szCs w:val="20"/>
          <w:bdr w:val="none" w:sz="0" w:space="0" w:color="auto" w:frame="1"/>
        </w:rPr>
      </w:pPr>
      <w:r>
        <w:rPr>
          <w:sz w:val="20"/>
          <w:bdr w:val="none" w:sz="0" w:space="0" w:color="auto" w:frame="1"/>
        </w:rPr>
        <w:t>Formulaire d'inscription du prestataire (format standard)</w:t>
      </w:r>
    </w:p>
    <w:p w14:paraId="63D12FB1" w14:textId="48131DA8" w:rsidR="00BB1D87" w:rsidRPr="006E5C59" w:rsidRDefault="00BB1D87" w:rsidP="00406DA1">
      <w:pPr>
        <w:jc w:val="both"/>
        <w:rPr>
          <w:sz w:val="20"/>
          <w:szCs w:val="20"/>
          <w:bdr w:val="none" w:sz="0" w:space="0" w:color="auto" w:frame="1"/>
        </w:rPr>
      </w:pPr>
      <w:r>
        <w:rPr>
          <w:sz w:val="20"/>
        </w:rPr>
        <w:t xml:space="preserve">Le </w:t>
      </w:r>
      <w:r>
        <w:rPr>
          <w:b/>
          <w:bCs/>
          <w:sz w:val="20"/>
        </w:rPr>
        <w:t>modèle de réponse à la demande de propositions</w:t>
      </w:r>
      <w:r>
        <w:rPr>
          <w:sz w:val="20"/>
        </w:rPr>
        <w:t xml:space="preserve"> énumère les spécifications ou les exigences du service. Les en-têtes doivent être conservés et il doit y avoir AU MOINS UNE question par en-tête. Il s'agit d'un modèle à adapter à votre contexte. Ce sont les questions que nous posons aux PSF, et nous évaluerons leurs réponses pour comprendre si elles répondent à nos besoins ou non.</w:t>
      </w:r>
      <w:r>
        <w:rPr>
          <w:sz w:val="20"/>
          <w:bdr w:val="none" w:sz="0" w:space="0" w:color="auto" w:frame="1"/>
        </w:rPr>
        <w:t xml:space="preserve"> L'élaboration d'une liste de contrôle des mécanismes de livraison couvrant les exigences requises et préférées est utile pour remplir la feuille de réponse du prestataire de la demande de propositions.</w:t>
      </w:r>
    </w:p>
    <w:p w14:paraId="1B81013D" w14:textId="5A93CFC6" w:rsidR="00BB1D87" w:rsidRPr="006E5C59" w:rsidRDefault="00BB1D87" w:rsidP="00406DA1">
      <w:pPr>
        <w:jc w:val="both"/>
        <w:rPr>
          <w:b/>
          <w:bCs/>
          <w:color w:val="000000" w:themeColor="text1"/>
          <w:sz w:val="20"/>
          <w:szCs w:val="20"/>
          <w:bdr w:val="none" w:sz="0" w:space="0" w:color="auto" w:frame="1"/>
        </w:rPr>
      </w:pPr>
      <w:r>
        <w:rPr>
          <w:b/>
          <w:color w:val="000000" w:themeColor="text1"/>
          <w:sz w:val="20"/>
          <w:bdr w:val="none" w:sz="0" w:space="0" w:color="auto" w:frame="1"/>
        </w:rPr>
        <w:t>Protection des données</w:t>
      </w:r>
    </w:p>
    <w:p w14:paraId="3F1954A1" w14:textId="77777777" w:rsidR="00BB1D87" w:rsidRPr="00DC13D8" w:rsidRDefault="00BB1D87" w:rsidP="00DB6AC2">
      <w:pPr>
        <w:pStyle w:val="ListParagraph"/>
        <w:numPr>
          <w:ilvl w:val="0"/>
          <w:numId w:val="18"/>
        </w:numPr>
        <w:jc w:val="both"/>
        <w:rPr>
          <w:sz w:val="20"/>
          <w:szCs w:val="20"/>
        </w:rPr>
      </w:pPr>
      <w:r w:rsidRPr="00DC13D8">
        <w:rPr>
          <w:sz w:val="20"/>
          <w:szCs w:val="20"/>
        </w:rPr>
        <w:t xml:space="preserve">Assurez-vous toujours que les exigences en matière de protection des données sont reflétées à la fois dans le cahier des charges et dans le contrat lui-même. </w:t>
      </w:r>
    </w:p>
    <w:p w14:paraId="49D08BAA" w14:textId="6F28C4A0" w:rsidR="00BB1D87" w:rsidRPr="00DC13D8" w:rsidRDefault="00BB1D87" w:rsidP="00DB6AC2">
      <w:pPr>
        <w:pStyle w:val="ListParagraph"/>
        <w:numPr>
          <w:ilvl w:val="0"/>
          <w:numId w:val="18"/>
        </w:numPr>
        <w:jc w:val="both"/>
        <w:rPr>
          <w:sz w:val="20"/>
          <w:szCs w:val="20"/>
        </w:rPr>
      </w:pPr>
      <w:r w:rsidRPr="00DC13D8">
        <w:rPr>
          <w:sz w:val="20"/>
          <w:szCs w:val="20"/>
        </w:rPr>
        <w:t xml:space="preserve">Tout le personnel concerné de la FICR et des SN doit se familiariser avec le Guide pratique de la FICR pour la protection des données dans le cadre des TM, disponible en en </w:t>
      </w:r>
      <w:hyperlink r:id="rId20" w:history="1">
        <w:r w:rsidRPr="00DC13D8">
          <w:rPr>
            <w:rStyle w:val="Hyperlink"/>
            <w:sz w:val="20"/>
            <w:szCs w:val="20"/>
          </w:rPr>
          <w:t>français</w:t>
        </w:r>
      </w:hyperlink>
      <w:r w:rsidRPr="00DC13D8">
        <w:rPr>
          <w:sz w:val="20"/>
          <w:szCs w:val="20"/>
        </w:rPr>
        <w:t xml:space="preserve">, et l'utiliser. </w:t>
      </w:r>
    </w:p>
    <w:p w14:paraId="2A02A803" w14:textId="77777777" w:rsidR="00A30005" w:rsidRPr="006E5C59" w:rsidRDefault="00A30005" w:rsidP="0006550B">
      <w:pPr>
        <w:pStyle w:val="Heading2"/>
      </w:pPr>
      <w:bookmarkStart w:id="13" w:name="_Toc96934163"/>
      <w:r>
        <w:t>Appel d'offres</w:t>
      </w:r>
      <w:bookmarkEnd w:id="13"/>
      <w:r>
        <w:t xml:space="preserve"> </w:t>
      </w:r>
    </w:p>
    <w:p w14:paraId="319C0972" w14:textId="1993377F" w:rsidR="00A30005" w:rsidRPr="006E5C59" w:rsidRDefault="00A30005" w:rsidP="00406DA1">
      <w:pPr>
        <w:jc w:val="both"/>
        <w:rPr>
          <w:rFonts w:ascii="Segoe UI Light" w:hAnsi="Segoe UI Light" w:cs="Segoe UI Light"/>
          <w:sz w:val="20"/>
          <w:szCs w:val="20"/>
        </w:rPr>
      </w:pPr>
      <w:r>
        <w:rPr>
          <w:rFonts w:ascii="Segoe UI Light" w:hAnsi="Segoe UI Light"/>
          <w:sz w:val="20"/>
        </w:rPr>
        <w:t xml:space="preserve">Pour lancer l'appel d'offres, s'il s'agit d'un </w:t>
      </w:r>
      <w:r>
        <w:rPr>
          <w:rFonts w:ascii="Segoe UI Light" w:hAnsi="Segoe UI Light"/>
          <w:b/>
          <w:bCs/>
          <w:sz w:val="20"/>
        </w:rPr>
        <w:t>appel d'offres restreint</w:t>
      </w:r>
      <w:r>
        <w:rPr>
          <w:rFonts w:ascii="Segoe UI Light" w:hAnsi="Segoe UI Light"/>
          <w:sz w:val="20"/>
        </w:rPr>
        <w:t xml:space="preserve">, l'appel d'offres et toutes les pièces jointes sont envoyés directement aux PSF présélectionnés et le délai de soumission des propositions peut varier entre 2 et 4 semaines en fonction de l'urgence et de la capacité de réponse des PSF. S'il s'agit d'un </w:t>
      </w:r>
      <w:r>
        <w:rPr>
          <w:rFonts w:ascii="Segoe UI Light" w:hAnsi="Segoe UI Light"/>
          <w:b/>
          <w:bCs/>
          <w:sz w:val="20"/>
        </w:rPr>
        <w:t>appel d'offres ouvert</w:t>
      </w:r>
      <w:r>
        <w:rPr>
          <w:rFonts w:ascii="Segoe UI Light" w:hAnsi="Segoe UI Light"/>
          <w:sz w:val="20"/>
        </w:rPr>
        <w:t>, il doit être annoncé dans les journaux ou autres médias prédéterminés avec les conditions de l'appel d'offres et les PSF intéressés demanderont les documents de l'appel d'offres. Un « registre de remise des offres » doit être tenu avec la liste des prestataires, le nom de la personne qui reçoit les documents, la date, l'heure et la signature du destinataire.</w:t>
      </w:r>
    </w:p>
    <w:p w14:paraId="4A23299D" w14:textId="38220F10" w:rsidR="00A30005" w:rsidRPr="006E5C59" w:rsidRDefault="00A30005" w:rsidP="00406DA1">
      <w:pPr>
        <w:jc w:val="both"/>
        <w:rPr>
          <w:rFonts w:ascii="Segoe UI Light" w:hAnsi="Segoe UI Light" w:cs="Segoe UI Light"/>
          <w:sz w:val="20"/>
          <w:szCs w:val="20"/>
        </w:rPr>
      </w:pPr>
      <w:r>
        <w:rPr>
          <w:rFonts w:ascii="Segoe UI Light" w:hAnsi="Segoe UI Light"/>
          <w:sz w:val="20"/>
        </w:rPr>
        <w:t>Il faut s'assurer qu'il existe une période et un mécanisme permettant aux prestataires de services soumissionnaires de poser des questions. Les questions peuvent être compilées et faire l'objet d'une réponse collective ou d'une réponse à chaque fois qu'une question est posée. Il est nécessaire d'envoyer la réponse à TOUS les prestataires de services potentiels, qu'ils aient posé la question ou non - cela garantit la transparence du processus.</w:t>
      </w:r>
    </w:p>
    <w:p w14:paraId="420045A6" w14:textId="77777777" w:rsidR="00A30005" w:rsidRPr="006E5C59" w:rsidRDefault="00A30005" w:rsidP="00CF2AD2">
      <w:pPr>
        <w:spacing w:line="276" w:lineRule="auto"/>
        <w:jc w:val="both"/>
        <w:rPr>
          <w:rFonts w:ascii="Segoe UI Light" w:hAnsi="Segoe UI Light" w:cs="Segoe UI Light"/>
          <w:sz w:val="20"/>
          <w:szCs w:val="20"/>
          <w:bdr w:val="none" w:sz="0" w:space="0" w:color="auto" w:frame="1"/>
        </w:rPr>
      </w:pPr>
      <w:r>
        <w:rPr>
          <w:rFonts w:ascii="Segoe UI Light" w:hAnsi="Segoe UI Light"/>
          <w:b/>
          <w:bCs/>
          <w:sz w:val="20"/>
          <w:bdr w:val="none" w:sz="0" w:space="0" w:color="auto" w:frame="1"/>
        </w:rPr>
        <w:t>La date limite doit être respectée</w:t>
      </w:r>
      <w:r>
        <w:rPr>
          <w:rFonts w:ascii="Segoe UI Light" w:hAnsi="Segoe UI Light"/>
          <w:sz w:val="20"/>
          <w:bdr w:val="none" w:sz="0" w:space="0" w:color="auto" w:frame="1"/>
        </w:rPr>
        <w:t xml:space="preserve"> - aucune proposition supplémentaire ne peut être reçue une fois que le délai fixé est atteint. En cas de prolongation, il faut prouver que TOUS les prestataires de PSF ont été informés en temps utile de la date limite de prolongation de l'appel d'offres.</w:t>
      </w:r>
    </w:p>
    <w:p w14:paraId="7D447F00" w14:textId="5F2313FD" w:rsidR="00513EDD" w:rsidRPr="006E5C59" w:rsidRDefault="00A30005" w:rsidP="00351EF2">
      <w:pPr>
        <w:spacing w:after="0" w:line="276" w:lineRule="auto"/>
        <w:jc w:val="both"/>
        <w:rPr>
          <w:rFonts w:ascii="Segoe UI Light" w:hAnsi="Segoe UI Light" w:cs="Segoe UI Light"/>
          <w:sz w:val="20"/>
          <w:szCs w:val="20"/>
        </w:rPr>
      </w:pPr>
      <w:r>
        <w:rPr>
          <w:rFonts w:ascii="Segoe UI Light" w:hAnsi="Segoe UI Light"/>
          <w:sz w:val="20"/>
        </w:rPr>
        <w:t xml:space="preserve">En cas de soumission par courrier électronique, l'heure indiquée dans ce courrier sera prise en compte. Si des offres physiques dans des enveloppes sont acceptées, il incombe alors à la personne qui accepte les offres d'inscrire l'heure et la date EXACTES sur l'enveloppe lorsqu'elle est soumise avec le « Registre de soumission des offres » correspondant, avec la liste des prestataires, le nom de la personne qui remet l'offre, la date, l'heure et la signature de la personne qui remet l'offre dans la </w:t>
      </w:r>
      <w:r>
        <w:rPr>
          <w:rFonts w:ascii="Segoe UI Light" w:hAnsi="Segoe UI Light"/>
          <w:b/>
          <w:bCs/>
          <w:i/>
          <w:iCs/>
          <w:sz w:val="20"/>
        </w:rPr>
        <w:t>boîte à offres scellées</w:t>
      </w:r>
      <w:r>
        <w:rPr>
          <w:rFonts w:ascii="Segoe UI Light" w:hAnsi="Segoe UI Light"/>
          <w:sz w:val="20"/>
        </w:rPr>
        <w:t>.</w:t>
      </w:r>
    </w:p>
    <w:p w14:paraId="40CFECD7" w14:textId="77777777" w:rsidR="00BE6648" w:rsidRPr="006E5C59" w:rsidRDefault="00BE6648" w:rsidP="00CF2AD2">
      <w:pPr>
        <w:spacing w:after="0" w:line="240" w:lineRule="auto"/>
        <w:jc w:val="both"/>
        <w:rPr>
          <w:rFonts w:ascii="Segoe UI Light" w:hAnsi="Segoe UI Light" w:cs="Segoe UI Light"/>
          <w:sz w:val="20"/>
          <w:szCs w:val="20"/>
        </w:rPr>
      </w:pPr>
    </w:p>
    <w:p w14:paraId="11F61EA7" w14:textId="3E1D96DD" w:rsidR="00A30005" w:rsidRPr="006E5C59" w:rsidRDefault="00A30005" w:rsidP="00406DA1">
      <w:pPr>
        <w:jc w:val="both"/>
        <w:rPr>
          <w:rFonts w:ascii="Segoe UI Light" w:hAnsi="Segoe UI Light" w:cs="Segoe UI Light"/>
          <w:sz w:val="20"/>
          <w:szCs w:val="20"/>
        </w:rPr>
      </w:pPr>
      <w:r>
        <w:rPr>
          <w:rFonts w:ascii="Segoe UI Light" w:hAnsi="Segoe UI Light"/>
          <w:sz w:val="20"/>
        </w:rPr>
        <w:t xml:space="preserve">Après la date limite de réception des propositions, une </w:t>
      </w:r>
      <w:r>
        <w:rPr>
          <w:rFonts w:ascii="Segoe UI Light" w:hAnsi="Segoe UI Light"/>
          <w:b/>
          <w:bCs/>
          <w:sz w:val="20"/>
        </w:rPr>
        <w:t>cérémonie d'ouverture des plis</w:t>
      </w:r>
      <w:r>
        <w:rPr>
          <w:rFonts w:ascii="Segoe UI Light" w:hAnsi="Segoe UI Light"/>
          <w:sz w:val="20"/>
        </w:rPr>
        <w:t xml:space="preserve"> doit être programmée dès que possible. Cela réduit le risque de manipuler les offres reçues ou d'admettre des offres tardives. Les offres doivent être ouvertes en présence de la </w:t>
      </w:r>
      <w:r>
        <w:rPr>
          <w:rFonts w:ascii="Segoe UI Light" w:hAnsi="Segoe UI Light"/>
          <w:b/>
          <w:bCs/>
          <w:sz w:val="20"/>
        </w:rPr>
        <w:t>Commission locale de passation des marchés (COC)</w:t>
      </w:r>
      <w:r>
        <w:rPr>
          <w:rFonts w:ascii="Segoe UI Light" w:hAnsi="Segoe UI Light"/>
          <w:sz w:val="20"/>
        </w:rPr>
        <w:t xml:space="preserve"> et tous les détails de la procédure doivent être documentés - date, lieu, liste des participants officiellement désignés avec leurs noms, titres et </w:t>
      </w:r>
      <w:r>
        <w:rPr>
          <w:rFonts w:ascii="Segoe UI Light" w:hAnsi="Segoe UI Light"/>
          <w:sz w:val="20"/>
        </w:rPr>
        <w:lastRenderedPageBreak/>
        <w:t>organisations (désignés par un haut fonctionnaire autorisé de la SN/IFRC, tel que le secrétaire général ou le chef de pays/chef de délégation), numéro de référence de l'appel d'offres/du cahier des charges et numéro de référence de la demande de logistique, description générale du programme proposé avec le nombre de bénéficiaires, budget total et devise correspondante, autres détails conformément à la liste de contrôle du processus de passation de marchés.</w:t>
      </w:r>
    </w:p>
    <w:p w14:paraId="1B9D74BA" w14:textId="17BEE387" w:rsidR="00DB4413" w:rsidRPr="006E5C59" w:rsidRDefault="00DB4413" w:rsidP="00DB4413">
      <w:pPr>
        <w:pStyle w:val="Heading2"/>
      </w:pPr>
      <w:bookmarkStart w:id="14" w:name="_Toc96934164"/>
      <w:r>
        <w:t>Types de contrats</w:t>
      </w:r>
      <w:bookmarkEnd w:id="14"/>
    </w:p>
    <w:p w14:paraId="3BB4E96D" w14:textId="0A107D05" w:rsidR="00DB4413" w:rsidRPr="006E5C59" w:rsidRDefault="00DB4413" w:rsidP="00DB4413">
      <w:pPr>
        <w:rPr>
          <w:sz w:val="20"/>
          <w:szCs w:val="20"/>
          <w:bdr w:val="none" w:sz="0" w:space="0" w:color="auto" w:frame="1"/>
        </w:rPr>
      </w:pPr>
      <w:r>
        <w:rPr>
          <w:sz w:val="20"/>
          <w:bdr w:val="none" w:sz="0" w:space="0" w:color="auto" w:frame="1"/>
        </w:rPr>
        <w:t>Il existe deux types courants d'accords contractuels avec les prestataires, y compris avec les prestataires de services financiers (PSF) :</w:t>
      </w:r>
    </w:p>
    <w:p w14:paraId="11C19E5D" w14:textId="5E5DFF7D" w:rsidR="00DB4413" w:rsidRPr="006E5C59" w:rsidRDefault="00DB4413" w:rsidP="00DB6AC2">
      <w:pPr>
        <w:pStyle w:val="ListParagraph"/>
        <w:numPr>
          <w:ilvl w:val="0"/>
          <w:numId w:val="19"/>
        </w:numPr>
        <w:ind w:left="714" w:hanging="357"/>
        <w:contextualSpacing w:val="0"/>
        <w:rPr>
          <w:sz w:val="20"/>
          <w:szCs w:val="20"/>
          <w:bdr w:val="none" w:sz="0" w:space="0" w:color="auto" w:frame="1"/>
        </w:rPr>
      </w:pPr>
      <w:r>
        <w:rPr>
          <w:b/>
          <w:bCs/>
          <w:sz w:val="20"/>
          <w:bdr w:val="none" w:sz="0" w:space="0" w:color="auto" w:frame="1"/>
        </w:rPr>
        <w:t>Le contrat de service (CS)</w:t>
      </w:r>
      <w:r>
        <w:rPr>
          <w:sz w:val="20"/>
          <w:bdr w:val="none" w:sz="0" w:space="0" w:color="auto" w:frame="1"/>
        </w:rPr>
        <w:t xml:space="preserve"> : il a généralement une portée étroite, est créé pour une opération particulière et ne peut généralement pas être étendu en dehors du type de service et des emplacements géographiques décrits dans l'appel d'offres.  Les exigences du programme des TM sont clairement définies, y compris les emplacements géographiques, le nombre de personnes à aider, le montant du transfert, la fréquence et la durée. </w:t>
      </w:r>
    </w:p>
    <w:p w14:paraId="2362AD42" w14:textId="258F2525" w:rsidR="00DB4413" w:rsidRPr="00D80B29" w:rsidRDefault="00DB4413" w:rsidP="00DB6AC2">
      <w:pPr>
        <w:pStyle w:val="ListParagraph"/>
        <w:numPr>
          <w:ilvl w:val="0"/>
          <w:numId w:val="19"/>
        </w:numPr>
        <w:ind w:left="714" w:hanging="357"/>
        <w:contextualSpacing w:val="0"/>
        <w:rPr>
          <w:sz w:val="20"/>
          <w:szCs w:val="20"/>
          <w:bdr w:val="none" w:sz="0" w:space="0" w:color="auto" w:frame="1"/>
        </w:rPr>
      </w:pPr>
      <w:r>
        <w:rPr>
          <w:b/>
          <w:bCs/>
          <w:sz w:val="20"/>
          <w:bdr w:val="none" w:sz="0" w:space="0" w:color="auto" w:frame="1"/>
        </w:rPr>
        <w:t>Les accords-cadres (AC)</w:t>
      </w:r>
      <w:r>
        <w:rPr>
          <w:sz w:val="20"/>
          <w:bdr w:val="none" w:sz="0" w:space="0" w:color="auto" w:frame="1"/>
        </w:rPr>
        <w:t xml:space="preserve"> : sont plus larges et d'une durée plus longue, souvent deux ans + une extension de deux ans.  Les accords-cadres peuvent souvent être utilisés dans la plupart ou la totalité du pays ou de la région et sont utilisés pour les biens ou les services qui sont fréquemment requis pour la mise en œuvre du programme.  Les exigences du programme des TM ne sont pas toujours définies (emplacements géographiques inconnus, nombre de personnes à aider, montant du transfert, fréquence, durée). </w:t>
      </w:r>
    </w:p>
    <w:p w14:paraId="0E0A689C" w14:textId="074A8878" w:rsidR="0018711D" w:rsidRPr="006E5C59" w:rsidRDefault="00CB15DC" w:rsidP="0006550B">
      <w:pPr>
        <w:pStyle w:val="Heading2"/>
        <w:rPr>
          <w:noProof/>
        </w:rPr>
      </w:pPr>
      <w:bookmarkStart w:id="15" w:name="_Toc96934165"/>
      <w:r>
        <w:t>Manuel d'achat de la FICR</w:t>
      </w:r>
      <w:bookmarkEnd w:id="15"/>
    </w:p>
    <w:p w14:paraId="3E489DEB" w14:textId="3AF35433" w:rsidR="00272C59" w:rsidRPr="006E5C59" w:rsidRDefault="00272C59" w:rsidP="00272C59">
      <w:pPr>
        <w:rPr>
          <w:noProof/>
          <w:sz w:val="20"/>
          <w:szCs w:val="20"/>
        </w:rPr>
      </w:pPr>
      <w:r>
        <w:t xml:space="preserve">Il est essentiel de lire et de se familiariser avec le </w:t>
      </w:r>
      <w:hyperlink r:id="rId21" w:history="1">
        <w:r>
          <w:rPr>
            <w:rStyle w:val="Hyperlink"/>
            <w:sz w:val="20"/>
          </w:rPr>
          <w:t>Manuel de passation des marchés de la FICR 2018</w:t>
        </w:r>
      </w:hyperlink>
      <w:r>
        <w:t xml:space="preserve"> (Il est important de lire les chapitres :</w:t>
      </w:r>
      <w:r>
        <w:rPr>
          <w:sz w:val="20"/>
        </w:rPr>
        <w:t xml:space="preserve"> 2.2.3 Critères de préqualification des prestataires ; 2.3 sur les accords-cadres et 3.6 Passation de marchés de services liés à l'argent liquide).</w:t>
      </w:r>
    </w:p>
    <w:p w14:paraId="6382E22D" w14:textId="2B167817" w:rsidR="004C534A" w:rsidRPr="006E5C59" w:rsidRDefault="004C534A" w:rsidP="00272C59">
      <w:pPr>
        <w:rPr>
          <w:b/>
          <w:bCs/>
          <w:noProof/>
        </w:rPr>
      </w:pPr>
      <w:r>
        <w:rPr>
          <w:b/>
        </w:rPr>
        <w:t xml:space="preserve">Conseils rapides DREF et EA : </w:t>
      </w:r>
    </w:p>
    <w:p w14:paraId="30D23E0F" w14:textId="77777777" w:rsidR="00793A39" w:rsidRPr="006E5C59" w:rsidRDefault="00793A39" w:rsidP="005952BE">
      <w:pPr>
        <w:rPr>
          <w:b/>
          <w:bCs/>
          <w:color w:val="0070C0"/>
          <w:sz w:val="20"/>
          <w:szCs w:val="20"/>
        </w:rPr>
      </w:pPr>
      <w:r>
        <w:rPr>
          <w:b/>
          <w:color w:val="0070C0"/>
          <w:sz w:val="20"/>
        </w:rPr>
        <w:t>Pas de contrat existant - Processus complet de passation de marchés</w:t>
      </w:r>
    </w:p>
    <w:p w14:paraId="0CA398B3" w14:textId="39C8A373" w:rsidR="00793A39" w:rsidRPr="006E5C59" w:rsidRDefault="00793A39" w:rsidP="00793A39">
      <w:pPr>
        <w:jc w:val="both"/>
        <w:rPr>
          <w:noProof/>
          <w:sz w:val="20"/>
          <w:szCs w:val="20"/>
        </w:rPr>
      </w:pPr>
      <w:r>
        <w:rPr>
          <w:sz w:val="20"/>
        </w:rPr>
        <w:t>Dans cette situation, si vous souhaitez passer un contrat avec un PSF pour la mise en œuvre d'un TM pour un appel d'urgence / DREF, vous devrez entreprendre un processus complet de passation de marché en suivant les procédures de passation de marché de la FICR.</w:t>
      </w:r>
    </w:p>
    <w:p w14:paraId="7B25B6EF" w14:textId="77777777" w:rsidR="00793A39" w:rsidRPr="006E5C59" w:rsidRDefault="00793A39" w:rsidP="005952BE">
      <w:pPr>
        <w:rPr>
          <w:b/>
          <w:bCs/>
          <w:color w:val="0070C0"/>
          <w:sz w:val="20"/>
          <w:szCs w:val="20"/>
        </w:rPr>
      </w:pPr>
      <w:r>
        <w:rPr>
          <w:b/>
          <w:color w:val="0070C0"/>
          <w:sz w:val="20"/>
        </w:rPr>
        <w:t>Pas de contrat existant - source unique / pas de concurrence</w:t>
      </w:r>
    </w:p>
    <w:p w14:paraId="09939648" w14:textId="34805ED5" w:rsidR="00793A39" w:rsidRDefault="00793A39" w:rsidP="00793A39">
      <w:pPr>
        <w:jc w:val="both"/>
        <w:rPr>
          <w:sz w:val="20"/>
        </w:rPr>
      </w:pPr>
      <w:r>
        <w:rPr>
          <w:sz w:val="20"/>
        </w:rPr>
        <w:t>Dans cette situation, si vous souhaitez contracter un PSF pour la mise en œuvre du TM pour un appel d'urgence / DREF et qu'il n'y a qu'un seul PSF pertinent pour le contexte, vous devrez suivre les procédures de passation de marchés de la FICR et appliquer l'exception de la source unique / pas de concurrence.</w:t>
      </w:r>
    </w:p>
    <w:p w14:paraId="351C62F9" w14:textId="06F10B06" w:rsidR="00793A39" w:rsidRPr="006E5C59" w:rsidRDefault="00793A39" w:rsidP="00E107F8">
      <w:pPr>
        <w:rPr>
          <w:b/>
          <w:bCs/>
          <w:color w:val="0070C0"/>
          <w:sz w:val="20"/>
          <w:szCs w:val="20"/>
        </w:rPr>
      </w:pPr>
      <w:r>
        <w:rPr>
          <w:b/>
          <w:color w:val="0070C0"/>
          <w:sz w:val="20"/>
        </w:rPr>
        <w:t>Contrat existant - Contrôle de conformité de la passation de marchés</w:t>
      </w:r>
    </w:p>
    <w:p w14:paraId="1D0DCAD1" w14:textId="6F0DA1C8" w:rsidR="00793A39" w:rsidRPr="006E5C59" w:rsidRDefault="00793A39" w:rsidP="00E107F8">
      <w:pPr>
        <w:jc w:val="both"/>
        <w:rPr>
          <w:noProof/>
          <w:sz w:val="20"/>
          <w:szCs w:val="20"/>
        </w:rPr>
      </w:pPr>
      <w:r>
        <w:rPr>
          <w:sz w:val="20"/>
        </w:rPr>
        <w:t>Dans cette situation, si vous souhaitez utiliser un contrat existant pour un PSF afin de mettre en œuvre le TM pour un appel d'urgence/DREF, vous devrez obtenir la confirmation de l'unité logistique régionale de la FICR sur la conformité.</w:t>
      </w:r>
    </w:p>
    <w:p w14:paraId="352A7E08" w14:textId="77777777" w:rsidR="00793A39" w:rsidRPr="006E5C59" w:rsidRDefault="00793A39" w:rsidP="00E107F8">
      <w:pPr>
        <w:rPr>
          <w:b/>
          <w:bCs/>
          <w:color w:val="0070C0"/>
          <w:sz w:val="20"/>
          <w:szCs w:val="20"/>
        </w:rPr>
      </w:pPr>
      <w:r>
        <w:rPr>
          <w:b/>
          <w:color w:val="0070C0"/>
          <w:sz w:val="20"/>
        </w:rPr>
        <w:t>Contrat existant - Exceptions autorisées à l'appel d'offres</w:t>
      </w:r>
    </w:p>
    <w:p w14:paraId="5D160532" w14:textId="33DB65A8" w:rsidR="00793A39" w:rsidRPr="006E5C59" w:rsidRDefault="00793A39" w:rsidP="00B1611F">
      <w:pPr>
        <w:jc w:val="both"/>
        <w:rPr>
          <w:noProof/>
          <w:sz w:val="20"/>
          <w:szCs w:val="20"/>
        </w:rPr>
      </w:pPr>
      <w:r>
        <w:rPr>
          <w:sz w:val="20"/>
        </w:rPr>
        <w:t xml:space="preserve">Dans cette situation, si vous souhaitez utiliser un contrat existant pour un PSF pour la mise en œuvre d'une assistance en espèces pour un appel d'urgence/DREF et que </w:t>
      </w:r>
      <w:r>
        <w:rPr>
          <w:sz w:val="20"/>
          <w:u w:val="single"/>
        </w:rPr>
        <w:t>le processus n'est pas conforme ou que les services contractés doivent être modifiés</w:t>
      </w:r>
      <w:r>
        <w:rPr>
          <w:sz w:val="20"/>
        </w:rPr>
        <w:t xml:space="preserve"> pour l'opération en cours, vous devrez demander une exception autorisée à soumissionner via l'unité logistique régionale de la FICR.</w:t>
      </w:r>
    </w:p>
    <w:p w14:paraId="7B16F126" w14:textId="23F1EFC9" w:rsidR="003B4FA1" w:rsidRPr="00571F58" w:rsidRDefault="0043648C" w:rsidP="00571F58">
      <w:pPr>
        <w:pStyle w:val="Heading2"/>
      </w:pPr>
      <w:hyperlink r:id="rId22" w:history="1">
        <w:bookmarkStart w:id="16" w:name="_Toc96934166"/>
        <w:r w:rsidR="006555F6" w:rsidRPr="00571F58">
          <w:rPr>
            <w:rStyle w:val="Hyperlink"/>
            <w:color w:val="C00000"/>
            <w:u w:val="none"/>
          </w:rPr>
          <w:t>Formation en ligne gratuite</w:t>
        </w:r>
        <w:bookmarkEnd w:id="16"/>
      </w:hyperlink>
      <w:r w:rsidR="006555F6" w:rsidRPr="00571F58">
        <w:t xml:space="preserve"> </w:t>
      </w:r>
    </w:p>
    <w:p w14:paraId="1F422C03" w14:textId="1388C1E5" w:rsidR="00FF5966" w:rsidRPr="002E249A" w:rsidRDefault="003B4FA1" w:rsidP="00CE1BCD">
      <w:pPr>
        <w:jc w:val="both"/>
        <w:rPr>
          <w:sz w:val="20"/>
          <w:szCs w:val="20"/>
        </w:rPr>
      </w:pPr>
      <w:r w:rsidRPr="002E249A">
        <w:rPr>
          <w:sz w:val="20"/>
          <w:szCs w:val="20"/>
        </w:rPr>
        <w:t xml:space="preserve">La FICR a créé un cours en ligne pour guider les praticiens à travers les étapes du recours à un PSF pour les projets d'argent liquide. Le cours est destiné au personnel des programmes, de la logistique, des achats et des finances. Il est </w:t>
      </w:r>
      <w:r w:rsidRPr="002E249A">
        <w:rPr>
          <w:b/>
          <w:bCs/>
          <w:sz w:val="20"/>
          <w:szCs w:val="20"/>
        </w:rPr>
        <w:t>obligatoire</w:t>
      </w:r>
      <w:r w:rsidRPr="002E249A">
        <w:rPr>
          <w:sz w:val="20"/>
          <w:szCs w:val="20"/>
        </w:rPr>
        <w:t xml:space="preserve"> pour le personnel engagé dans la passation de marchés de PSF de suivre le cours, qui est disponible sur la plateforme d'apprentissage de la FICR </w:t>
      </w:r>
      <w:hyperlink r:id="rId23">
        <w:r w:rsidRPr="002E249A">
          <w:rPr>
            <w:rStyle w:val="Hyperlink"/>
            <w:sz w:val="20"/>
            <w:szCs w:val="20"/>
          </w:rPr>
          <w:t>ici</w:t>
        </w:r>
      </w:hyperlink>
      <w:r w:rsidRPr="002E249A">
        <w:rPr>
          <w:sz w:val="20"/>
          <w:szCs w:val="20"/>
        </w:rPr>
        <w:t xml:space="preserve">. Le cours s'étend sur 13 modules et prend environ 2 heures pour être finalisé. </w:t>
      </w:r>
    </w:p>
    <w:p w14:paraId="1CEE1E97" w14:textId="6CA3F6D7" w:rsidR="00655055" w:rsidRPr="006E5C59" w:rsidRDefault="00235FA9" w:rsidP="00FF5966">
      <w:pPr>
        <w:pStyle w:val="Heading1"/>
      </w:pPr>
      <w:bookmarkStart w:id="17" w:name="_Toc96934167"/>
      <w:r>
        <w:t>Accord-cadre de PSF</w:t>
      </w:r>
      <w:r w:rsidR="00B45A21" w:rsidRPr="006E5C59">
        <w:rPr>
          <w:rStyle w:val="FootnoteReference"/>
        </w:rPr>
        <w:footnoteReference w:id="4"/>
      </w:r>
      <w:bookmarkEnd w:id="17"/>
    </w:p>
    <w:p w14:paraId="0FDE0F70" w14:textId="73434569" w:rsidR="005B01F4" w:rsidRPr="006E5C59" w:rsidRDefault="00470D3E" w:rsidP="005B01F4">
      <w:pPr>
        <w:jc w:val="both"/>
        <w:rPr>
          <w:sz w:val="20"/>
          <w:szCs w:val="20"/>
        </w:rPr>
      </w:pPr>
      <w:r>
        <w:rPr>
          <w:sz w:val="20"/>
        </w:rPr>
        <w:t xml:space="preserve">L'établissement d'un accord-cadre avec un PSF est une </w:t>
      </w:r>
      <w:r>
        <w:rPr>
          <w:b/>
          <w:bCs/>
          <w:sz w:val="20"/>
        </w:rPr>
        <w:t>condition nécessaire</w:t>
      </w:r>
      <w:r>
        <w:rPr>
          <w:sz w:val="20"/>
        </w:rPr>
        <w:t xml:space="preserve"> pour répondre rapidement à une situation d'urgence. Le processus d'acquisition des PSF est dirigé par les Sociétés nationales et suivi de près par le personnel technique et logistique du TM/DM/Ops de la FICR dans les bureaux </w:t>
      </w:r>
      <w:proofErr w:type="spellStart"/>
      <w:r>
        <w:rPr>
          <w:sz w:val="20"/>
        </w:rPr>
        <w:t>multipays</w:t>
      </w:r>
      <w:proofErr w:type="spellEnd"/>
      <w:r>
        <w:rPr>
          <w:sz w:val="20"/>
        </w:rPr>
        <w:t xml:space="preserve"> et régionaux.</w:t>
      </w:r>
    </w:p>
    <w:p w14:paraId="5548099A" w14:textId="008339CC" w:rsidR="005B01F4" w:rsidRPr="00571F58" w:rsidRDefault="005B01F4" w:rsidP="005B01F4">
      <w:pPr>
        <w:jc w:val="both"/>
        <w:rPr>
          <w:sz w:val="20"/>
          <w:szCs w:val="20"/>
        </w:rPr>
      </w:pPr>
      <w:r w:rsidRPr="00571F58">
        <w:rPr>
          <w:b/>
          <w:bCs/>
          <w:sz w:val="20"/>
          <w:szCs w:val="20"/>
        </w:rPr>
        <w:t>Il est obligatoire que les accords-cadres de PSF soient conformes aux procédures de passation de marchés de la FICR si le contrat est utilisé pour les DREF et les EA</w:t>
      </w:r>
      <w:r w:rsidRPr="00571F58">
        <w:rPr>
          <w:sz w:val="20"/>
          <w:szCs w:val="20"/>
        </w:rPr>
        <w:t xml:space="preserve"> (voir également l'</w:t>
      </w:r>
      <w:hyperlink w:anchor="_Annex_2:_Checklist" w:history="1">
        <w:r w:rsidRPr="00571F58">
          <w:rPr>
            <w:rStyle w:val="Hyperlink"/>
            <w:sz w:val="20"/>
            <w:szCs w:val="20"/>
          </w:rPr>
          <w:t xml:space="preserve">Annexe </w:t>
        </w:r>
      </w:hyperlink>
      <w:r w:rsidRPr="00571F58">
        <w:rPr>
          <w:rStyle w:val="Hyperlink"/>
          <w:sz w:val="20"/>
          <w:szCs w:val="20"/>
        </w:rPr>
        <w:t>1</w:t>
      </w:r>
      <w:r w:rsidRPr="00571F58">
        <w:rPr>
          <w:sz w:val="20"/>
          <w:szCs w:val="20"/>
        </w:rPr>
        <w:t>)</w:t>
      </w:r>
      <w:r w:rsidRPr="00571F58">
        <w:rPr>
          <w:b/>
          <w:sz w:val="20"/>
          <w:szCs w:val="20"/>
        </w:rPr>
        <w:t>.</w:t>
      </w:r>
      <w:r w:rsidRPr="00571F58">
        <w:rPr>
          <w:sz w:val="20"/>
          <w:szCs w:val="20"/>
        </w:rPr>
        <w:t xml:space="preserve"> Les bureaux </w:t>
      </w:r>
      <w:proofErr w:type="spellStart"/>
      <w:r w:rsidRPr="00571F58">
        <w:rPr>
          <w:sz w:val="20"/>
          <w:szCs w:val="20"/>
        </w:rPr>
        <w:t>multipays</w:t>
      </w:r>
      <w:proofErr w:type="spellEnd"/>
      <w:r w:rsidRPr="00571F58">
        <w:rPr>
          <w:sz w:val="20"/>
          <w:szCs w:val="20"/>
        </w:rPr>
        <w:t xml:space="preserve"> sont encouragés à s'engager avec les SNP dans les pays pour s'assurer qu'ils sont conscients de cette exigence si et quand ils soutiennent les Sociétés nationales dans la passation de marchés de PSF. </w:t>
      </w:r>
    </w:p>
    <w:p w14:paraId="11067A6A" w14:textId="678DD1EC" w:rsidR="00840513" w:rsidRPr="006E5C59" w:rsidRDefault="00832622" w:rsidP="005B01F4">
      <w:pPr>
        <w:jc w:val="both"/>
        <w:rPr>
          <w:b/>
          <w:bCs/>
          <w:sz w:val="20"/>
          <w:szCs w:val="20"/>
          <w:shd w:val="clear" w:color="auto" w:fill="FFFFFF"/>
        </w:rPr>
      </w:pPr>
      <w:r>
        <w:rPr>
          <w:b/>
          <w:sz w:val="20"/>
          <w:shd w:val="clear" w:color="auto" w:fill="FFFFFF"/>
        </w:rPr>
        <w:t xml:space="preserve">Pour les distributions d'argent par des tiers, l'approbation technique </w:t>
      </w:r>
      <w:proofErr w:type="gramStart"/>
      <w:r>
        <w:rPr>
          <w:b/>
          <w:sz w:val="20"/>
          <w:shd w:val="clear" w:color="auto" w:fill="FFFFFF"/>
        </w:rPr>
        <w:t>du services</w:t>
      </w:r>
      <w:proofErr w:type="gramEnd"/>
      <w:r>
        <w:rPr>
          <w:b/>
          <w:sz w:val="20"/>
          <w:shd w:val="clear" w:color="auto" w:fill="FFFFFF"/>
        </w:rPr>
        <w:t xml:space="preserve"> d’approvisionnement en PSF doit toujours être demandée au bureau régional de la logistique et des achats, quelle que soit la valeur du marché. Cela est dû aux risques inhérents aux PSF tiers.</w:t>
      </w:r>
    </w:p>
    <w:p w14:paraId="546A430E" w14:textId="77777777" w:rsidR="00840513" w:rsidRPr="002E249A" w:rsidRDefault="00840513" w:rsidP="00840513">
      <w:pPr>
        <w:rPr>
          <w:sz w:val="20"/>
          <w:szCs w:val="20"/>
        </w:rPr>
      </w:pPr>
      <w:r w:rsidRPr="002E249A">
        <w:rPr>
          <w:sz w:val="20"/>
          <w:szCs w:val="20"/>
        </w:rPr>
        <w:t xml:space="preserve">Points clés : </w:t>
      </w:r>
    </w:p>
    <w:p w14:paraId="5B168D71" w14:textId="05EF74D4" w:rsidR="00840513" w:rsidRPr="002E249A"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2E249A">
        <w:rPr>
          <w:sz w:val="20"/>
          <w:szCs w:val="20"/>
        </w:rPr>
        <w:t>Un appel d'offres ouvert nécessite une annonce publique (modèles dans le manuel des achats) et permet à tous les prestataires potentiels intéressés de participer. Les appels d'offres ouverts peuvent être des appels d'offres internationaux ou locaux.</w:t>
      </w:r>
    </w:p>
    <w:p w14:paraId="0B3D16E0" w14:textId="77777777" w:rsidR="00840513" w:rsidRPr="002E249A"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2E249A">
        <w:rPr>
          <w:sz w:val="20"/>
          <w:szCs w:val="20"/>
        </w:rPr>
        <w:t>Les prestataires potentiels des AC sont sélectionnés sur la base de critères stricts, tels que le professionnalisme et la connaissance du commerce international, la fiabilité, la capacité de service, la couverture, la liquidité, la fourchette de prix, l'assurance qualité, le respect des réglementations et leurs antécédents.</w:t>
      </w:r>
    </w:p>
    <w:p w14:paraId="41A3354A" w14:textId="77777777" w:rsidR="00840513" w:rsidRPr="002E249A"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2E249A">
        <w:rPr>
          <w:sz w:val="20"/>
          <w:szCs w:val="20"/>
        </w:rPr>
        <w:t xml:space="preserve">La durée du contrat est de 2 ans avec une extension possible de 2 ans, soit un maximum de 4 ans au total. </w:t>
      </w:r>
    </w:p>
    <w:p w14:paraId="2D402E47" w14:textId="77777777" w:rsidR="00840513" w:rsidRPr="002E249A"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2E249A">
        <w:rPr>
          <w:sz w:val="20"/>
          <w:szCs w:val="20"/>
        </w:rPr>
        <w:t>Les prestataires n'ont aucune obligation légale de commander une quantité minimale ou maximale.</w:t>
      </w:r>
    </w:p>
    <w:p w14:paraId="123C1DD5" w14:textId="12CE732A" w:rsidR="00840513" w:rsidRPr="002E249A"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2E249A">
        <w:rPr>
          <w:sz w:val="20"/>
          <w:szCs w:val="20"/>
        </w:rPr>
        <w:t>Les AC sont non exclusifs, la FICR peut donc établir des AC avec différents prestataires pour les mêmes services.</w:t>
      </w:r>
    </w:p>
    <w:p w14:paraId="44ADA39B" w14:textId="28F9A404" w:rsidR="00840513" w:rsidRPr="002E249A" w:rsidRDefault="00840513" w:rsidP="00DB6AC2">
      <w:pPr>
        <w:pStyle w:val="ListParagraph"/>
        <w:numPr>
          <w:ilvl w:val="0"/>
          <w:numId w:val="16"/>
        </w:numPr>
        <w:spacing w:after="240"/>
        <w:ind w:left="714" w:hanging="357"/>
        <w:contextualSpacing w:val="0"/>
        <w:rPr>
          <w:sz w:val="20"/>
          <w:szCs w:val="20"/>
        </w:rPr>
      </w:pPr>
      <w:r w:rsidRPr="002E249A">
        <w:rPr>
          <w:sz w:val="20"/>
          <w:szCs w:val="20"/>
        </w:rPr>
        <w:t xml:space="preserve">L’AC ne détaillera pas explicitement la valeur du transfert. Il détaillera le service requis et une valeur type (une moyenne ou peut-être une fourchette) qui aidera le PSF à établir le tarif des frais pour le service prévu et à comprendre les besoins en liquidités dont il aura besoin. </w:t>
      </w:r>
    </w:p>
    <w:p w14:paraId="707775D0" w14:textId="31EF9D7B" w:rsidR="00EC1A29" w:rsidRPr="006E5C59" w:rsidRDefault="001B4714" w:rsidP="00C355EF">
      <w:pPr>
        <w:jc w:val="both"/>
        <w:rPr>
          <w:sz w:val="20"/>
          <w:szCs w:val="20"/>
        </w:rPr>
      </w:pPr>
      <w:r>
        <w:rPr>
          <w:b/>
          <w:bCs/>
          <w:sz w:val="20"/>
        </w:rPr>
        <w:t>Les accords-cadres peuvent être conclus pour une durée maximale de 2 ans, avec une possibilité d'extension de 2 ans</w:t>
      </w:r>
      <w:r>
        <w:rPr>
          <w:sz w:val="20"/>
        </w:rPr>
        <w:t>, la durée maximale étant donc de 4 ans. Les accords-cadres ne doivent pas être des contrats à durée indéterminée. Le marché des PSF change souvent, et il est nécessaire de mener périodiquement (tous les 2 ou 4 ans) un appel d'offres ouvert pour rétablir l'AC et/ou décider s'il est toujours nécessaire. Il est conseillé aux Sociétés nationales de mener fréquemment des études de marché sur les PSF afin de décider s'il convient de maintenir l’accord-cadre existant ou de passer un contrat avec d'autres PSF.</w:t>
      </w:r>
    </w:p>
    <w:p w14:paraId="74ED566D" w14:textId="77777777" w:rsidR="00EC1A29" w:rsidRPr="006E5C59" w:rsidRDefault="00EC1A29" w:rsidP="00C355EF">
      <w:pPr>
        <w:jc w:val="both"/>
        <w:rPr>
          <w:sz w:val="20"/>
          <w:szCs w:val="20"/>
        </w:rPr>
      </w:pPr>
      <w:r>
        <w:rPr>
          <w:b/>
          <w:bCs/>
          <w:sz w:val="20"/>
        </w:rPr>
        <w:lastRenderedPageBreak/>
        <w:t>En cas de prolongation d'un AC</w:t>
      </w:r>
      <w:r>
        <w:rPr>
          <w:sz w:val="20"/>
        </w:rPr>
        <w:t xml:space="preserve">, les exigences ou les spécifications du service doivent être mises à jour afin de refléter les enseignements tirés du contrat actuel et d'améliorer le service à l'avenir. </w:t>
      </w:r>
    </w:p>
    <w:p w14:paraId="7DDF2925" w14:textId="5D0421C4" w:rsidR="001B4714" w:rsidRPr="006E5C59" w:rsidRDefault="00EC1A29" w:rsidP="00C355EF">
      <w:pPr>
        <w:jc w:val="both"/>
        <w:rPr>
          <w:sz w:val="20"/>
          <w:szCs w:val="20"/>
        </w:rPr>
      </w:pPr>
      <w:r>
        <w:rPr>
          <w:b/>
          <w:bCs/>
          <w:sz w:val="20"/>
        </w:rPr>
        <w:t>Si un nouvel appel d'offres est lancé</w:t>
      </w:r>
      <w:r>
        <w:rPr>
          <w:sz w:val="20"/>
        </w:rPr>
        <w:t xml:space="preserve">, il doit s'agir d'un appel d'offres ouvert pour une nouvel </w:t>
      </w:r>
      <w:r w:rsidR="00AB482D">
        <w:rPr>
          <w:sz w:val="20"/>
        </w:rPr>
        <w:t>Accords-cadres</w:t>
      </w:r>
      <w:r>
        <w:rPr>
          <w:sz w:val="20"/>
        </w:rPr>
        <w:t xml:space="preserve"> qui répond aux exigences de la FICR. Il est possible d'attribuer le nouvel AC au PSF actuel (titulaire) si, après l'évaluation et l'analyse comparative des offres (ACO), il est démontré que le titulaire est le PSF le plus approprié.</w:t>
      </w:r>
    </w:p>
    <w:p w14:paraId="4E0F4E9B" w14:textId="3AC3A008" w:rsidR="00D479B0" w:rsidRPr="006E5C59" w:rsidRDefault="00840513" w:rsidP="00C355EF">
      <w:pPr>
        <w:jc w:val="both"/>
      </w:pPr>
      <w:r>
        <w:rPr>
          <w:sz w:val="20"/>
        </w:rPr>
        <w:t>Des informations supplémentaires sur la passation de marchés pour les PSF, les documents clés et les modèles peuvent être trouvés dans la fiche conseil de l'accord-cadre PSF de la FICR :</w:t>
      </w:r>
    </w:p>
    <w:bookmarkStart w:id="18" w:name="_MON_1687177280"/>
    <w:bookmarkEnd w:id="18"/>
    <w:p w14:paraId="6BEB1D96" w14:textId="1D440449" w:rsidR="009D7152" w:rsidRPr="006E5C59" w:rsidRDefault="008C6A0D">
      <w:r>
        <w:object w:dxaOrig="1541" w:dyaOrig="998" w14:anchorId="160CB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77.3pt;height:50.25pt" o:ole="">
            <v:imagedata r:id="rId24" o:title=""/>
          </v:shape>
          <o:OLEObject Type="Embed" ProgID="Word.Document.12" ShapeID="_x0000_i1070" DrawAspect="Icon" ObjectID="_1707549596" r:id="rId25">
            <o:FieldCodes>\s</o:FieldCodes>
          </o:OLEObject>
        </w:object>
      </w:r>
    </w:p>
    <w:tbl>
      <w:tblPr>
        <w:tblStyle w:val="TableGrid"/>
        <w:tblW w:w="0" w:type="auto"/>
        <w:tblLook w:val="04A0" w:firstRow="1" w:lastRow="0" w:firstColumn="1" w:lastColumn="0" w:noHBand="0" w:noVBand="1"/>
      </w:tblPr>
      <w:tblGrid>
        <w:gridCol w:w="8996"/>
      </w:tblGrid>
      <w:tr w:rsidR="00AE6AD3" w:rsidRPr="006E5C59" w14:paraId="1FC3F7D5" w14:textId="77777777" w:rsidTr="00CC6508">
        <w:tc>
          <w:tcPr>
            <w:tcW w:w="8996" w:type="dxa"/>
            <w:tcBorders>
              <w:top w:val="single" w:sz="12" w:space="0" w:color="C00000"/>
              <w:left w:val="single" w:sz="12" w:space="0" w:color="C00000"/>
              <w:bottom w:val="single" w:sz="12" w:space="0" w:color="C00000"/>
              <w:right w:val="single" w:sz="12" w:space="0" w:color="C00000"/>
            </w:tcBorders>
            <w:shd w:val="clear" w:color="auto" w:fill="D9D9D9" w:themeFill="background1" w:themeFillShade="D9"/>
          </w:tcPr>
          <w:p w14:paraId="54966FE5" w14:textId="7F2A0BCC" w:rsidR="00AE6AD3" w:rsidRDefault="00AE6AD3" w:rsidP="00CC6508">
            <w:pPr>
              <w:jc w:val="both"/>
              <w:rPr>
                <w:b/>
                <w:color w:val="000000" w:themeColor="text1"/>
              </w:rPr>
            </w:pPr>
            <w:r>
              <w:rPr>
                <w:b/>
                <w:color w:val="000000" w:themeColor="text1"/>
              </w:rPr>
              <w:t xml:space="preserve">Important à retenir : </w:t>
            </w:r>
          </w:p>
          <w:p w14:paraId="1FBBB561" w14:textId="77777777" w:rsidR="002E249A" w:rsidRPr="006E5C59" w:rsidRDefault="002E249A" w:rsidP="00CC6508">
            <w:pPr>
              <w:jc w:val="both"/>
              <w:rPr>
                <w:b/>
                <w:bCs/>
                <w:color w:val="000000" w:themeColor="text1"/>
              </w:rPr>
            </w:pPr>
          </w:p>
          <w:p w14:paraId="2A4F98B5" w14:textId="77777777" w:rsidR="00AE6AD3" w:rsidRPr="002E249A" w:rsidRDefault="00AE6AD3" w:rsidP="00AE6AD3">
            <w:pPr>
              <w:pStyle w:val="ListParagraph"/>
              <w:numPr>
                <w:ilvl w:val="0"/>
                <w:numId w:val="6"/>
              </w:numPr>
              <w:spacing w:after="80"/>
              <w:ind w:hanging="357"/>
              <w:contextualSpacing w:val="0"/>
              <w:jc w:val="both"/>
              <w:rPr>
                <w:sz w:val="20"/>
                <w:szCs w:val="20"/>
              </w:rPr>
            </w:pPr>
            <w:r w:rsidRPr="002E249A">
              <w:rPr>
                <w:sz w:val="20"/>
                <w:szCs w:val="20"/>
              </w:rPr>
              <w:t xml:space="preserve">Une Société nationale peut détenir plus d'un accord-cadre PSF en fonction, par exemple, de la couverture dans les zones opérationnelles. </w:t>
            </w:r>
          </w:p>
          <w:p w14:paraId="4AA21C8A" w14:textId="77777777" w:rsidR="00AE6AD3" w:rsidRPr="002E249A" w:rsidRDefault="00AE6AD3" w:rsidP="00AE6AD3">
            <w:pPr>
              <w:pStyle w:val="ListParagraph"/>
              <w:numPr>
                <w:ilvl w:val="0"/>
                <w:numId w:val="6"/>
              </w:numPr>
              <w:spacing w:after="80"/>
              <w:ind w:hanging="357"/>
              <w:contextualSpacing w:val="0"/>
              <w:jc w:val="both"/>
              <w:rPr>
                <w:sz w:val="20"/>
                <w:szCs w:val="20"/>
              </w:rPr>
            </w:pPr>
            <w:r w:rsidRPr="002E249A">
              <w:rPr>
                <w:sz w:val="20"/>
                <w:szCs w:val="20"/>
              </w:rPr>
              <w:t xml:space="preserve">Il faut prévoir entre </w:t>
            </w:r>
            <w:r w:rsidRPr="002E249A">
              <w:rPr>
                <w:b/>
                <w:bCs/>
                <w:sz w:val="20"/>
                <w:szCs w:val="20"/>
              </w:rPr>
              <w:t>8 et 12 semaines</w:t>
            </w:r>
            <w:r w:rsidRPr="002E249A">
              <w:rPr>
                <w:sz w:val="20"/>
                <w:szCs w:val="20"/>
              </w:rPr>
              <w:t xml:space="preserve"> pour l'ensemble du processus de passation de marché : </w:t>
            </w:r>
          </w:p>
          <w:p w14:paraId="482DAA3B" w14:textId="77777777" w:rsidR="00AE6AD3" w:rsidRPr="002E249A" w:rsidRDefault="00AE6AD3" w:rsidP="00AE6AD3">
            <w:pPr>
              <w:pStyle w:val="ListParagraph"/>
              <w:numPr>
                <w:ilvl w:val="1"/>
                <w:numId w:val="6"/>
              </w:numPr>
              <w:spacing w:after="80"/>
              <w:ind w:hanging="357"/>
              <w:contextualSpacing w:val="0"/>
              <w:jc w:val="both"/>
              <w:rPr>
                <w:sz w:val="20"/>
                <w:szCs w:val="20"/>
              </w:rPr>
            </w:pPr>
            <w:r w:rsidRPr="002E249A">
              <w:rPr>
                <w:sz w:val="20"/>
                <w:szCs w:val="20"/>
              </w:rPr>
              <w:t>Prévoyez 2 à 3 semaines pour établir le cahier des charges et lancer l'appel d'offres.</w:t>
            </w:r>
          </w:p>
          <w:p w14:paraId="1AE879F2" w14:textId="77777777" w:rsidR="00AE6AD3" w:rsidRPr="002E249A" w:rsidRDefault="00AE6AD3" w:rsidP="00AE6AD3">
            <w:pPr>
              <w:pStyle w:val="ListParagraph"/>
              <w:numPr>
                <w:ilvl w:val="1"/>
                <w:numId w:val="6"/>
              </w:numPr>
              <w:spacing w:after="80"/>
              <w:ind w:hanging="357"/>
              <w:contextualSpacing w:val="0"/>
              <w:jc w:val="both"/>
              <w:rPr>
                <w:sz w:val="20"/>
                <w:szCs w:val="20"/>
              </w:rPr>
            </w:pPr>
            <w:r w:rsidRPr="002E249A">
              <w:rPr>
                <w:sz w:val="20"/>
                <w:szCs w:val="20"/>
              </w:rPr>
              <w:t xml:space="preserve">Prévoir 2 à 3 semaines pour les réponses aux appels d'offres </w:t>
            </w:r>
          </w:p>
          <w:p w14:paraId="639AEA97" w14:textId="77777777" w:rsidR="00AE6AD3" w:rsidRPr="002E249A" w:rsidRDefault="00AE6AD3" w:rsidP="00AE6AD3">
            <w:pPr>
              <w:pStyle w:val="ListParagraph"/>
              <w:numPr>
                <w:ilvl w:val="1"/>
                <w:numId w:val="6"/>
              </w:numPr>
              <w:spacing w:after="80"/>
              <w:ind w:hanging="357"/>
              <w:contextualSpacing w:val="0"/>
              <w:jc w:val="both"/>
              <w:rPr>
                <w:sz w:val="20"/>
                <w:szCs w:val="20"/>
              </w:rPr>
            </w:pPr>
            <w:r w:rsidRPr="002E249A">
              <w:rPr>
                <w:sz w:val="20"/>
                <w:szCs w:val="20"/>
              </w:rPr>
              <w:t xml:space="preserve">Prévoir un délai pour l'évaluation des offres </w:t>
            </w:r>
          </w:p>
          <w:p w14:paraId="49268D1B" w14:textId="77777777" w:rsidR="00AE6AD3" w:rsidRPr="002E249A" w:rsidRDefault="00AE6AD3" w:rsidP="00AE6AD3">
            <w:pPr>
              <w:pStyle w:val="ListParagraph"/>
              <w:numPr>
                <w:ilvl w:val="1"/>
                <w:numId w:val="6"/>
              </w:numPr>
              <w:spacing w:after="80"/>
              <w:ind w:hanging="357"/>
              <w:contextualSpacing w:val="0"/>
              <w:jc w:val="both"/>
              <w:rPr>
                <w:sz w:val="20"/>
                <w:szCs w:val="20"/>
              </w:rPr>
            </w:pPr>
            <w:r w:rsidRPr="002E249A">
              <w:rPr>
                <w:sz w:val="20"/>
                <w:szCs w:val="20"/>
              </w:rPr>
              <w:t xml:space="preserve">Prévoir 2 semaines pour la conclusion du contrat </w:t>
            </w:r>
          </w:p>
          <w:p w14:paraId="082674B1" w14:textId="39B5681B" w:rsidR="00AE6AD3" w:rsidRPr="002E249A" w:rsidRDefault="00AE6AD3" w:rsidP="00583282">
            <w:pPr>
              <w:pStyle w:val="ListParagraph"/>
              <w:numPr>
                <w:ilvl w:val="0"/>
                <w:numId w:val="6"/>
              </w:numPr>
              <w:spacing w:after="80"/>
              <w:ind w:hanging="357"/>
              <w:contextualSpacing w:val="0"/>
              <w:rPr>
                <w:sz w:val="20"/>
                <w:szCs w:val="20"/>
              </w:rPr>
            </w:pPr>
            <w:r w:rsidRPr="002E249A">
              <w:rPr>
                <w:sz w:val="20"/>
                <w:szCs w:val="20"/>
              </w:rPr>
              <w:t xml:space="preserve">Intégrez la </w:t>
            </w:r>
            <w:r w:rsidRPr="002E249A">
              <w:rPr>
                <w:b/>
                <w:bCs/>
                <w:sz w:val="20"/>
                <w:szCs w:val="20"/>
              </w:rPr>
              <w:t>protection et la gestion des données</w:t>
            </w:r>
            <w:r w:rsidRPr="002E249A">
              <w:rPr>
                <w:sz w:val="20"/>
                <w:szCs w:val="20"/>
              </w:rPr>
              <w:t xml:space="preserve"> dès le début, y compris dans la cartographie du PSF, le cahier des charges et le contrat. Une section standard de protection des données est incluse dans le format EDT et une annexe existe pour le contrat de PSF sur le traitement des données. La FICR a en outre élaboré un projet de questionnaire que les SN peuvent utiliser dans leur engagement avec les PSF pour comprendre leurs capacités en matière de protection et de gestion des données. Si un soutien est nécessaire, les SN peuvent contacter le coordinateur régional des TM afin d'obtenir le soutien de la SNP.</w:t>
            </w:r>
            <w:r w:rsidRPr="002E249A">
              <w:rPr>
                <w:sz w:val="20"/>
                <w:szCs w:val="20"/>
              </w:rPr>
              <w:br/>
            </w:r>
            <w:r w:rsidRPr="002E249A">
              <w:rPr>
                <w:sz w:val="20"/>
                <w:szCs w:val="20"/>
              </w:rPr>
              <w:object w:dxaOrig="1541" w:dyaOrig="998" w14:anchorId="22B3537C">
                <v:shape id="_x0000_i1071" type="#_x0000_t75" style="width:77.3pt;height:50.25pt" o:ole="">
                  <v:imagedata r:id="rId26" o:title=""/>
                </v:shape>
                <o:OLEObject Type="Embed" ProgID="Word.Document.12" ShapeID="_x0000_i1071" DrawAspect="Icon" ObjectID="_1707549597" r:id="rId27">
                  <o:FieldCodes>\s</o:FieldCodes>
                </o:OLEObject>
              </w:object>
            </w:r>
            <w:r w:rsidRPr="002E249A">
              <w:rPr>
                <w:sz w:val="20"/>
                <w:szCs w:val="20"/>
              </w:rPr>
              <w:t xml:space="preserve"> </w:t>
            </w:r>
          </w:p>
          <w:p w14:paraId="4657577C" w14:textId="77777777" w:rsidR="00AE6AD3" w:rsidRPr="006E5C59" w:rsidRDefault="00AE6AD3" w:rsidP="00AE6AD3">
            <w:pPr>
              <w:pStyle w:val="ListParagraph"/>
              <w:numPr>
                <w:ilvl w:val="0"/>
                <w:numId w:val="6"/>
              </w:numPr>
              <w:spacing w:after="80"/>
              <w:ind w:hanging="357"/>
              <w:contextualSpacing w:val="0"/>
              <w:jc w:val="both"/>
              <w:rPr>
                <w:sz w:val="20"/>
                <w:szCs w:val="20"/>
              </w:rPr>
            </w:pPr>
            <w:r w:rsidRPr="002E249A">
              <w:rPr>
                <w:sz w:val="20"/>
                <w:szCs w:val="20"/>
              </w:rPr>
              <w:t xml:space="preserve">Trouver un </w:t>
            </w:r>
            <w:r w:rsidRPr="002E249A">
              <w:rPr>
                <w:b/>
                <w:bCs/>
                <w:sz w:val="20"/>
                <w:szCs w:val="20"/>
              </w:rPr>
              <w:t>équilibre entre les exigences obligatoires et les exigences préférentielles</w:t>
            </w:r>
            <w:r w:rsidRPr="002E249A">
              <w:rPr>
                <w:sz w:val="20"/>
                <w:szCs w:val="20"/>
              </w:rPr>
              <w:t xml:space="preserve"> pour garantir le succès de l'appel d'offres. Si certains PSF ne sont pas en mesure de répondre aux exigences préférentielles, le MCRCR peut aider les PSF à renforcer leurs systèmes et procédures afin de respecter les exigences du programme. </w:t>
            </w:r>
          </w:p>
        </w:tc>
      </w:tr>
    </w:tbl>
    <w:p w14:paraId="601CF956" w14:textId="77777777" w:rsidR="00AE6AD3" w:rsidRPr="006E5C59" w:rsidRDefault="00AE6AD3"/>
    <w:p w14:paraId="1F2555B1" w14:textId="34A2E757" w:rsidR="00840513" w:rsidRPr="006E5C59" w:rsidRDefault="00840513" w:rsidP="0018711D">
      <w:pPr>
        <w:pStyle w:val="Heading1"/>
      </w:pPr>
      <w:bookmarkStart w:id="19" w:name="_Toc96934168"/>
      <w:r>
        <w:t>Utilisation/activation de l'accord-cadre des PSF</w:t>
      </w:r>
      <w:bookmarkEnd w:id="19"/>
    </w:p>
    <w:p w14:paraId="76551C6C" w14:textId="77777777" w:rsidR="00840513" w:rsidRPr="006E5C59" w:rsidRDefault="00840513" w:rsidP="00840513">
      <w:pPr>
        <w:jc w:val="both"/>
        <w:rPr>
          <w:sz w:val="20"/>
          <w:szCs w:val="20"/>
          <w:bdr w:val="none" w:sz="0" w:space="0" w:color="auto" w:frame="1"/>
        </w:rPr>
      </w:pPr>
      <w:r>
        <w:rPr>
          <w:sz w:val="20"/>
          <w:bdr w:val="none" w:sz="0" w:space="0" w:color="auto" w:frame="1"/>
        </w:rPr>
        <w:t xml:space="preserve">Comme l'accord-cadre est un contrat destiné à être utilisé pour des situations répétées, il ne contient pas les détails exacts des distributions/services à fournir. </w:t>
      </w:r>
    </w:p>
    <w:p w14:paraId="3A30531F" w14:textId="62551F4E" w:rsidR="00840513" w:rsidRPr="006E5C59" w:rsidRDefault="00840513" w:rsidP="00840513">
      <w:pPr>
        <w:jc w:val="both"/>
        <w:rPr>
          <w:sz w:val="20"/>
          <w:szCs w:val="20"/>
          <w:bdr w:val="none" w:sz="0" w:space="0" w:color="auto" w:frame="1"/>
        </w:rPr>
      </w:pPr>
      <w:r>
        <w:rPr>
          <w:b/>
          <w:sz w:val="20"/>
          <w:bdr w:val="none" w:sz="0" w:space="0" w:color="auto" w:frame="1"/>
        </w:rPr>
        <w:t>Le service prédéfini avec les termes, conditions et frais convenus peut être utilisé en plaçant un Bon de commande (BC) via la logistique en soumettant une demande de logistique et un cahier des charges spécifique au programme.</w:t>
      </w:r>
      <w:r>
        <w:rPr>
          <w:sz w:val="20"/>
          <w:bdr w:val="none" w:sz="0" w:space="0" w:color="auto" w:frame="1"/>
        </w:rPr>
        <w:t xml:space="preserve"> Le bon de commande contient généralement une </w:t>
      </w:r>
      <w:r>
        <w:rPr>
          <w:b/>
          <w:bCs/>
          <w:sz w:val="20"/>
          <w:bdr w:val="none" w:sz="0" w:space="0" w:color="auto" w:frame="1"/>
        </w:rPr>
        <w:t>annexe avec le cahier des charges</w:t>
      </w:r>
      <w:r>
        <w:rPr>
          <w:sz w:val="20"/>
          <w:bdr w:val="none" w:sz="0" w:space="0" w:color="auto" w:frame="1"/>
        </w:rPr>
        <w:t xml:space="preserve"> qui détaille la prestation et les </w:t>
      </w:r>
      <w:r>
        <w:rPr>
          <w:sz w:val="20"/>
          <w:bdr w:val="none" w:sz="0" w:space="0" w:color="auto" w:frame="1"/>
        </w:rPr>
        <w:lastRenderedPageBreak/>
        <w:t>services d'assistance en espèces, c'est-à-dire le nombre de personnes, la valeur du transfert, les versements, les lieux, la durée du projet et le calendrier de livraison dans le cadre de l'accord-cadre.</w:t>
      </w:r>
    </w:p>
    <w:p w14:paraId="10DD5DCC" w14:textId="5F9A119F" w:rsidR="00D75BAF" w:rsidRPr="006E5C59" w:rsidRDefault="00840513" w:rsidP="00AE6AD3">
      <w:pPr>
        <w:jc w:val="both"/>
        <w:rPr>
          <w:sz w:val="20"/>
          <w:szCs w:val="20"/>
          <w:bdr w:val="none" w:sz="0" w:space="0" w:color="auto" w:frame="1"/>
        </w:rPr>
      </w:pPr>
      <w:r>
        <w:rPr>
          <w:sz w:val="20"/>
          <w:bdr w:val="none" w:sz="0" w:space="0" w:color="auto" w:frame="1"/>
        </w:rPr>
        <w:t xml:space="preserve">L'addendum doit être examiné et approuvé par les points focaux des TM au niveau du cluster et de la région. </w:t>
      </w:r>
    </w:p>
    <w:p w14:paraId="49722D4F" w14:textId="079B0E3C" w:rsidR="002D2D4B" w:rsidRPr="006E5C59" w:rsidRDefault="0029568D" w:rsidP="0018711D">
      <w:pPr>
        <w:pStyle w:val="Heading1"/>
      </w:pPr>
      <w:bookmarkStart w:id="20" w:name="_Toc83225662"/>
      <w:bookmarkStart w:id="21" w:name="_Toc83225663"/>
      <w:bookmarkStart w:id="22" w:name="_Toc83225664"/>
      <w:bookmarkStart w:id="23" w:name="_Toc83225665"/>
      <w:bookmarkStart w:id="24" w:name="_Toc83225666"/>
      <w:bookmarkStart w:id="25" w:name="_Toc83225667"/>
      <w:bookmarkStart w:id="26" w:name="_Toc96934169"/>
      <w:bookmarkEnd w:id="20"/>
      <w:bookmarkEnd w:id="21"/>
      <w:bookmarkEnd w:id="22"/>
      <w:bookmarkEnd w:id="23"/>
      <w:bookmarkEnd w:id="24"/>
      <w:bookmarkEnd w:id="25"/>
      <w:r>
        <w:t>Demande d'approbation exceptionnelle</w:t>
      </w:r>
      <w:bookmarkEnd w:id="26"/>
    </w:p>
    <w:p w14:paraId="29C6B9CE" w14:textId="3522F275" w:rsidR="00D4500C" w:rsidRPr="006E5C59" w:rsidRDefault="00D4500C" w:rsidP="005E7235">
      <w:pPr>
        <w:jc w:val="both"/>
        <w:rPr>
          <w:sz w:val="20"/>
          <w:szCs w:val="20"/>
        </w:rPr>
      </w:pPr>
      <w:r>
        <w:rPr>
          <w:sz w:val="20"/>
        </w:rPr>
        <w:t xml:space="preserve">Une approbation exceptionnelle pour contracter un PSF qui n'est pas conforme à la FICR peut être donnée dans différentes circonstances. Ces circonstances incluent généralement des scénarios où un processus d'appel d'offres n'est pas faisable ou pas pratique à entreprendre ou dans d'autres circonstances décrites au paragraphe 2.7 : Exceptions au processus d'appel d'offres du Manuel de passation des marchés de la FICR. Dans le cadre des exceptions autorisées, des engagements contractuels peuvent être pris sur la base d'une seule offre avec un prestataire qualifié dont l'offre répond substantiellement aux exigences du programme PSF à un prix de marché accepté et compétitif. Ce processus peut être pertinent dans les cas où les SN prévoient de répondre à une urgence mais n'ont pas encore mis en place un accord-cadre PSF conforme à la FICR. Les raisons les plus courantes pour demander une approbation exceptionnelle sont les suivantes : </w:t>
      </w:r>
    </w:p>
    <w:p w14:paraId="4AB3CEBC" w14:textId="77777777" w:rsidR="00BD734A" w:rsidRPr="006E5C59" w:rsidRDefault="009D7152" w:rsidP="00BD734A">
      <w:pPr>
        <w:pStyle w:val="ListParagraph"/>
        <w:numPr>
          <w:ilvl w:val="0"/>
          <w:numId w:val="23"/>
        </w:numPr>
        <w:jc w:val="both"/>
        <w:rPr>
          <w:sz w:val="20"/>
          <w:szCs w:val="20"/>
        </w:rPr>
      </w:pPr>
      <w:r>
        <w:rPr>
          <w:sz w:val="20"/>
        </w:rPr>
        <w:t>La SN a un contrat de service avec un PSF qu'elle souhaite engager à nouveau.</w:t>
      </w:r>
    </w:p>
    <w:p w14:paraId="0B5F1C4A" w14:textId="77777777" w:rsidR="006D0630" w:rsidRPr="006E5C59" w:rsidRDefault="00BD734A" w:rsidP="00BD734A">
      <w:pPr>
        <w:pStyle w:val="ListParagraph"/>
        <w:numPr>
          <w:ilvl w:val="0"/>
          <w:numId w:val="23"/>
        </w:numPr>
        <w:jc w:val="both"/>
        <w:rPr>
          <w:sz w:val="20"/>
          <w:szCs w:val="20"/>
        </w:rPr>
      </w:pPr>
      <w:r>
        <w:rPr>
          <w:sz w:val="20"/>
        </w:rPr>
        <w:t xml:space="preserve">Le SN a un accord-cadre non conforme à la FICR. </w:t>
      </w:r>
    </w:p>
    <w:p w14:paraId="0624E14D" w14:textId="7B78E463" w:rsidR="006D0630" w:rsidRPr="006E5C59" w:rsidRDefault="006D0630" w:rsidP="00BD734A">
      <w:pPr>
        <w:pStyle w:val="ListParagraph"/>
        <w:numPr>
          <w:ilvl w:val="0"/>
          <w:numId w:val="23"/>
        </w:numPr>
        <w:jc w:val="both"/>
        <w:rPr>
          <w:sz w:val="20"/>
          <w:szCs w:val="20"/>
        </w:rPr>
      </w:pPr>
      <w:r>
        <w:rPr>
          <w:sz w:val="20"/>
        </w:rPr>
        <w:t>La SN travaille dans un environnement où il n'y a pas de concurrence (c'est-à-dire qu'il n'y a qu'un seul prestataire de services de PSF dans une zone spécifique).</w:t>
      </w:r>
    </w:p>
    <w:p w14:paraId="686EFD30" w14:textId="77777777" w:rsidR="00CF2AD2" w:rsidRPr="006E5C59" w:rsidRDefault="00031383" w:rsidP="00031383">
      <w:pPr>
        <w:jc w:val="both"/>
        <w:rPr>
          <w:sz w:val="20"/>
          <w:szCs w:val="20"/>
        </w:rPr>
      </w:pPr>
      <w:r>
        <w:rPr>
          <w:sz w:val="20"/>
        </w:rPr>
        <w:t>Les seuils d'achat pour les différents niveaux et montants d'achat sont disponibles ici :</w:t>
      </w:r>
    </w:p>
    <w:p w14:paraId="0985201A" w14:textId="7F68897A" w:rsidR="00031383" w:rsidRPr="006E5C59" w:rsidRDefault="00031383" w:rsidP="00031383">
      <w:pPr>
        <w:jc w:val="both"/>
        <w:rPr>
          <w:sz w:val="20"/>
          <w:szCs w:val="20"/>
        </w:rPr>
      </w:pPr>
      <w:r>
        <w:rPr>
          <w:sz w:val="20"/>
        </w:rPr>
        <w:t xml:space="preserve"> </w:t>
      </w:r>
      <w:r>
        <w:object w:dxaOrig="1508" w:dyaOrig="984" w14:anchorId="7AEF2319">
          <v:shape id="_x0000_i1072" type="#_x0000_t75" style="width:75.8pt;height:49.5pt" o:ole="">
            <v:imagedata r:id="rId28" o:title=""/>
          </v:shape>
          <o:OLEObject Type="Embed" ProgID="Word.Document.12" ShapeID="_x0000_i1072" DrawAspect="Icon" ObjectID="_1707549598" r:id="rId29">
            <o:FieldCodes>\s</o:FieldCodes>
          </o:OLEObject>
        </w:object>
      </w:r>
    </w:p>
    <w:p w14:paraId="5710B075" w14:textId="67B1C200" w:rsidR="007311BE" w:rsidRDefault="00031383" w:rsidP="005E7235">
      <w:pPr>
        <w:jc w:val="both"/>
        <w:rPr>
          <w:sz w:val="20"/>
        </w:rPr>
      </w:pPr>
      <w:r>
        <w:rPr>
          <w:sz w:val="20"/>
        </w:rPr>
        <w:t xml:space="preserve">Les collègues de la logistique peuvent soutenir le processus d'approbation exceptionnelle. Un modèle de demande d'approbation exceptionnelle est disponible </w:t>
      </w:r>
      <w:hyperlink r:id="rId30" w:anchor="FSP-procurement" w:history="1">
        <w:r w:rsidR="00423C31" w:rsidRPr="00A62431">
          <w:rPr>
            <w:rStyle w:val="Hyperlink"/>
            <w:sz w:val="20"/>
          </w:rPr>
          <w:t>ici</w:t>
        </w:r>
        <w:r w:rsidR="006F3E40" w:rsidRPr="00A62431">
          <w:rPr>
            <w:rStyle w:val="Hyperlink"/>
            <w:sz w:val="20"/>
          </w:rPr>
          <w:t xml:space="preserve"> (Contrat cadre avec PSF)</w:t>
        </w:r>
      </w:hyperlink>
      <w:r w:rsidR="006F3E40">
        <w:rPr>
          <w:sz w:val="20"/>
        </w:rPr>
        <w:t xml:space="preserve"> et</w:t>
      </w:r>
      <w:r w:rsidR="00423C31">
        <w:rPr>
          <w:sz w:val="20"/>
        </w:rPr>
        <w:t xml:space="preserve"> </w:t>
      </w:r>
      <w:hyperlink r:id="rId31" w:history="1">
        <w:r w:rsidR="006F3E40" w:rsidRPr="0060609D">
          <w:rPr>
            <w:rStyle w:val="Hyperlink"/>
            <w:sz w:val="20"/>
          </w:rPr>
          <w:t>https://cash-hub.org/wp-content/uploads/sites/3/2021/12/FSP-Procurement-Package-in-French.zip</w:t>
        </w:r>
      </w:hyperlink>
      <w:r w:rsidR="00A62431">
        <w:rPr>
          <w:sz w:val="20"/>
        </w:rPr>
        <w:t>.</w:t>
      </w:r>
      <w:r w:rsidR="006F3E40">
        <w:rPr>
          <w:sz w:val="20"/>
        </w:rPr>
        <w:t xml:space="preserve"> </w:t>
      </w:r>
    </w:p>
    <w:p w14:paraId="58388EEB" w14:textId="77777777" w:rsidR="00423C31" w:rsidRPr="006E5C59" w:rsidRDefault="00423C31" w:rsidP="005E7235">
      <w:pPr>
        <w:jc w:val="both"/>
        <w:rPr>
          <w:sz w:val="20"/>
          <w:szCs w:val="20"/>
        </w:rPr>
      </w:pPr>
    </w:p>
    <w:p w14:paraId="2887E736" w14:textId="7FFA46D7" w:rsidR="000F4852" w:rsidRPr="006E5C59" w:rsidRDefault="003B1EC3" w:rsidP="005E7235">
      <w:pPr>
        <w:jc w:val="both"/>
        <w:rPr>
          <w:sz w:val="20"/>
          <w:szCs w:val="20"/>
        </w:rPr>
      </w:pPr>
      <w:r>
        <w:rPr>
          <w:b/>
          <w:sz w:val="20"/>
        </w:rPr>
        <w:t xml:space="preserve">Tout d'abord, il faut décider si le contrat existant peut être utilisé. </w:t>
      </w:r>
      <w:r w:rsidR="002951D2">
        <w:rPr>
          <w:sz w:val="20"/>
        </w:rPr>
        <w:t>Le flux</w:t>
      </w:r>
      <w:r>
        <w:rPr>
          <w:sz w:val="20"/>
        </w:rPr>
        <w:t xml:space="preserve"> de conclusion suivant peut soutenir cette décision : </w:t>
      </w:r>
    </w:p>
    <w:p w14:paraId="4B6F675F" w14:textId="0CF552D6" w:rsidR="00952336" w:rsidRDefault="00952336">
      <w:pPr>
        <w:rPr>
          <w:sz w:val="20"/>
          <w:szCs w:val="20"/>
        </w:rPr>
      </w:pPr>
    </w:p>
    <w:p w14:paraId="286A6D78" w14:textId="77777777" w:rsidR="007B44C6" w:rsidRDefault="007B44C6" w:rsidP="000032D6">
      <w:pPr>
        <w:rPr>
          <w:sz w:val="20"/>
        </w:rPr>
      </w:pPr>
    </w:p>
    <w:p w14:paraId="26F22CC9" w14:textId="34CF2D1A" w:rsidR="007B44C6" w:rsidRDefault="007B44C6" w:rsidP="000032D6">
      <w:pPr>
        <w:rPr>
          <w:sz w:val="20"/>
        </w:rPr>
      </w:pPr>
      <w:r>
        <w:rPr>
          <w:noProof/>
        </w:rPr>
        <w:lastRenderedPageBreak/>
        <w:drawing>
          <wp:anchor distT="0" distB="0" distL="114300" distR="114300" simplePos="0" relativeHeight="251659264" behindDoc="0" locked="0" layoutInCell="1" allowOverlap="1" wp14:anchorId="11D00CC9" wp14:editId="20D42728">
            <wp:simplePos x="0" y="0"/>
            <wp:positionH relativeFrom="column">
              <wp:posOffset>-223051</wp:posOffset>
            </wp:positionH>
            <wp:positionV relativeFrom="paragraph">
              <wp:posOffset>148590</wp:posOffset>
            </wp:positionV>
            <wp:extent cx="6579235" cy="5200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22" t="9506" r="3894" b="5089"/>
                    <a:stretch/>
                  </pic:blipFill>
                  <pic:spPr bwMode="auto">
                    <a:xfrm>
                      <a:off x="0" y="0"/>
                      <a:ext cx="6579235" cy="520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CF546" w14:textId="5DD7A483" w:rsidR="00FB645D" w:rsidRPr="006E5C59" w:rsidRDefault="001153B1" w:rsidP="000032D6">
      <w:pPr>
        <w:rPr>
          <w:sz w:val="20"/>
          <w:szCs w:val="20"/>
          <w:bdr w:val="none" w:sz="0" w:space="0" w:color="auto" w:frame="1"/>
        </w:rPr>
      </w:pPr>
      <w:r>
        <w:rPr>
          <w:sz w:val="20"/>
        </w:rPr>
        <w:t>La demande d'approbation doit être élaborée par la SN et examinée par les points focaux des TM aux niveaux du groupe et de la région, ainsi qu'avec les collègues compétents en matière d'achats et de logistique au niveau du pays/de l'opération, du groupe et de la région.</w:t>
      </w:r>
      <w:r>
        <w:rPr>
          <w:sz w:val="20"/>
          <w:bdr w:val="none" w:sz="0" w:space="0" w:color="auto" w:frame="1"/>
        </w:rPr>
        <w:t xml:space="preserve"> Un projet (copie électronique) de la demande d'approbation exceptionnelle doit être soumis au Bureau régional des TM et Logistique pour examen avant signature.</w:t>
      </w:r>
    </w:p>
    <w:p w14:paraId="7D61DFF4" w14:textId="727C4937" w:rsidR="00FF14ED" w:rsidRPr="006E5C59" w:rsidRDefault="00FF14ED" w:rsidP="00E04CB8">
      <w:pPr>
        <w:jc w:val="both"/>
        <w:rPr>
          <w:sz w:val="20"/>
          <w:szCs w:val="20"/>
        </w:rPr>
      </w:pPr>
      <w:r>
        <w:rPr>
          <w:sz w:val="20"/>
        </w:rPr>
        <w:t>La version finale de la demande d'approbation exceptionnelle, accompagnée des documents justificatifs, doit être envoyée au chef de RLU Afrique / Nairobi, avec copie au responsable régional des achats, comme suit :</w:t>
      </w:r>
    </w:p>
    <w:p w14:paraId="2ED995DE" w14:textId="62BC888C" w:rsidR="00FF14ED" w:rsidRPr="006E5C59" w:rsidRDefault="00FF14ED"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rPr>
        <w:t>Réquisition logistique (demande d'achat) avec limite budgétaire et devise dans laquelle une ligne pour le montant à distribuer aux bénéficiaires et une ligne pour les frais de service au prestataire de services, dûment approuvée.</w:t>
      </w:r>
    </w:p>
    <w:p w14:paraId="6C5733CC" w14:textId="70ADC33F" w:rsidR="00FF14ED" w:rsidRPr="006E5C59" w:rsidRDefault="00B9450F"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rPr>
        <w:t>Le cahier des charges à utiliser pour la passation de marché du PSF.</w:t>
      </w:r>
    </w:p>
    <w:p w14:paraId="1D90353B" w14:textId="0524D15C" w:rsidR="00BF7804" w:rsidRPr="006E5C59" w:rsidRDefault="00BF7804"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rPr>
        <w:t>L'annexe du cahier des charges qui s'applique au projet en cours si la commande est passée auprès d'un AC existant.</w:t>
      </w:r>
    </w:p>
    <w:p w14:paraId="2A784F3E" w14:textId="29828979" w:rsidR="0021047A" w:rsidRPr="006E5C59" w:rsidRDefault="0021047A"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u w:val="single"/>
        </w:rPr>
        <w:t>En cas d'approvisionnement unique en dehors de l'AC :</w:t>
      </w:r>
      <w:r>
        <w:rPr>
          <w:sz w:val="20"/>
        </w:rPr>
        <w:t xml:space="preserve"> Confirmation écrite (offre) de la part du PSF qu'il est disposé à et capable de fournir les services requis dans le cadre du cahier des charges, des frais et charges prélevés et de l'acceptation des conditions générales de service (SN/FICR).</w:t>
      </w:r>
    </w:p>
    <w:p w14:paraId="686B0441" w14:textId="6BFB5941" w:rsidR="00FF14ED" w:rsidRPr="006E5C59" w:rsidRDefault="00FF14ED"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rPr>
        <w:lastRenderedPageBreak/>
        <w:t>Formulaire de diligence raisonnable dûment rempli</w:t>
      </w:r>
    </w:p>
    <w:p w14:paraId="5BE00A21" w14:textId="2F843C92" w:rsidR="00BF7804" w:rsidRPr="006E5C59" w:rsidRDefault="00FF14ED" w:rsidP="00DB6AC2">
      <w:pPr>
        <w:pStyle w:val="ListParagraph"/>
        <w:numPr>
          <w:ilvl w:val="0"/>
          <w:numId w:val="7"/>
        </w:numPr>
        <w:spacing w:after="80" w:line="240" w:lineRule="auto"/>
        <w:ind w:left="714" w:hanging="357"/>
        <w:contextualSpacing w:val="0"/>
        <w:jc w:val="both"/>
        <w:rPr>
          <w:rFonts w:eastAsia="Times New Roman"/>
          <w:sz w:val="18"/>
          <w:szCs w:val="18"/>
        </w:rPr>
      </w:pPr>
      <w:r>
        <w:rPr>
          <w:b/>
          <w:sz w:val="20"/>
          <w:u w:val="single"/>
        </w:rPr>
        <w:t>Formulaire d'inscription du prestataire :</w:t>
      </w:r>
      <w:r>
        <w:rPr>
          <w:b/>
          <w:sz w:val="20"/>
        </w:rPr>
        <w:t xml:space="preserve"> </w:t>
      </w:r>
      <w:r>
        <w:rPr>
          <w:sz w:val="20"/>
        </w:rPr>
        <w:t>documents comprenant le formulaire d'inscription du prestataire (SRF) dûment rempli, signé, daté et tamponné, ainsi que tous les documents justificatifs requis :</w:t>
      </w:r>
    </w:p>
    <w:p w14:paraId="612428F8" w14:textId="40FF1041" w:rsidR="00BF7804" w:rsidRPr="006E5C59" w:rsidRDefault="00FF14ED" w:rsidP="00DB6AC2">
      <w:pPr>
        <w:pStyle w:val="ListParagraph"/>
        <w:numPr>
          <w:ilvl w:val="1"/>
          <w:numId w:val="7"/>
        </w:numPr>
        <w:spacing w:after="80" w:line="240" w:lineRule="auto"/>
        <w:contextualSpacing w:val="0"/>
        <w:jc w:val="both"/>
        <w:rPr>
          <w:rFonts w:eastAsia="Times New Roman"/>
          <w:sz w:val="18"/>
          <w:szCs w:val="18"/>
        </w:rPr>
      </w:pPr>
      <w:r>
        <w:rPr>
          <w:sz w:val="20"/>
        </w:rPr>
        <w:t>a.) Copies des états financiers audités des trois dernières années du prestataire.</w:t>
      </w:r>
    </w:p>
    <w:p w14:paraId="0885F1D0" w14:textId="77777777" w:rsidR="009A5B59" w:rsidRPr="006E5C59" w:rsidRDefault="00FF14ED" w:rsidP="00DB6AC2">
      <w:pPr>
        <w:pStyle w:val="ListParagraph"/>
        <w:numPr>
          <w:ilvl w:val="1"/>
          <w:numId w:val="7"/>
        </w:numPr>
        <w:spacing w:after="80" w:line="240" w:lineRule="auto"/>
        <w:contextualSpacing w:val="0"/>
        <w:jc w:val="both"/>
        <w:rPr>
          <w:rFonts w:eastAsia="Times New Roman"/>
          <w:sz w:val="18"/>
          <w:szCs w:val="18"/>
        </w:rPr>
      </w:pPr>
      <w:r>
        <w:rPr>
          <w:sz w:val="20"/>
        </w:rPr>
        <w:t xml:space="preserve">b.) Déclaration originale de la banque du prestataire confirmant les coordonnées bancaires (certifiant le compte bancaire et les détails pertinents - Nom de la banque, adresse, code de la succursale, codes bancaires, etc.) </w:t>
      </w:r>
    </w:p>
    <w:p w14:paraId="3942EFC7" w14:textId="041DDBCD" w:rsidR="00BF7804" w:rsidRPr="006E5C59" w:rsidRDefault="00FF14ED" w:rsidP="00DB6AC2">
      <w:pPr>
        <w:pStyle w:val="ListParagraph"/>
        <w:numPr>
          <w:ilvl w:val="1"/>
          <w:numId w:val="7"/>
        </w:numPr>
        <w:spacing w:after="80" w:line="240" w:lineRule="auto"/>
        <w:contextualSpacing w:val="0"/>
        <w:jc w:val="both"/>
        <w:rPr>
          <w:rFonts w:eastAsia="Times New Roman"/>
          <w:sz w:val="18"/>
          <w:szCs w:val="18"/>
        </w:rPr>
      </w:pPr>
      <w:r>
        <w:rPr>
          <w:sz w:val="20"/>
        </w:rPr>
        <w:t xml:space="preserve">c.) Copie du certificat d'enregistrement de la société </w:t>
      </w:r>
    </w:p>
    <w:p w14:paraId="4B070127" w14:textId="631C8AEE" w:rsidR="00FF14ED" w:rsidRPr="006E5C59" w:rsidRDefault="00FF14ED" w:rsidP="00DB6AC2">
      <w:pPr>
        <w:pStyle w:val="ListParagraph"/>
        <w:numPr>
          <w:ilvl w:val="1"/>
          <w:numId w:val="7"/>
        </w:numPr>
        <w:spacing w:after="80" w:line="240" w:lineRule="auto"/>
        <w:contextualSpacing w:val="0"/>
        <w:jc w:val="both"/>
        <w:rPr>
          <w:rFonts w:eastAsia="Times New Roman"/>
          <w:sz w:val="18"/>
          <w:szCs w:val="18"/>
        </w:rPr>
      </w:pPr>
      <w:r>
        <w:rPr>
          <w:sz w:val="20"/>
        </w:rPr>
        <w:t>d.) Certificat d'exonération fiscale et tout autre document pertinent requis par la loi du pays de la part du prestataire.</w:t>
      </w:r>
    </w:p>
    <w:p w14:paraId="66C4051D" w14:textId="682F9D22" w:rsidR="00FF14ED" w:rsidRPr="006E5C59" w:rsidRDefault="0021047A"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rPr>
        <w:t>Copie du contrat existant ou en cours avec le PSF.</w:t>
      </w:r>
    </w:p>
    <w:p w14:paraId="09052279" w14:textId="1E4505AC" w:rsidR="00FF14ED" w:rsidRPr="006E5C59" w:rsidRDefault="00BF7804" w:rsidP="00DB6AC2">
      <w:pPr>
        <w:pStyle w:val="ListParagraph"/>
        <w:numPr>
          <w:ilvl w:val="0"/>
          <w:numId w:val="7"/>
        </w:numPr>
        <w:spacing w:after="80" w:line="240" w:lineRule="auto"/>
        <w:ind w:left="714" w:hanging="357"/>
        <w:contextualSpacing w:val="0"/>
        <w:jc w:val="both"/>
        <w:rPr>
          <w:rFonts w:eastAsia="Times New Roman"/>
          <w:sz w:val="20"/>
          <w:szCs w:val="20"/>
        </w:rPr>
      </w:pPr>
      <w:r>
        <w:rPr>
          <w:sz w:val="20"/>
        </w:rPr>
        <w:t>Conditions générales SN / FICR pour les contrats de service</w:t>
      </w:r>
    </w:p>
    <w:p w14:paraId="774160F7" w14:textId="0406EA94" w:rsidR="00FF14ED" w:rsidRPr="006E5C59" w:rsidRDefault="00FF14ED" w:rsidP="005E7235">
      <w:pPr>
        <w:jc w:val="both"/>
        <w:rPr>
          <w:sz w:val="20"/>
          <w:szCs w:val="20"/>
        </w:rPr>
      </w:pPr>
    </w:p>
    <w:p w14:paraId="1861E4BE" w14:textId="77777777" w:rsidR="00E2515F" w:rsidRPr="006E5C59" w:rsidRDefault="00E2515F" w:rsidP="005E7235">
      <w:pPr>
        <w:jc w:val="both"/>
        <w:rPr>
          <w:sz w:val="20"/>
          <w:szCs w:val="20"/>
        </w:rPr>
      </w:pPr>
    </w:p>
    <w:p w14:paraId="588CCA89" w14:textId="77777777" w:rsidR="00CA3FC9" w:rsidRPr="006E5C59" w:rsidRDefault="00CA3FC9" w:rsidP="000008BB">
      <w:pPr>
        <w:pStyle w:val="Heading1"/>
        <w:numPr>
          <w:ilvl w:val="0"/>
          <w:numId w:val="0"/>
        </w:numPr>
        <w:sectPr w:rsidR="00CA3FC9" w:rsidRPr="006E5C59" w:rsidSect="00D8076C">
          <w:headerReference w:type="default" r:id="rId33"/>
          <w:footerReference w:type="even" r:id="rId34"/>
          <w:footerReference w:type="default" r:id="rId35"/>
          <w:footerReference w:type="first" r:id="rId36"/>
          <w:pgSz w:w="11906" w:h="16838"/>
          <w:pgMar w:top="1440" w:right="1080" w:bottom="1440" w:left="1080" w:header="708" w:footer="708" w:gutter="0"/>
          <w:cols w:space="708"/>
          <w:docGrid w:linePitch="360"/>
        </w:sectPr>
      </w:pPr>
      <w:bookmarkStart w:id="27" w:name="_Annex_1:_CVA"/>
      <w:bookmarkStart w:id="28" w:name="_Annex_2:_Checklist"/>
      <w:bookmarkEnd w:id="27"/>
      <w:bookmarkEnd w:id="28"/>
    </w:p>
    <w:p w14:paraId="46E66957" w14:textId="131CF26C" w:rsidR="005B6522" w:rsidRPr="006E5C59" w:rsidRDefault="005B6522" w:rsidP="000008BB">
      <w:pPr>
        <w:pStyle w:val="Heading1"/>
        <w:numPr>
          <w:ilvl w:val="0"/>
          <w:numId w:val="0"/>
        </w:numPr>
      </w:pPr>
      <w:bookmarkStart w:id="29" w:name="_Toc96934170"/>
      <w:r>
        <w:lastRenderedPageBreak/>
        <w:t>Annexe 1 : Liste de contrôle des exigences de conformité de la FICR</w:t>
      </w:r>
      <w:r w:rsidRPr="006E5C59">
        <w:rPr>
          <w:rStyle w:val="FootnoteReference"/>
        </w:rPr>
        <w:footnoteReference w:id="5"/>
      </w:r>
      <w:bookmarkEnd w:id="29"/>
    </w:p>
    <w:p w14:paraId="1063FC02" w14:textId="398237FB" w:rsidR="005B6522" w:rsidRPr="006E5C59" w:rsidRDefault="005B6522" w:rsidP="005B6522">
      <w:pPr>
        <w:rPr>
          <w:b/>
          <w:color w:val="000000" w:themeColor="text1"/>
          <w:sz w:val="20"/>
          <w:szCs w:val="20"/>
        </w:rPr>
      </w:pPr>
      <w:r>
        <w:rPr>
          <w:b/>
          <w:color w:val="000000" w:themeColor="text1"/>
          <w:sz w:val="20"/>
        </w:rPr>
        <w:t>Pour se conformer aux règlements de la FICR, les documents suivants doivent être soumis à la FICR :</w:t>
      </w:r>
    </w:p>
    <w:tbl>
      <w:tblPr>
        <w:tblW w:w="14680" w:type="dxa"/>
        <w:tblCellMar>
          <w:left w:w="70" w:type="dxa"/>
          <w:right w:w="70" w:type="dxa"/>
        </w:tblCellMar>
        <w:tblLook w:val="04A0" w:firstRow="1" w:lastRow="0" w:firstColumn="1" w:lastColumn="0" w:noHBand="0" w:noVBand="1"/>
      </w:tblPr>
      <w:tblGrid>
        <w:gridCol w:w="497"/>
        <w:gridCol w:w="3486"/>
        <w:gridCol w:w="7352"/>
        <w:gridCol w:w="3345"/>
      </w:tblGrid>
      <w:tr w:rsidR="005C4D16" w:rsidRPr="006E5C59" w14:paraId="70E8B3F3" w14:textId="77777777" w:rsidTr="005C4D16">
        <w:trPr>
          <w:trHeight w:val="300"/>
          <w:tblHeader/>
        </w:trPr>
        <w:tc>
          <w:tcPr>
            <w:tcW w:w="497" w:type="dxa"/>
            <w:tcBorders>
              <w:top w:val="single" w:sz="4" w:space="0" w:color="auto"/>
              <w:left w:val="single" w:sz="4" w:space="0" w:color="auto"/>
              <w:bottom w:val="single" w:sz="4" w:space="0" w:color="auto"/>
              <w:right w:val="single" w:sz="4" w:space="0" w:color="auto"/>
            </w:tcBorders>
            <w:shd w:val="clear" w:color="000000" w:fill="FF0000"/>
            <w:hideMark/>
          </w:tcPr>
          <w:p w14:paraId="43761430" w14:textId="77777777" w:rsidR="006F0862" w:rsidRPr="006E5C59" w:rsidRDefault="006F0862" w:rsidP="00D62874">
            <w:pPr>
              <w:spacing w:after="80" w:line="240" w:lineRule="auto"/>
              <w:rPr>
                <w:rFonts w:eastAsia="Times New Roman" w:cstheme="minorHAnsi"/>
                <w:b/>
                <w:bCs/>
                <w:color w:val="FFFFFF"/>
                <w:sz w:val="20"/>
                <w:szCs w:val="20"/>
              </w:rPr>
            </w:pPr>
            <w:r>
              <w:rPr>
                <w:b/>
                <w:color w:val="FFFFFF"/>
                <w:sz w:val="20"/>
              </w:rPr>
              <w:t>#</w:t>
            </w:r>
          </w:p>
        </w:tc>
        <w:tc>
          <w:tcPr>
            <w:tcW w:w="3326" w:type="dxa"/>
            <w:tcBorders>
              <w:top w:val="single" w:sz="4" w:space="0" w:color="auto"/>
              <w:left w:val="nil"/>
              <w:bottom w:val="single" w:sz="4" w:space="0" w:color="auto"/>
              <w:right w:val="single" w:sz="4" w:space="0" w:color="auto"/>
            </w:tcBorders>
            <w:shd w:val="clear" w:color="000000" w:fill="FF0000"/>
            <w:hideMark/>
          </w:tcPr>
          <w:p w14:paraId="23F144DD" w14:textId="77777777" w:rsidR="006F0862" w:rsidRPr="006E5C59" w:rsidRDefault="006F0862" w:rsidP="00D62874">
            <w:pPr>
              <w:spacing w:after="80" w:line="240" w:lineRule="auto"/>
              <w:rPr>
                <w:rFonts w:eastAsia="Times New Roman" w:cstheme="minorHAnsi"/>
                <w:b/>
                <w:bCs/>
                <w:color w:val="FFFFFF"/>
                <w:sz w:val="20"/>
                <w:szCs w:val="20"/>
              </w:rPr>
            </w:pPr>
            <w:r>
              <w:rPr>
                <w:b/>
                <w:color w:val="FFFFFF"/>
                <w:sz w:val="20"/>
              </w:rPr>
              <w:t>Document</w:t>
            </w:r>
          </w:p>
        </w:tc>
        <w:tc>
          <w:tcPr>
            <w:tcW w:w="7512" w:type="dxa"/>
            <w:tcBorders>
              <w:top w:val="single" w:sz="4" w:space="0" w:color="auto"/>
              <w:left w:val="nil"/>
              <w:bottom w:val="single" w:sz="4" w:space="0" w:color="auto"/>
              <w:right w:val="single" w:sz="4" w:space="0" w:color="auto"/>
            </w:tcBorders>
            <w:shd w:val="clear" w:color="000000" w:fill="FF0000"/>
            <w:hideMark/>
          </w:tcPr>
          <w:p w14:paraId="79EB9A70" w14:textId="77777777" w:rsidR="006F0862" w:rsidRPr="006E5C59" w:rsidRDefault="006F0862" w:rsidP="00D62874">
            <w:pPr>
              <w:spacing w:after="80" w:line="240" w:lineRule="auto"/>
              <w:rPr>
                <w:rFonts w:eastAsia="Times New Roman" w:cstheme="minorHAnsi"/>
                <w:b/>
                <w:bCs/>
                <w:color w:val="FFFFFF"/>
                <w:sz w:val="20"/>
                <w:szCs w:val="20"/>
              </w:rPr>
            </w:pPr>
            <w:r>
              <w:rPr>
                <w:b/>
                <w:color w:val="FFFFFF"/>
                <w:sz w:val="20"/>
              </w:rPr>
              <w:t>Information requise</w:t>
            </w:r>
          </w:p>
        </w:tc>
        <w:tc>
          <w:tcPr>
            <w:tcW w:w="3345" w:type="dxa"/>
            <w:tcBorders>
              <w:top w:val="single" w:sz="4" w:space="0" w:color="auto"/>
              <w:left w:val="nil"/>
              <w:bottom w:val="single" w:sz="4" w:space="0" w:color="auto"/>
              <w:right w:val="single" w:sz="4" w:space="0" w:color="auto"/>
            </w:tcBorders>
            <w:shd w:val="clear" w:color="000000" w:fill="FF0000"/>
            <w:hideMark/>
          </w:tcPr>
          <w:p w14:paraId="5E90B7D1" w14:textId="77777777" w:rsidR="006F0862" w:rsidRPr="006E5C59" w:rsidRDefault="006F0862" w:rsidP="00D62874">
            <w:pPr>
              <w:spacing w:after="80" w:line="240" w:lineRule="auto"/>
              <w:rPr>
                <w:rFonts w:eastAsia="Times New Roman" w:cstheme="minorHAnsi"/>
                <w:b/>
                <w:bCs/>
                <w:color w:val="FFFFFF"/>
                <w:sz w:val="20"/>
                <w:szCs w:val="20"/>
              </w:rPr>
            </w:pPr>
            <w:r>
              <w:rPr>
                <w:b/>
                <w:color w:val="FFFFFF"/>
                <w:sz w:val="20"/>
              </w:rPr>
              <w:t>Format</w:t>
            </w:r>
          </w:p>
        </w:tc>
      </w:tr>
      <w:tr w:rsidR="005C4D16" w:rsidRPr="006E5C59" w14:paraId="2954E866" w14:textId="77777777" w:rsidTr="005C4D16">
        <w:trPr>
          <w:trHeight w:val="1133"/>
        </w:trPr>
        <w:tc>
          <w:tcPr>
            <w:tcW w:w="497" w:type="dxa"/>
            <w:tcBorders>
              <w:top w:val="nil"/>
              <w:left w:val="single" w:sz="4" w:space="0" w:color="auto"/>
              <w:bottom w:val="single" w:sz="4" w:space="0" w:color="auto"/>
              <w:right w:val="single" w:sz="4" w:space="0" w:color="auto"/>
            </w:tcBorders>
            <w:shd w:val="clear" w:color="000000" w:fill="F2F2F2"/>
            <w:hideMark/>
          </w:tcPr>
          <w:p w14:paraId="2A4C681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1</w:t>
            </w:r>
          </w:p>
        </w:tc>
        <w:tc>
          <w:tcPr>
            <w:tcW w:w="3326" w:type="dxa"/>
            <w:tcBorders>
              <w:top w:val="nil"/>
              <w:left w:val="nil"/>
              <w:bottom w:val="single" w:sz="4" w:space="0" w:color="auto"/>
              <w:right w:val="single" w:sz="4" w:space="0" w:color="auto"/>
            </w:tcBorders>
            <w:shd w:val="clear" w:color="000000" w:fill="F2F2F2"/>
            <w:hideMark/>
          </w:tcPr>
          <w:p w14:paraId="5042FDAC" w14:textId="77777777" w:rsidR="006F0862" w:rsidRPr="006E5C59" w:rsidRDefault="006F0862" w:rsidP="00D62874">
            <w:pPr>
              <w:spacing w:after="80" w:line="240" w:lineRule="auto"/>
              <w:rPr>
                <w:rFonts w:eastAsia="Times New Roman" w:cstheme="minorHAnsi"/>
                <w:color w:val="000000"/>
                <w:sz w:val="20"/>
                <w:szCs w:val="20"/>
              </w:rPr>
            </w:pPr>
            <w:r>
              <w:rPr>
                <w:sz w:val="20"/>
              </w:rPr>
              <w:t xml:space="preserve">Réquisition logistique (LR) ou équivalent avec limites budgétaires </w:t>
            </w:r>
            <w:r>
              <w:rPr>
                <w:sz w:val="20"/>
              </w:rPr>
              <w:br/>
            </w:r>
            <w:r w:rsidRPr="007B44C6">
              <w:rPr>
                <w:color w:val="FF0000"/>
                <w:sz w:val="20"/>
              </w:rPr>
              <w:t>DOCUMENT INTERNE DE LA FICR - PAS BESOIN DE L'ENVOYER AU PRESTATAIRE</w:t>
            </w:r>
          </w:p>
        </w:tc>
        <w:tc>
          <w:tcPr>
            <w:tcW w:w="7512" w:type="dxa"/>
            <w:tcBorders>
              <w:top w:val="nil"/>
              <w:left w:val="nil"/>
              <w:bottom w:val="single" w:sz="4" w:space="0" w:color="auto"/>
              <w:right w:val="single" w:sz="4" w:space="0" w:color="auto"/>
            </w:tcBorders>
            <w:shd w:val="clear" w:color="000000" w:fill="F2F2F2"/>
            <w:hideMark/>
          </w:tcPr>
          <w:p w14:paraId="350A80DC"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a) Montant pour la distribution aux bénéficiaires </w:t>
            </w:r>
            <w:r>
              <w:rPr>
                <w:color w:val="000000"/>
                <w:sz w:val="20"/>
              </w:rPr>
              <w:br/>
              <w:t xml:space="preserve">b) Montant budgétisé pour les frais de services </w:t>
            </w:r>
            <w:r>
              <w:rPr>
                <w:color w:val="000000"/>
                <w:sz w:val="20"/>
              </w:rPr>
              <w:br/>
              <w:t>Il est obligatoire d'annexer le cahier des charges (2.2).</w:t>
            </w:r>
          </w:p>
        </w:tc>
        <w:tc>
          <w:tcPr>
            <w:tcW w:w="3345" w:type="dxa"/>
            <w:tcBorders>
              <w:top w:val="nil"/>
              <w:left w:val="nil"/>
              <w:bottom w:val="single" w:sz="4" w:space="0" w:color="auto"/>
              <w:right w:val="single" w:sz="4" w:space="0" w:color="auto"/>
            </w:tcBorders>
            <w:shd w:val="clear" w:color="000000" w:fill="F2F2F2"/>
            <w:hideMark/>
          </w:tcPr>
          <w:p w14:paraId="6EFE356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Original numérisé, rempli dans son intégralité et signé et daté par le demandeur, la logistique, les finances et le représentant du pays. EN, FR, SP ou inclure la traduction.</w:t>
            </w:r>
          </w:p>
        </w:tc>
      </w:tr>
      <w:tr w:rsidR="005C4D16" w:rsidRPr="006E5C59" w14:paraId="46C2B9E7" w14:textId="77777777" w:rsidTr="005C4D16">
        <w:trPr>
          <w:trHeight w:val="1200"/>
        </w:trPr>
        <w:tc>
          <w:tcPr>
            <w:tcW w:w="497" w:type="dxa"/>
            <w:tcBorders>
              <w:top w:val="nil"/>
              <w:left w:val="single" w:sz="4" w:space="0" w:color="auto"/>
              <w:bottom w:val="single" w:sz="4" w:space="0" w:color="auto"/>
              <w:right w:val="single" w:sz="4" w:space="0" w:color="auto"/>
            </w:tcBorders>
            <w:shd w:val="clear" w:color="000000" w:fill="FFFFFF"/>
            <w:hideMark/>
          </w:tcPr>
          <w:p w14:paraId="39645B4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2</w:t>
            </w:r>
          </w:p>
        </w:tc>
        <w:tc>
          <w:tcPr>
            <w:tcW w:w="3326" w:type="dxa"/>
            <w:tcBorders>
              <w:top w:val="nil"/>
              <w:left w:val="nil"/>
              <w:bottom w:val="single" w:sz="4" w:space="0" w:color="auto"/>
              <w:right w:val="single" w:sz="4" w:space="0" w:color="auto"/>
            </w:tcBorders>
            <w:shd w:val="clear" w:color="000000" w:fill="FFFFFF"/>
            <w:hideMark/>
          </w:tcPr>
          <w:p w14:paraId="5A0FBFC3" w14:textId="77777777" w:rsidR="006F0862" w:rsidRPr="006E5C59" w:rsidRDefault="006F0862" w:rsidP="00D62874">
            <w:pPr>
              <w:spacing w:after="80" w:line="240" w:lineRule="auto"/>
              <w:rPr>
                <w:rFonts w:eastAsia="Times New Roman" w:cstheme="minorHAnsi"/>
                <w:color w:val="000000"/>
                <w:sz w:val="20"/>
                <w:szCs w:val="20"/>
              </w:rPr>
            </w:pPr>
            <w:r>
              <w:rPr>
                <w:sz w:val="20"/>
              </w:rPr>
              <w:t xml:space="preserve">Annonce dans un journal ou autre publication dans les médias </w:t>
            </w:r>
            <w:r>
              <w:rPr>
                <w:sz w:val="20"/>
              </w:rPr>
              <w:br/>
            </w:r>
            <w:r w:rsidRPr="007B44C6">
              <w:rPr>
                <w:color w:val="FF0000"/>
                <w:sz w:val="20"/>
              </w:rPr>
              <w:t xml:space="preserve">REQUIS UNIQUEMENT LORSQU'IL S'AGIT D'UN APPEL D'OFFRES OUVERT </w:t>
            </w:r>
          </w:p>
        </w:tc>
        <w:tc>
          <w:tcPr>
            <w:tcW w:w="7512" w:type="dxa"/>
            <w:tcBorders>
              <w:top w:val="nil"/>
              <w:left w:val="nil"/>
              <w:bottom w:val="single" w:sz="4" w:space="0" w:color="auto"/>
              <w:right w:val="single" w:sz="4" w:space="0" w:color="auto"/>
            </w:tcBorders>
            <w:shd w:val="clear" w:color="000000" w:fill="FFFFFF"/>
            <w:hideMark/>
          </w:tcPr>
          <w:p w14:paraId="293C826B"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Nom du média et date clairement visibles </w:t>
            </w:r>
            <w:r>
              <w:rPr>
                <w:color w:val="000000"/>
                <w:sz w:val="20"/>
              </w:rPr>
              <w:br/>
              <w:t>Description du programme, des dates, du lieu et de la manière d'obtenir les documents.</w:t>
            </w:r>
          </w:p>
        </w:tc>
        <w:tc>
          <w:tcPr>
            <w:tcW w:w="3345" w:type="dxa"/>
            <w:tcBorders>
              <w:top w:val="nil"/>
              <w:left w:val="nil"/>
              <w:bottom w:val="single" w:sz="4" w:space="0" w:color="auto"/>
              <w:right w:val="single" w:sz="4" w:space="0" w:color="auto"/>
            </w:tcBorders>
            <w:shd w:val="clear" w:color="000000" w:fill="FFFFFF"/>
            <w:hideMark/>
          </w:tcPr>
          <w:p w14:paraId="11640FE7"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Copie (ou scan) de l'annonce dans le journal ou de la publication dans un autre média. </w:t>
            </w:r>
          </w:p>
        </w:tc>
      </w:tr>
      <w:tr w:rsidR="005C4D16" w:rsidRPr="006E5C59" w14:paraId="719F5B9B" w14:textId="77777777" w:rsidTr="005C4D16">
        <w:trPr>
          <w:trHeight w:val="898"/>
        </w:trPr>
        <w:tc>
          <w:tcPr>
            <w:tcW w:w="497" w:type="dxa"/>
            <w:tcBorders>
              <w:top w:val="nil"/>
              <w:left w:val="single" w:sz="4" w:space="0" w:color="auto"/>
              <w:bottom w:val="single" w:sz="4" w:space="0" w:color="auto"/>
              <w:right w:val="single" w:sz="4" w:space="0" w:color="auto"/>
            </w:tcBorders>
            <w:shd w:val="clear" w:color="000000" w:fill="F2F2F2"/>
            <w:hideMark/>
          </w:tcPr>
          <w:p w14:paraId="3762BA78"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3</w:t>
            </w:r>
          </w:p>
        </w:tc>
        <w:tc>
          <w:tcPr>
            <w:tcW w:w="3326" w:type="dxa"/>
            <w:tcBorders>
              <w:top w:val="nil"/>
              <w:left w:val="nil"/>
              <w:bottom w:val="single" w:sz="4" w:space="0" w:color="auto"/>
              <w:right w:val="single" w:sz="4" w:space="0" w:color="auto"/>
            </w:tcBorders>
            <w:shd w:val="clear" w:color="000000" w:fill="F2F2F2"/>
            <w:hideMark/>
          </w:tcPr>
          <w:p w14:paraId="6198687B"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DP/DD - Demande de proposition/ Demande de devis</w:t>
            </w:r>
          </w:p>
        </w:tc>
        <w:tc>
          <w:tcPr>
            <w:tcW w:w="7512" w:type="dxa"/>
            <w:tcBorders>
              <w:top w:val="nil"/>
              <w:left w:val="nil"/>
              <w:bottom w:val="single" w:sz="4" w:space="0" w:color="auto"/>
              <w:right w:val="single" w:sz="4" w:space="0" w:color="auto"/>
            </w:tcBorders>
            <w:shd w:val="clear" w:color="000000" w:fill="F2F2F2"/>
            <w:hideMark/>
          </w:tcPr>
          <w:p w14:paraId="2EED1D30"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Documents d'appel d'offres à soumettre aux PSF, y compris toutes les annexes</w:t>
            </w:r>
            <w:r>
              <w:rPr>
                <w:color w:val="000000"/>
                <w:sz w:val="20"/>
              </w:rPr>
              <w:br/>
            </w:r>
            <w:r>
              <w:rPr>
                <w:color w:val="000000"/>
                <w:sz w:val="20"/>
              </w:rPr>
              <w:br/>
              <w:t>Doivent être reçues sous forme d'offres scellées (enveloppe scellée/adresse électronique scellée)</w:t>
            </w:r>
          </w:p>
        </w:tc>
        <w:tc>
          <w:tcPr>
            <w:tcW w:w="3345" w:type="dxa"/>
            <w:vMerge w:val="restart"/>
            <w:tcBorders>
              <w:top w:val="nil"/>
              <w:left w:val="single" w:sz="4" w:space="0" w:color="auto"/>
              <w:bottom w:val="single" w:sz="4" w:space="0" w:color="000000"/>
              <w:right w:val="single" w:sz="4" w:space="0" w:color="auto"/>
            </w:tcBorders>
            <w:shd w:val="clear" w:color="000000" w:fill="F2F2F2"/>
            <w:hideMark/>
          </w:tcPr>
          <w:p w14:paraId="5985807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Version finale qui a été communiquée aux PSF dans le cadre de l'appel d'offres. EN, FR, SP ou inclure la traduction.</w:t>
            </w:r>
          </w:p>
        </w:tc>
      </w:tr>
      <w:tr w:rsidR="005C4D16" w:rsidRPr="006E5C59" w14:paraId="25215AAF" w14:textId="77777777" w:rsidTr="005C4D16">
        <w:trPr>
          <w:trHeight w:val="600"/>
        </w:trPr>
        <w:tc>
          <w:tcPr>
            <w:tcW w:w="497" w:type="dxa"/>
            <w:tcBorders>
              <w:top w:val="nil"/>
              <w:left w:val="single" w:sz="4" w:space="0" w:color="auto"/>
              <w:bottom w:val="single" w:sz="4" w:space="0" w:color="auto"/>
              <w:right w:val="single" w:sz="4" w:space="0" w:color="auto"/>
            </w:tcBorders>
            <w:shd w:val="clear" w:color="000000" w:fill="F2F2F2"/>
            <w:hideMark/>
          </w:tcPr>
          <w:p w14:paraId="098A307D"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3,1</w:t>
            </w:r>
          </w:p>
        </w:tc>
        <w:tc>
          <w:tcPr>
            <w:tcW w:w="3326" w:type="dxa"/>
            <w:tcBorders>
              <w:top w:val="nil"/>
              <w:left w:val="nil"/>
              <w:bottom w:val="single" w:sz="4" w:space="0" w:color="auto"/>
              <w:right w:val="single" w:sz="4" w:space="0" w:color="auto"/>
            </w:tcBorders>
            <w:shd w:val="clear" w:color="000000" w:fill="F2F2F2"/>
            <w:noWrap/>
            <w:hideMark/>
          </w:tcPr>
          <w:p w14:paraId="1572E389"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Cahier des charges (</w:t>
            </w:r>
            <w:proofErr w:type="spellStart"/>
            <w:r>
              <w:rPr>
                <w:color w:val="000000"/>
                <w:sz w:val="20"/>
              </w:rPr>
              <w:t>SoW</w:t>
            </w:r>
            <w:proofErr w:type="spellEnd"/>
            <w:r>
              <w:rPr>
                <w:color w:val="000000"/>
                <w:sz w:val="20"/>
              </w:rPr>
              <w:t>)</w:t>
            </w:r>
          </w:p>
        </w:tc>
        <w:tc>
          <w:tcPr>
            <w:tcW w:w="7512" w:type="dxa"/>
            <w:tcBorders>
              <w:top w:val="nil"/>
              <w:left w:val="nil"/>
              <w:bottom w:val="single" w:sz="4" w:space="0" w:color="auto"/>
              <w:right w:val="single" w:sz="4" w:space="0" w:color="auto"/>
            </w:tcBorders>
            <w:shd w:val="clear" w:color="000000" w:fill="F2F2F2"/>
            <w:hideMark/>
          </w:tcPr>
          <w:p w14:paraId="738FB41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Document qui décrit les objectifs du programme et fournit aux PSF des informations sur ce que nous attendons d'eux. </w:t>
            </w:r>
          </w:p>
        </w:tc>
        <w:tc>
          <w:tcPr>
            <w:tcW w:w="3345" w:type="dxa"/>
            <w:vMerge/>
            <w:tcBorders>
              <w:top w:val="nil"/>
              <w:left w:val="single" w:sz="4" w:space="0" w:color="auto"/>
              <w:bottom w:val="single" w:sz="4" w:space="0" w:color="000000"/>
              <w:right w:val="single" w:sz="4" w:space="0" w:color="auto"/>
            </w:tcBorders>
            <w:hideMark/>
          </w:tcPr>
          <w:p w14:paraId="6AFDC953"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06CA3AEE" w14:textId="77777777" w:rsidTr="005C4D16">
        <w:trPr>
          <w:trHeight w:val="948"/>
        </w:trPr>
        <w:tc>
          <w:tcPr>
            <w:tcW w:w="497" w:type="dxa"/>
            <w:tcBorders>
              <w:top w:val="nil"/>
              <w:left w:val="single" w:sz="4" w:space="0" w:color="auto"/>
              <w:bottom w:val="single" w:sz="4" w:space="0" w:color="auto"/>
              <w:right w:val="single" w:sz="4" w:space="0" w:color="auto"/>
            </w:tcBorders>
            <w:shd w:val="clear" w:color="000000" w:fill="F2F2F2"/>
            <w:hideMark/>
          </w:tcPr>
          <w:p w14:paraId="0BA0A3D9"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3,2</w:t>
            </w:r>
          </w:p>
        </w:tc>
        <w:tc>
          <w:tcPr>
            <w:tcW w:w="3326" w:type="dxa"/>
            <w:tcBorders>
              <w:top w:val="nil"/>
              <w:left w:val="nil"/>
              <w:bottom w:val="single" w:sz="4" w:space="0" w:color="auto"/>
              <w:right w:val="single" w:sz="4" w:space="0" w:color="auto"/>
            </w:tcBorders>
            <w:shd w:val="clear" w:color="000000" w:fill="F2F2F2"/>
            <w:noWrap/>
            <w:hideMark/>
          </w:tcPr>
          <w:p w14:paraId="2CBA7F1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Feuille de réponse du PSF à l'appel d'offres</w:t>
            </w:r>
          </w:p>
        </w:tc>
        <w:tc>
          <w:tcPr>
            <w:tcW w:w="7512" w:type="dxa"/>
            <w:tcBorders>
              <w:top w:val="nil"/>
              <w:left w:val="nil"/>
              <w:bottom w:val="single" w:sz="4" w:space="0" w:color="auto"/>
              <w:right w:val="single" w:sz="4" w:space="0" w:color="auto"/>
            </w:tcBorders>
            <w:shd w:val="clear" w:color="000000" w:fill="F2F2F2"/>
            <w:hideMark/>
          </w:tcPr>
          <w:p w14:paraId="09AB8016" w14:textId="5593C2EB" w:rsidR="006F0862" w:rsidRPr="006E5C59" w:rsidRDefault="006F0862" w:rsidP="00D62874">
            <w:pPr>
              <w:spacing w:after="80" w:line="240" w:lineRule="auto"/>
              <w:rPr>
                <w:rFonts w:eastAsia="Times New Roman" w:cstheme="minorHAnsi"/>
                <w:color w:val="000000"/>
                <w:sz w:val="20"/>
                <w:szCs w:val="20"/>
              </w:rPr>
            </w:pPr>
            <w:r>
              <w:rPr>
                <w:color w:val="000000"/>
                <w:sz w:val="20"/>
              </w:rPr>
              <w:t>Feuille de réponse détaillant les exigences de service (obligatoires et préférées) que nous demanderons aux PSF et par rapport auxquelles nous les évaluerons</w:t>
            </w:r>
            <w:r>
              <w:rPr>
                <w:color w:val="000000"/>
                <w:sz w:val="20"/>
              </w:rPr>
              <w:br/>
              <w:t>Le document doit être revu par les programmes de TM et aligné sur le SOW.</w:t>
            </w:r>
          </w:p>
        </w:tc>
        <w:tc>
          <w:tcPr>
            <w:tcW w:w="3345" w:type="dxa"/>
            <w:vMerge/>
            <w:tcBorders>
              <w:top w:val="nil"/>
              <w:left w:val="single" w:sz="4" w:space="0" w:color="auto"/>
              <w:bottom w:val="single" w:sz="4" w:space="0" w:color="000000"/>
              <w:right w:val="single" w:sz="4" w:space="0" w:color="auto"/>
            </w:tcBorders>
            <w:hideMark/>
          </w:tcPr>
          <w:p w14:paraId="135D8BD6"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353DD473" w14:textId="77777777" w:rsidTr="005C4D16">
        <w:trPr>
          <w:trHeight w:val="600"/>
        </w:trPr>
        <w:tc>
          <w:tcPr>
            <w:tcW w:w="497" w:type="dxa"/>
            <w:tcBorders>
              <w:top w:val="nil"/>
              <w:left w:val="single" w:sz="4" w:space="0" w:color="auto"/>
              <w:bottom w:val="single" w:sz="4" w:space="0" w:color="auto"/>
              <w:right w:val="single" w:sz="4" w:space="0" w:color="auto"/>
            </w:tcBorders>
            <w:shd w:val="clear" w:color="000000" w:fill="F2F2F2"/>
            <w:hideMark/>
          </w:tcPr>
          <w:p w14:paraId="17437A0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3,3</w:t>
            </w:r>
          </w:p>
        </w:tc>
        <w:tc>
          <w:tcPr>
            <w:tcW w:w="3326" w:type="dxa"/>
            <w:tcBorders>
              <w:top w:val="nil"/>
              <w:left w:val="nil"/>
              <w:bottom w:val="single" w:sz="4" w:space="0" w:color="auto"/>
              <w:right w:val="single" w:sz="4" w:space="0" w:color="auto"/>
            </w:tcBorders>
            <w:shd w:val="clear" w:color="000000" w:fill="F2F2F2"/>
            <w:hideMark/>
          </w:tcPr>
          <w:p w14:paraId="12AE2A67"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Modèle de liste de prix / Ventilation des coûts</w:t>
            </w:r>
          </w:p>
        </w:tc>
        <w:tc>
          <w:tcPr>
            <w:tcW w:w="7512" w:type="dxa"/>
            <w:tcBorders>
              <w:top w:val="nil"/>
              <w:left w:val="nil"/>
              <w:bottom w:val="single" w:sz="4" w:space="0" w:color="auto"/>
              <w:right w:val="single" w:sz="4" w:space="0" w:color="auto"/>
            </w:tcBorders>
            <w:shd w:val="clear" w:color="000000" w:fill="F2F2F2"/>
            <w:hideMark/>
          </w:tcPr>
          <w:p w14:paraId="3E9D778D" w14:textId="2373C69C"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Le document doit être examiné par les programmes de TM et aligné sur le </w:t>
            </w:r>
            <w:proofErr w:type="spellStart"/>
            <w:r>
              <w:rPr>
                <w:color w:val="000000"/>
                <w:sz w:val="20"/>
              </w:rPr>
              <w:t>SoW</w:t>
            </w:r>
            <w:proofErr w:type="spellEnd"/>
            <w:r>
              <w:rPr>
                <w:color w:val="000000"/>
                <w:sz w:val="20"/>
              </w:rPr>
              <w:t xml:space="preserve"> et les exigences techniques de TM. </w:t>
            </w:r>
          </w:p>
        </w:tc>
        <w:tc>
          <w:tcPr>
            <w:tcW w:w="3345" w:type="dxa"/>
            <w:vMerge/>
            <w:tcBorders>
              <w:top w:val="nil"/>
              <w:left w:val="single" w:sz="4" w:space="0" w:color="auto"/>
              <w:bottom w:val="single" w:sz="4" w:space="0" w:color="000000"/>
              <w:right w:val="single" w:sz="4" w:space="0" w:color="auto"/>
            </w:tcBorders>
            <w:hideMark/>
          </w:tcPr>
          <w:p w14:paraId="3A0036A9"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30BB510C" w14:textId="77777777" w:rsidTr="005C4D16">
        <w:trPr>
          <w:trHeight w:val="600"/>
        </w:trPr>
        <w:tc>
          <w:tcPr>
            <w:tcW w:w="497" w:type="dxa"/>
            <w:tcBorders>
              <w:top w:val="nil"/>
              <w:left w:val="single" w:sz="4" w:space="0" w:color="auto"/>
              <w:bottom w:val="single" w:sz="4" w:space="0" w:color="auto"/>
              <w:right w:val="single" w:sz="4" w:space="0" w:color="auto"/>
            </w:tcBorders>
            <w:shd w:val="clear" w:color="000000" w:fill="F2F2F2"/>
            <w:hideMark/>
          </w:tcPr>
          <w:p w14:paraId="200C1E90"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3,4</w:t>
            </w:r>
          </w:p>
        </w:tc>
        <w:tc>
          <w:tcPr>
            <w:tcW w:w="3326" w:type="dxa"/>
            <w:tcBorders>
              <w:top w:val="nil"/>
              <w:left w:val="nil"/>
              <w:bottom w:val="single" w:sz="4" w:space="0" w:color="auto"/>
              <w:right w:val="single" w:sz="4" w:space="0" w:color="auto"/>
            </w:tcBorders>
            <w:shd w:val="clear" w:color="000000" w:fill="F2F2F2"/>
            <w:hideMark/>
          </w:tcPr>
          <w:p w14:paraId="0BFD4B8A"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Conditions générales pour les contrats de service (TM)</w:t>
            </w:r>
          </w:p>
        </w:tc>
        <w:tc>
          <w:tcPr>
            <w:tcW w:w="7512" w:type="dxa"/>
            <w:tcBorders>
              <w:top w:val="nil"/>
              <w:left w:val="nil"/>
              <w:bottom w:val="single" w:sz="4" w:space="0" w:color="auto"/>
              <w:right w:val="single" w:sz="4" w:space="0" w:color="auto"/>
            </w:tcBorders>
            <w:shd w:val="clear" w:color="000000" w:fill="F2F2F2"/>
            <w:hideMark/>
          </w:tcPr>
          <w:p w14:paraId="0F479CB7"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Version de TM</w:t>
            </w:r>
          </w:p>
        </w:tc>
        <w:tc>
          <w:tcPr>
            <w:tcW w:w="3345" w:type="dxa"/>
            <w:vMerge/>
            <w:tcBorders>
              <w:top w:val="nil"/>
              <w:left w:val="single" w:sz="4" w:space="0" w:color="auto"/>
              <w:bottom w:val="single" w:sz="4" w:space="0" w:color="000000"/>
              <w:right w:val="single" w:sz="4" w:space="0" w:color="auto"/>
            </w:tcBorders>
            <w:hideMark/>
          </w:tcPr>
          <w:p w14:paraId="4953D912"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40315E34" w14:textId="77777777" w:rsidTr="005C4D16">
        <w:trPr>
          <w:trHeight w:val="300"/>
        </w:trPr>
        <w:tc>
          <w:tcPr>
            <w:tcW w:w="497" w:type="dxa"/>
            <w:tcBorders>
              <w:top w:val="nil"/>
              <w:left w:val="single" w:sz="4" w:space="0" w:color="auto"/>
              <w:bottom w:val="single" w:sz="4" w:space="0" w:color="auto"/>
              <w:right w:val="single" w:sz="4" w:space="0" w:color="auto"/>
            </w:tcBorders>
            <w:shd w:val="clear" w:color="000000" w:fill="F2F2F2"/>
            <w:hideMark/>
          </w:tcPr>
          <w:p w14:paraId="1D20F41B"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lastRenderedPageBreak/>
              <w:t>3,5</w:t>
            </w:r>
          </w:p>
        </w:tc>
        <w:tc>
          <w:tcPr>
            <w:tcW w:w="3326" w:type="dxa"/>
            <w:tcBorders>
              <w:top w:val="nil"/>
              <w:left w:val="nil"/>
              <w:bottom w:val="single" w:sz="4" w:space="0" w:color="auto"/>
              <w:right w:val="single" w:sz="4" w:space="0" w:color="auto"/>
            </w:tcBorders>
            <w:shd w:val="clear" w:color="000000" w:fill="F2F2F2"/>
            <w:hideMark/>
          </w:tcPr>
          <w:p w14:paraId="144172D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Déclaration d'engagement</w:t>
            </w:r>
          </w:p>
        </w:tc>
        <w:tc>
          <w:tcPr>
            <w:tcW w:w="7512" w:type="dxa"/>
            <w:tcBorders>
              <w:top w:val="nil"/>
              <w:left w:val="nil"/>
              <w:bottom w:val="single" w:sz="4" w:space="0" w:color="auto"/>
              <w:right w:val="single" w:sz="4" w:space="0" w:color="auto"/>
            </w:tcBorders>
            <w:shd w:val="clear" w:color="000000" w:fill="F2F2F2"/>
            <w:hideMark/>
          </w:tcPr>
          <w:p w14:paraId="2DE09E4B"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c>
          <w:tcPr>
            <w:tcW w:w="3345" w:type="dxa"/>
            <w:vMerge/>
            <w:tcBorders>
              <w:top w:val="nil"/>
              <w:left w:val="single" w:sz="4" w:space="0" w:color="auto"/>
              <w:bottom w:val="single" w:sz="4" w:space="0" w:color="000000"/>
              <w:right w:val="single" w:sz="4" w:space="0" w:color="auto"/>
            </w:tcBorders>
            <w:hideMark/>
          </w:tcPr>
          <w:p w14:paraId="1D256F73"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7DCE6326" w14:textId="77777777" w:rsidTr="005C4D16">
        <w:trPr>
          <w:trHeight w:val="1869"/>
        </w:trPr>
        <w:tc>
          <w:tcPr>
            <w:tcW w:w="497" w:type="dxa"/>
            <w:tcBorders>
              <w:top w:val="nil"/>
              <w:left w:val="single" w:sz="4" w:space="0" w:color="auto"/>
              <w:bottom w:val="single" w:sz="4" w:space="0" w:color="auto"/>
              <w:right w:val="single" w:sz="4" w:space="0" w:color="auto"/>
            </w:tcBorders>
            <w:shd w:val="clear" w:color="000000" w:fill="F2F2F2"/>
            <w:hideMark/>
          </w:tcPr>
          <w:p w14:paraId="40F7B90C"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3,6</w:t>
            </w:r>
          </w:p>
        </w:tc>
        <w:tc>
          <w:tcPr>
            <w:tcW w:w="3326" w:type="dxa"/>
            <w:tcBorders>
              <w:top w:val="nil"/>
              <w:left w:val="nil"/>
              <w:bottom w:val="single" w:sz="4" w:space="0" w:color="auto"/>
              <w:right w:val="single" w:sz="4" w:space="0" w:color="auto"/>
            </w:tcBorders>
            <w:shd w:val="clear" w:color="000000" w:fill="F2F2F2"/>
            <w:hideMark/>
          </w:tcPr>
          <w:p w14:paraId="7A82D820"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Formulaire d'enregistrement du prestataire (SRF) + pièces justificatives </w:t>
            </w:r>
          </w:p>
        </w:tc>
        <w:tc>
          <w:tcPr>
            <w:tcW w:w="7512" w:type="dxa"/>
            <w:tcBorders>
              <w:top w:val="nil"/>
              <w:left w:val="nil"/>
              <w:bottom w:val="single" w:sz="4" w:space="0" w:color="auto"/>
              <w:right w:val="single" w:sz="4" w:space="0" w:color="auto"/>
            </w:tcBorders>
            <w:shd w:val="clear" w:color="000000" w:fill="F2F2F2"/>
            <w:hideMark/>
          </w:tcPr>
          <w:p w14:paraId="08AA2A81"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a) Copies des états financiers vérifiés des trois dernières années </w:t>
            </w:r>
            <w:r>
              <w:rPr>
                <w:color w:val="000000"/>
                <w:sz w:val="20"/>
              </w:rPr>
              <w:br/>
              <w:t xml:space="preserve">b) Déclaration originale de la banque du prestataire confirmant les détails bancaires (certifiant le compte bancaire et les détails pertinents - nom de la banque, adresse, code de la succursale, codes bancaires, </w:t>
            </w:r>
            <w:proofErr w:type="spellStart"/>
            <w:r>
              <w:rPr>
                <w:color w:val="000000"/>
                <w:sz w:val="20"/>
              </w:rPr>
              <w:t>etc</w:t>
            </w:r>
            <w:proofErr w:type="spellEnd"/>
            <w:r>
              <w:rPr>
                <w:color w:val="000000"/>
                <w:sz w:val="20"/>
              </w:rPr>
              <w:t xml:space="preserve">,), </w:t>
            </w:r>
            <w:r>
              <w:rPr>
                <w:color w:val="000000"/>
                <w:sz w:val="20"/>
              </w:rPr>
              <w:br/>
              <w:t xml:space="preserve">c) Copie du certificat d'enregistrement de la société, du certificat d'exonération fiscale et de tout autre document pertinent requis par la loi du pays. </w:t>
            </w:r>
          </w:p>
        </w:tc>
        <w:tc>
          <w:tcPr>
            <w:tcW w:w="3345" w:type="dxa"/>
            <w:tcBorders>
              <w:top w:val="nil"/>
              <w:left w:val="nil"/>
              <w:bottom w:val="single" w:sz="4" w:space="0" w:color="auto"/>
              <w:right w:val="single" w:sz="4" w:space="0" w:color="auto"/>
            </w:tcBorders>
            <w:shd w:val="clear" w:color="000000" w:fill="F2F2F2"/>
            <w:hideMark/>
          </w:tcPr>
          <w:p w14:paraId="032D597B" w14:textId="301851BE" w:rsidR="006F0862" w:rsidRPr="006E5C59" w:rsidRDefault="006F0862" w:rsidP="00D62874">
            <w:pPr>
              <w:spacing w:after="80" w:line="240" w:lineRule="auto"/>
              <w:rPr>
                <w:rFonts w:eastAsia="Times New Roman" w:cstheme="minorHAnsi"/>
                <w:color w:val="000000"/>
                <w:sz w:val="20"/>
                <w:szCs w:val="20"/>
              </w:rPr>
            </w:pPr>
            <w:r>
              <w:rPr>
                <w:color w:val="000000"/>
                <w:sz w:val="20"/>
              </w:rPr>
              <w:t>Original scanné, signé, daté et timbré. EN, FR, SP ou inclure la traduction.</w:t>
            </w:r>
            <w:r>
              <w:rPr>
                <w:color w:val="000000"/>
                <w:sz w:val="20"/>
              </w:rPr>
              <w:br/>
              <w:t>Tous les documents justificatifs requis conformément au Manuel de passation des marchés 2.2.2 (sous réserve de vérification/approbation par les services juridiques et financiers). EN, FR, SP ou inclure la traduction.</w:t>
            </w:r>
          </w:p>
        </w:tc>
      </w:tr>
      <w:tr w:rsidR="006F0862" w:rsidRPr="006E5C59" w14:paraId="3C033215" w14:textId="77777777" w:rsidTr="005C4D16">
        <w:trPr>
          <w:trHeight w:val="350"/>
        </w:trPr>
        <w:tc>
          <w:tcPr>
            <w:tcW w:w="497" w:type="dxa"/>
            <w:tcBorders>
              <w:top w:val="nil"/>
              <w:left w:val="single" w:sz="4" w:space="0" w:color="auto"/>
              <w:bottom w:val="single" w:sz="4" w:space="0" w:color="auto"/>
              <w:right w:val="single" w:sz="4" w:space="0" w:color="auto"/>
            </w:tcBorders>
            <w:shd w:val="clear" w:color="auto" w:fill="auto"/>
            <w:hideMark/>
          </w:tcPr>
          <w:p w14:paraId="71BEB419"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4</w:t>
            </w:r>
          </w:p>
        </w:tc>
        <w:tc>
          <w:tcPr>
            <w:tcW w:w="3326" w:type="dxa"/>
            <w:tcBorders>
              <w:top w:val="nil"/>
              <w:left w:val="nil"/>
              <w:bottom w:val="single" w:sz="4" w:space="0" w:color="auto"/>
              <w:right w:val="single" w:sz="4" w:space="0" w:color="auto"/>
            </w:tcBorders>
            <w:shd w:val="clear" w:color="auto" w:fill="auto"/>
            <w:hideMark/>
          </w:tcPr>
          <w:p w14:paraId="3C100743"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Liste des prestataires ciblés</w:t>
            </w:r>
          </w:p>
        </w:tc>
        <w:tc>
          <w:tcPr>
            <w:tcW w:w="7512" w:type="dxa"/>
            <w:tcBorders>
              <w:top w:val="nil"/>
              <w:left w:val="nil"/>
              <w:bottom w:val="single" w:sz="4" w:space="0" w:color="auto"/>
              <w:right w:val="single" w:sz="4" w:space="0" w:color="auto"/>
            </w:tcBorders>
            <w:shd w:val="clear" w:color="auto" w:fill="auto"/>
            <w:hideMark/>
          </w:tcPr>
          <w:p w14:paraId="4DF369A2"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Preuve de la remise du document d'appel d'offres au PSF</w:t>
            </w:r>
          </w:p>
        </w:tc>
        <w:tc>
          <w:tcPr>
            <w:tcW w:w="3345" w:type="dxa"/>
            <w:tcBorders>
              <w:top w:val="nil"/>
              <w:left w:val="nil"/>
              <w:bottom w:val="single" w:sz="4" w:space="0" w:color="auto"/>
              <w:right w:val="single" w:sz="4" w:space="0" w:color="auto"/>
            </w:tcBorders>
            <w:shd w:val="clear" w:color="auto" w:fill="auto"/>
            <w:noWrap/>
            <w:hideMark/>
          </w:tcPr>
          <w:p w14:paraId="0E2852F5"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r w:rsidR="006F0862" w:rsidRPr="006E5C59" w14:paraId="20AF81DF" w14:textId="77777777" w:rsidTr="005C4D16">
        <w:trPr>
          <w:trHeight w:val="838"/>
        </w:trPr>
        <w:tc>
          <w:tcPr>
            <w:tcW w:w="497" w:type="dxa"/>
            <w:tcBorders>
              <w:top w:val="nil"/>
              <w:left w:val="single" w:sz="4" w:space="0" w:color="auto"/>
              <w:bottom w:val="single" w:sz="4" w:space="0" w:color="auto"/>
              <w:right w:val="single" w:sz="4" w:space="0" w:color="auto"/>
            </w:tcBorders>
            <w:shd w:val="clear" w:color="auto" w:fill="auto"/>
            <w:hideMark/>
          </w:tcPr>
          <w:p w14:paraId="61A5287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4,1</w:t>
            </w:r>
          </w:p>
        </w:tc>
        <w:tc>
          <w:tcPr>
            <w:tcW w:w="3326" w:type="dxa"/>
            <w:tcBorders>
              <w:top w:val="nil"/>
              <w:left w:val="nil"/>
              <w:bottom w:val="single" w:sz="4" w:space="0" w:color="auto"/>
              <w:right w:val="single" w:sz="4" w:space="0" w:color="auto"/>
            </w:tcBorders>
            <w:shd w:val="clear" w:color="auto" w:fill="auto"/>
            <w:hideMark/>
          </w:tcPr>
          <w:p w14:paraId="180F53F3" w14:textId="0CD06CF6"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Preuve des </w:t>
            </w:r>
            <w:proofErr w:type="gramStart"/>
            <w:r>
              <w:rPr>
                <w:color w:val="000000"/>
                <w:sz w:val="20"/>
              </w:rPr>
              <w:t>e-mails</w:t>
            </w:r>
            <w:proofErr w:type="gramEnd"/>
            <w:r>
              <w:rPr>
                <w:color w:val="000000"/>
                <w:sz w:val="20"/>
              </w:rPr>
              <w:t xml:space="preserve"> envoyés aux prestataires (si les documents d'appel d'offres sont envoyés par e-mail).</w:t>
            </w:r>
          </w:p>
        </w:tc>
        <w:tc>
          <w:tcPr>
            <w:tcW w:w="7512" w:type="dxa"/>
            <w:tcBorders>
              <w:top w:val="nil"/>
              <w:left w:val="nil"/>
              <w:bottom w:val="single" w:sz="4" w:space="0" w:color="auto"/>
              <w:right w:val="single" w:sz="4" w:space="0" w:color="auto"/>
            </w:tcBorders>
            <w:shd w:val="clear" w:color="auto" w:fill="auto"/>
            <w:hideMark/>
          </w:tcPr>
          <w:p w14:paraId="1F145384"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Nom du prestataire à qui les documents ont été envoyés, date et heure d'envoi.</w:t>
            </w:r>
          </w:p>
        </w:tc>
        <w:tc>
          <w:tcPr>
            <w:tcW w:w="3345" w:type="dxa"/>
            <w:tcBorders>
              <w:top w:val="nil"/>
              <w:left w:val="nil"/>
              <w:bottom w:val="single" w:sz="4" w:space="0" w:color="auto"/>
              <w:right w:val="single" w:sz="4" w:space="0" w:color="auto"/>
            </w:tcBorders>
            <w:shd w:val="clear" w:color="auto" w:fill="auto"/>
            <w:hideMark/>
          </w:tcPr>
          <w:p w14:paraId="69D4B84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Copies des </w:t>
            </w:r>
            <w:proofErr w:type="gramStart"/>
            <w:r>
              <w:rPr>
                <w:color w:val="000000"/>
                <w:sz w:val="20"/>
              </w:rPr>
              <w:t>e-mails</w:t>
            </w:r>
            <w:proofErr w:type="gramEnd"/>
            <w:r>
              <w:rPr>
                <w:color w:val="000000"/>
                <w:sz w:val="20"/>
              </w:rPr>
              <w:t xml:space="preserve"> indiquant clairement le nom du prestataire auquel les documents ont été envoyés, la date et l'heure de l'envoi.</w:t>
            </w:r>
          </w:p>
        </w:tc>
      </w:tr>
      <w:tr w:rsidR="006F0862" w:rsidRPr="006E5C59" w14:paraId="3461723D" w14:textId="77777777" w:rsidTr="005C4D16">
        <w:trPr>
          <w:trHeight w:val="1200"/>
        </w:trPr>
        <w:tc>
          <w:tcPr>
            <w:tcW w:w="497" w:type="dxa"/>
            <w:tcBorders>
              <w:top w:val="nil"/>
              <w:left w:val="single" w:sz="4" w:space="0" w:color="auto"/>
              <w:bottom w:val="single" w:sz="4" w:space="0" w:color="auto"/>
              <w:right w:val="single" w:sz="4" w:space="0" w:color="auto"/>
            </w:tcBorders>
            <w:shd w:val="clear" w:color="auto" w:fill="auto"/>
            <w:hideMark/>
          </w:tcPr>
          <w:p w14:paraId="08161352"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4,2</w:t>
            </w:r>
          </w:p>
        </w:tc>
        <w:tc>
          <w:tcPr>
            <w:tcW w:w="3326" w:type="dxa"/>
            <w:tcBorders>
              <w:top w:val="nil"/>
              <w:left w:val="nil"/>
              <w:bottom w:val="single" w:sz="4" w:space="0" w:color="auto"/>
              <w:right w:val="single" w:sz="4" w:space="0" w:color="auto"/>
            </w:tcBorders>
            <w:shd w:val="clear" w:color="auto" w:fill="auto"/>
            <w:hideMark/>
          </w:tcPr>
          <w:p w14:paraId="51EFD2F5"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Registre de remise des offres (si les documents d'appel d'offres sont retirés par le PSF dans des enveloppes (documents physiques) ou par voie électronique (clé USB))</w:t>
            </w:r>
          </w:p>
        </w:tc>
        <w:tc>
          <w:tcPr>
            <w:tcW w:w="7512" w:type="dxa"/>
            <w:tcBorders>
              <w:top w:val="nil"/>
              <w:left w:val="nil"/>
              <w:bottom w:val="single" w:sz="4" w:space="0" w:color="auto"/>
              <w:right w:val="single" w:sz="4" w:space="0" w:color="auto"/>
            </w:tcBorders>
            <w:shd w:val="clear" w:color="auto" w:fill="auto"/>
            <w:hideMark/>
          </w:tcPr>
          <w:p w14:paraId="787CD43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Nom de la société/Nom de l'agent (personne qui récupère les </w:t>
            </w:r>
            <w:proofErr w:type="gramStart"/>
            <w:r>
              <w:rPr>
                <w:color w:val="000000"/>
                <w:sz w:val="20"/>
              </w:rPr>
              <w:t>documents)/</w:t>
            </w:r>
            <w:proofErr w:type="gramEnd"/>
            <w:r>
              <w:rPr>
                <w:color w:val="000000"/>
                <w:sz w:val="20"/>
              </w:rPr>
              <w:t>Date/Heure/Signature</w:t>
            </w:r>
          </w:p>
        </w:tc>
        <w:tc>
          <w:tcPr>
            <w:tcW w:w="3345" w:type="dxa"/>
            <w:tcBorders>
              <w:top w:val="nil"/>
              <w:left w:val="nil"/>
              <w:bottom w:val="single" w:sz="4" w:space="0" w:color="auto"/>
              <w:right w:val="single" w:sz="4" w:space="0" w:color="auto"/>
            </w:tcBorders>
            <w:shd w:val="clear" w:color="auto" w:fill="auto"/>
            <w:hideMark/>
          </w:tcPr>
          <w:p w14:paraId="67E76D85"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Copie scannée du registre de remise des offres avec les signatures.</w:t>
            </w:r>
          </w:p>
        </w:tc>
      </w:tr>
      <w:tr w:rsidR="005C4D16" w:rsidRPr="006E5C59" w14:paraId="0B1FDDB5" w14:textId="77777777" w:rsidTr="005C4D16">
        <w:trPr>
          <w:trHeight w:val="1152"/>
        </w:trPr>
        <w:tc>
          <w:tcPr>
            <w:tcW w:w="497" w:type="dxa"/>
            <w:tcBorders>
              <w:top w:val="nil"/>
              <w:left w:val="single" w:sz="4" w:space="0" w:color="auto"/>
              <w:bottom w:val="single" w:sz="4" w:space="0" w:color="auto"/>
              <w:right w:val="single" w:sz="4" w:space="0" w:color="auto"/>
            </w:tcBorders>
            <w:shd w:val="clear" w:color="000000" w:fill="F2F2F2"/>
            <w:noWrap/>
            <w:hideMark/>
          </w:tcPr>
          <w:p w14:paraId="19686FB8"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5</w:t>
            </w:r>
          </w:p>
        </w:tc>
        <w:tc>
          <w:tcPr>
            <w:tcW w:w="3326" w:type="dxa"/>
            <w:tcBorders>
              <w:top w:val="nil"/>
              <w:left w:val="nil"/>
              <w:bottom w:val="single" w:sz="4" w:space="0" w:color="auto"/>
              <w:right w:val="single" w:sz="4" w:space="0" w:color="auto"/>
            </w:tcBorders>
            <w:shd w:val="clear" w:color="000000" w:fill="F2F2F2"/>
            <w:noWrap/>
            <w:hideMark/>
          </w:tcPr>
          <w:p w14:paraId="5692AC5A"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Notification de la prolongation du délai de soumission aux prestataires</w:t>
            </w:r>
          </w:p>
        </w:tc>
        <w:tc>
          <w:tcPr>
            <w:tcW w:w="7512" w:type="dxa"/>
            <w:tcBorders>
              <w:top w:val="nil"/>
              <w:left w:val="nil"/>
              <w:bottom w:val="single" w:sz="4" w:space="0" w:color="auto"/>
              <w:right w:val="single" w:sz="4" w:space="0" w:color="auto"/>
            </w:tcBorders>
            <w:shd w:val="clear" w:color="000000" w:fill="F2F2F2"/>
            <w:hideMark/>
          </w:tcPr>
          <w:p w14:paraId="53EACF9C"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Preuve de la notification en temps utile de la prolongation du délai de soumission à TOUS les prestataires de PSF.</w:t>
            </w:r>
          </w:p>
        </w:tc>
        <w:tc>
          <w:tcPr>
            <w:tcW w:w="3345" w:type="dxa"/>
            <w:tcBorders>
              <w:top w:val="nil"/>
              <w:left w:val="nil"/>
              <w:bottom w:val="single" w:sz="4" w:space="0" w:color="auto"/>
              <w:right w:val="single" w:sz="4" w:space="0" w:color="auto"/>
            </w:tcBorders>
            <w:shd w:val="clear" w:color="000000" w:fill="F2F2F2"/>
            <w:hideMark/>
          </w:tcPr>
          <w:p w14:paraId="722B887B" w14:textId="5E466F0D"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Copies des </w:t>
            </w:r>
            <w:proofErr w:type="gramStart"/>
            <w:r>
              <w:rPr>
                <w:color w:val="000000"/>
                <w:sz w:val="20"/>
              </w:rPr>
              <w:t>emails</w:t>
            </w:r>
            <w:proofErr w:type="gramEnd"/>
            <w:r>
              <w:rPr>
                <w:color w:val="000000"/>
                <w:sz w:val="20"/>
              </w:rPr>
              <w:t xml:space="preserve"> envoyés aux prestataires notifiant la prolongation du délai d'appel d'offres, indiquant clairement le nom du prestataire auquel l'email a été envoyé, la date et l'heure de l'envoi.</w:t>
            </w:r>
          </w:p>
        </w:tc>
      </w:tr>
      <w:tr w:rsidR="006F0862" w:rsidRPr="006E5C59" w14:paraId="068A1063" w14:textId="77777777" w:rsidTr="005C4D16">
        <w:trPr>
          <w:trHeight w:val="300"/>
        </w:trPr>
        <w:tc>
          <w:tcPr>
            <w:tcW w:w="497" w:type="dxa"/>
            <w:tcBorders>
              <w:top w:val="nil"/>
              <w:left w:val="single" w:sz="4" w:space="0" w:color="auto"/>
              <w:bottom w:val="single" w:sz="4" w:space="0" w:color="auto"/>
              <w:right w:val="single" w:sz="4" w:space="0" w:color="auto"/>
            </w:tcBorders>
            <w:shd w:val="clear" w:color="auto" w:fill="auto"/>
            <w:hideMark/>
          </w:tcPr>
          <w:p w14:paraId="60892884"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6</w:t>
            </w:r>
          </w:p>
        </w:tc>
        <w:tc>
          <w:tcPr>
            <w:tcW w:w="3326" w:type="dxa"/>
            <w:tcBorders>
              <w:top w:val="nil"/>
              <w:left w:val="nil"/>
              <w:bottom w:val="single" w:sz="4" w:space="0" w:color="auto"/>
              <w:right w:val="single" w:sz="4" w:space="0" w:color="auto"/>
            </w:tcBorders>
            <w:shd w:val="clear" w:color="auto" w:fill="auto"/>
            <w:noWrap/>
            <w:hideMark/>
          </w:tcPr>
          <w:p w14:paraId="08E43FE6" w14:textId="79580E0C" w:rsidR="006F0862" w:rsidRPr="006E5C59" w:rsidRDefault="006F0862" w:rsidP="00D62874">
            <w:pPr>
              <w:spacing w:after="80" w:line="240" w:lineRule="auto"/>
              <w:rPr>
                <w:rFonts w:eastAsia="Times New Roman" w:cstheme="minorHAnsi"/>
                <w:color w:val="000000"/>
                <w:sz w:val="20"/>
                <w:szCs w:val="20"/>
              </w:rPr>
            </w:pPr>
            <w:r>
              <w:rPr>
                <w:color w:val="000000"/>
                <w:sz w:val="20"/>
              </w:rPr>
              <w:t>REMISE DE LA SOUMISSION/DE L'OFFRE A LA FICR/LA SOCIETE NATIONALE</w:t>
            </w:r>
          </w:p>
        </w:tc>
        <w:tc>
          <w:tcPr>
            <w:tcW w:w="7512" w:type="dxa"/>
            <w:tcBorders>
              <w:top w:val="nil"/>
              <w:left w:val="nil"/>
              <w:bottom w:val="single" w:sz="4" w:space="0" w:color="auto"/>
              <w:right w:val="single" w:sz="4" w:space="0" w:color="auto"/>
            </w:tcBorders>
            <w:shd w:val="clear" w:color="auto" w:fill="auto"/>
            <w:hideMark/>
          </w:tcPr>
          <w:p w14:paraId="37741C45" w14:textId="5882B664" w:rsidR="006F0862" w:rsidRPr="006E5C59" w:rsidRDefault="006F0862" w:rsidP="00D62874">
            <w:pPr>
              <w:spacing w:after="80" w:line="240" w:lineRule="auto"/>
              <w:rPr>
                <w:rFonts w:eastAsia="Times New Roman" w:cstheme="minorHAnsi"/>
                <w:color w:val="000000"/>
                <w:sz w:val="20"/>
                <w:szCs w:val="20"/>
              </w:rPr>
            </w:pPr>
            <w:r>
              <w:rPr>
                <w:color w:val="000000"/>
                <w:sz w:val="20"/>
              </w:rPr>
              <w:t>Preuve de la remise de l'offre du prestataire à la FICR/SN.</w:t>
            </w:r>
          </w:p>
        </w:tc>
        <w:tc>
          <w:tcPr>
            <w:tcW w:w="3345" w:type="dxa"/>
            <w:tcBorders>
              <w:top w:val="nil"/>
              <w:left w:val="nil"/>
              <w:bottom w:val="single" w:sz="4" w:space="0" w:color="auto"/>
              <w:right w:val="single" w:sz="4" w:space="0" w:color="auto"/>
            </w:tcBorders>
            <w:shd w:val="clear" w:color="auto" w:fill="auto"/>
            <w:noWrap/>
            <w:hideMark/>
          </w:tcPr>
          <w:p w14:paraId="7C6D4201"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r w:rsidR="006F0862" w:rsidRPr="006E5C59" w14:paraId="1B99CE9B" w14:textId="77777777" w:rsidTr="005C4D16">
        <w:trPr>
          <w:trHeight w:val="600"/>
        </w:trPr>
        <w:tc>
          <w:tcPr>
            <w:tcW w:w="497" w:type="dxa"/>
            <w:tcBorders>
              <w:top w:val="nil"/>
              <w:left w:val="single" w:sz="4" w:space="0" w:color="auto"/>
              <w:bottom w:val="single" w:sz="4" w:space="0" w:color="auto"/>
              <w:right w:val="single" w:sz="4" w:space="0" w:color="auto"/>
            </w:tcBorders>
            <w:shd w:val="clear" w:color="auto" w:fill="auto"/>
            <w:hideMark/>
          </w:tcPr>
          <w:p w14:paraId="79A3485B"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lastRenderedPageBreak/>
              <w:t>6,1</w:t>
            </w:r>
          </w:p>
        </w:tc>
        <w:tc>
          <w:tcPr>
            <w:tcW w:w="3326" w:type="dxa"/>
            <w:tcBorders>
              <w:top w:val="nil"/>
              <w:left w:val="nil"/>
              <w:bottom w:val="single" w:sz="4" w:space="0" w:color="auto"/>
              <w:right w:val="single" w:sz="4" w:space="0" w:color="auto"/>
            </w:tcBorders>
            <w:shd w:val="clear" w:color="auto" w:fill="auto"/>
            <w:hideMark/>
          </w:tcPr>
          <w:p w14:paraId="081BB336" w14:textId="586C6C4A" w:rsidR="006F0862" w:rsidRPr="006E5C59" w:rsidRDefault="006F0862" w:rsidP="00D62874">
            <w:pPr>
              <w:spacing w:after="80" w:line="240" w:lineRule="auto"/>
              <w:rPr>
                <w:rFonts w:eastAsia="Times New Roman" w:cstheme="minorHAnsi"/>
                <w:color w:val="000000"/>
                <w:sz w:val="20"/>
                <w:szCs w:val="20"/>
              </w:rPr>
            </w:pPr>
            <w:r>
              <w:rPr>
                <w:color w:val="000000"/>
                <w:sz w:val="20"/>
              </w:rPr>
              <w:t>Si les offres sont envoyées par courrier électronique à l'adresse électronique scellée de l'appel d'offres.</w:t>
            </w:r>
          </w:p>
        </w:tc>
        <w:tc>
          <w:tcPr>
            <w:tcW w:w="7512" w:type="dxa"/>
            <w:tcBorders>
              <w:top w:val="nil"/>
              <w:left w:val="nil"/>
              <w:bottom w:val="single" w:sz="4" w:space="0" w:color="auto"/>
              <w:right w:val="single" w:sz="4" w:space="0" w:color="auto"/>
            </w:tcBorders>
            <w:shd w:val="clear" w:color="auto" w:fill="auto"/>
            <w:hideMark/>
          </w:tcPr>
          <w:p w14:paraId="29B6E4AD"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Copie des </w:t>
            </w:r>
            <w:proofErr w:type="gramStart"/>
            <w:r>
              <w:rPr>
                <w:color w:val="000000"/>
                <w:sz w:val="20"/>
              </w:rPr>
              <w:t>emails</w:t>
            </w:r>
            <w:proofErr w:type="gramEnd"/>
            <w:r>
              <w:rPr>
                <w:color w:val="000000"/>
                <w:sz w:val="20"/>
              </w:rPr>
              <w:t xml:space="preserve"> avec les documents d'offre respectifs soumis avec la date/heure clairement visible et clairement identifié par le nom du PSF</w:t>
            </w:r>
          </w:p>
        </w:tc>
        <w:tc>
          <w:tcPr>
            <w:tcW w:w="3345" w:type="dxa"/>
            <w:tcBorders>
              <w:top w:val="nil"/>
              <w:left w:val="nil"/>
              <w:bottom w:val="single" w:sz="4" w:space="0" w:color="auto"/>
              <w:right w:val="single" w:sz="4" w:space="0" w:color="auto"/>
            </w:tcBorders>
            <w:shd w:val="clear" w:color="auto" w:fill="auto"/>
            <w:noWrap/>
            <w:hideMark/>
          </w:tcPr>
          <w:p w14:paraId="686F9451"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r w:rsidR="006F0862" w:rsidRPr="006E5C59" w14:paraId="3A3AC032" w14:textId="77777777" w:rsidTr="005C4D16">
        <w:trPr>
          <w:trHeight w:val="600"/>
        </w:trPr>
        <w:tc>
          <w:tcPr>
            <w:tcW w:w="497" w:type="dxa"/>
            <w:tcBorders>
              <w:top w:val="nil"/>
              <w:left w:val="single" w:sz="4" w:space="0" w:color="auto"/>
              <w:bottom w:val="single" w:sz="4" w:space="0" w:color="auto"/>
              <w:right w:val="single" w:sz="4" w:space="0" w:color="auto"/>
            </w:tcBorders>
            <w:shd w:val="clear" w:color="auto" w:fill="auto"/>
            <w:hideMark/>
          </w:tcPr>
          <w:p w14:paraId="7697C85A"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6,2</w:t>
            </w:r>
          </w:p>
        </w:tc>
        <w:tc>
          <w:tcPr>
            <w:tcW w:w="3326" w:type="dxa"/>
            <w:tcBorders>
              <w:top w:val="nil"/>
              <w:left w:val="nil"/>
              <w:bottom w:val="single" w:sz="4" w:space="0" w:color="auto"/>
              <w:right w:val="single" w:sz="4" w:space="0" w:color="auto"/>
            </w:tcBorders>
            <w:shd w:val="clear" w:color="auto" w:fill="auto"/>
            <w:noWrap/>
            <w:hideMark/>
          </w:tcPr>
          <w:p w14:paraId="37EE1FC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Si les offres sont remises ou retirées par le PSF ou par voie électronique (clé USB)</w:t>
            </w:r>
          </w:p>
        </w:tc>
        <w:tc>
          <w:tcPr>
            <w:tcW w:w="7512" w:type="dxa"/>
            <w:tcBorders>
              <w:top w:val="nil"/>
              <w:left w:val="nil"/>
              <w:bottom w:val="single" w:sz="4" w:space="0" w:color="auto"/>
              <w:right w:val="single" w:sz="4" w:space="0" w:color="auto"/>
            </w:tcBorders>
            <w:shd w:val="clear" w:color="auto" w:fill="auto"/>
            <w:hideMark/>
          </w:tcPr>
          <w:p w14:paraId="4546E618"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Registre des reçus d'offres avec : Nom de la société/Nom de l'agent (personne remettant </w:t>
            </w:r>
            <w:proofErr w:type="gramStart"/>
            <w:r>
              <w:rPr>
                <w:color w:val="000000"/>
                <w:sz w:val="20"/>
              </w:rPr>
              <w:t>l'offre)/</w:t>
            </w:r>
            <w:proofErr w:type="gramEnd"/>
            <w:r>
              <w:rPr>
                <w:color w:val="000000"/>
                <w:sz w:val="20"/>
              </w:rPr>
              <w:t>Date/Heure/Signature.</w:t>
            </w:r>
          </w:p>
        </w:tc>
        <w:tc>
          <w:tcPr>
            <w:tcW w:w="3345" w:type="dxa"/>
            <w:tcBorders>
              <w:top w:val="nil"/>
              <w:left w:val="nil"/>
              <w:bottom w:val="single" w:sz="4" w:space="0" w:color="auto"/>
              <w:right w:val="single" w:sz="4" w:space="0" w:color="auto"/>
            </w:tcBorders>
            <w:shd w:val="clear" w:color="auto" w:fill="auto"/>
            <w:noWrap/>
            <w:hideMark/>
          </w:tcPr>
          <w:p w14:paraId="4BF612C4"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r w:rsidR="006F0862" w:rsidRPr="006E5C59" w14:paraId="789115A2" w14:textId="77777777" w:rsidTr="005C4D16">
        <w:trPr>
          <w:trHeight w:val="600"/>
        </w:trPr>
        <w:tc>
          <w:tcPr>
            <w:tcW w:w="497" w:type="dxa"/>
            <w:tcBorders>
              <w:top w:val="nil"/>
              <w:left w:val="single" w:sz="4" w:space="0" w:color="auto"/>
              <w:bottom w:val="single" w:sz="4" w:space="0" w:color="auto"/>
              <w:right w:val="single" w:sz="4" w:space="0" w:color="auto"/>
            </w:tcBorders>
            <w:shd w:val="clear" w:color="auto" w:fill="auto"/>
            <w:hideMark/>
          </w:tcPr>
          <w:p w14:paraId="7AEC1394"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7</w:t>
            </w:r>
          </w:p>
        </w:tc>
        <w:tc>
          <w:tcPr>
            <w:tcW w:w="3326" w:type="dxa"/>
            <w:tcBorders>
              <w:top w:val="nil"/>
              <w:left w:val="nil"/>
              <w:bottom w:val="single" w:sz="4" w:space="0" w:color="auto"/>
              <w:right w:val="single" w:sz="4" w:space="0" w:color="auto"/>
            </w:tcBorders>
            <w:shd w:val="clear" w:color="auto" w:fill="auto"/>
            <w:hideMark/>
          </w:tcPr>
          <w:p w14:paraId="4DB817AA"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SOUMISSIONS/OFFRES/PROPOSITIONS DES PRESTATAIRES</w:t>
            </w:r>
          </w:p>
        </w:tc>
        <w:tc>
          <w:tcPr>
            <w:tcW w:w="7512" w:type="dxa"/>
            <w:tcBorders>
              <w:top w:val="nil"/>
              <w:left w:val="nil"/>
              <w:bottom w:val="single" w:sz="4" w:space="0" w:color="auto"/>
              <w:right w:val="single" w:sz="4" w:space="0" w:color="auto"/>
            </w:tcBorders>
            <w:shd w:val="clear" w:color="auto" w:fill="auto"/>
            <w:hideMark/>
          </w:tcPr>
          <w:p w14:paraId="2A70BB30"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Copies scannées des offres soumises par les prestataires (chaque offre étant scannée séparément)</w:t>
            </w:r>
          </w:p>
        </w:tc>
        <w:tc>
          <w:tcPr>
            <w:tcW w:w="3345" w:type="dxa"/>
            <w:tcBorders>
              <w:top w:val="nil"/>
              <w:left w:val="nil"/>
              <w:bottom w:val="single" w:sz="4" w:space="0" w:color="auto"/>
              <w:right w:val="single" w:sz="4" w:space="0" w:color="auto"/>
            </w:tcBorders>
            <w:shd w:val="clear" w:color="auto" w:fill="auto"/>
            <w:noWrap/>
            <w:hideMark/>
          </w:tcPr>
          <w:p w14:paraId="41C9DF87"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r w:rsidR="006F0862" w:rsidRPr="006E5C59" w14:paraId="19227BE0" w14:textId="77777777" w:rsidTr="005C4D16">
        <w:trPr>
          <w:trHeight w:val="3458"/>
        </w:trPr>
        <w:tc>
          <w:tcPr>
            <w:tcW w:w="497" w:type="dxa"/>
            <w:tcBorders>
              <w:top w:val="nil"/>
              <w:left w:val="single" w:sz="4" w:space="0" w:color="auto"/>
              <w:bottom w:val="single" w:sz="4" w:space="0" w:color="auto"/>
              <w:right w:val="single" w:sz="4" w:space="0" w:color="auto"/>
            </w:tcBorders>
            <w:shd w:val="clear" w:color="auto" w:fill="auto"/>
            <w:hideMark/>
          </w:tcPr>
          <w:p w14:paraId="70F7CEA7"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8</w:t>
            </w:r>
          </w:p>
        </w:tc>
        <w:tc>
          <w:tcPr>
            <w:tcW w:w="3326" w:type="dxa"/>
            <w:tcBorders>
              <w:top w:val="nil"/>
              <w:left w:val="nil"/>
              <w:bottom w:val="single" w:sz="4" w:space="0" w:color="auto"/>
              <w:right w:val="single" w:sz="4" w:space="0" w:color="auto"/>
            </w:tcBorders>
            <w:shd w:val="clear" w:color="auto" w:fill="auto"/>
            <w:hideMark/>
          </w:tcPr>
          <w:p w14:paraId="6DBFBE99"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Procès-verbal de la cérémonie d'ouverture des plis</w:t>
            </w:r>
          </w:p>
        </w:tc>
        <w:tc>
          <w:tcPr>
            <w:tcW w:w="7512" w:type="dxa"/>
            <w:tcBorders>
              <w:top w:val="nil"/>
              <w:left w:val="nil"/>
              <w:bottom w:val="single" w:sz="4" w:space="0" w:color="auto"/>
              <w:right w:val="single" w:sz="4" w:space="0" w:color="auto"/>
            </w:tcBorders>
            <w:shd w:val="clear" w:color="auto" w:fill="auto"/>
            <w:hideMark/>
          </w:tcPr>
          <w:p w14:paraId="44412BBD" w14:textId="77777777" w:rsidR="0051325A" w:rsidRPr="006E5C59" w:rsidRDefault="006F0862" w:rsidP="00D62874">
            <w:pPr>
              <w:spacing w:after="80" w:line="240" w:lineRule="auto"/>
              <w:rPr>
                <w:rFonts w:eastAsia="Times New Roman" w:cstheme="minorHAnsi"/>
                <w:color w:val="000000"/>
                <w:sz w:val="20"/>
                <w:szCs w:val="20"/>
              </w:rPr>
            </w:pPr>
            <w:r>
              <w:rPr>
                <w:color w:val="000000"/>
                <w:sz w:val="20"/>
              </w:rPr>
              <w:t>Procès-verbal de la réunion tenue par la Commission locale des marchés pour accuser réception et ouvrir les offres reçues</w:t>
            </w:r>
          </w:p>
          <w:p w14:paraId="5112C66F" w14:textId="2401F9DF"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Lieu, date et heure de la réunion</w:t>
            </w:r>
          </w:p>
          <w:p w14:paraId="6DB54F1C" w14:textId="4F965A90"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Liste des noms nommés pour la Commission d'ouverture des plis et titres respectifs</w:t>
            </w:r>
          </w:p>
          <w:p w14:paraId="15F60A66" w14:textId="6ECAFB8D"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Description générale du programme et de son objectif (nombre de bénéficiaires, zones, et montant total à distribuer - si connu)</w:t>
            </w:r>
          </w:p>
          <w:p w14:paraId="13EE5B09" w14:textId="686D5A64"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Liste des sociétés qui ont reçu des demandes de propositions par courrier électronique ou qui ont reçu des demandes de propositions en format physique.</w:t>
            </w:r>
          </w:p>
          <w:p w14:paraId="272C488F" w14:textId="22170867"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 xml:space="preserve">Liste des sociétés qui ont soumis des offres par </w:t>
            </w:r>
            <w:proofErr w:type="gramStart"/>
            <w:r>
              <w:rPr>
                <w:color w:val="000000"/>
                <w:sz w:val="20"/>
              </w:rPr>
              <w:t>e-mail</w:t>
            </w:r>
            <w:proofErr w:type="gramEnd"/>
            <w:r>
              <w:rPr>
                <w:color w:val="000000"/>
                <w:sz w:val="20"/>
              </w:rPr>
              <w:t xml:space="preserve"> ou dans des enveloppes scellées avant la date limite de clôture (heure/date) comme demandé dans les documents d'appel d'offres. </w:t>
            </w:r>
          </w:p>
          <w:p w14:paraId="292E0603" w14:textId="514F04F5"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 xml:space="preserve">Liste des sociétés qui ont soumis des offres par </w:t>
            </w:r>
            <w:proofErr w:type="gramStart"/>
            <w:r>
              <w:rPr>
                <w:color w:val="000000"/>
                <w:sz w:val="20"/>
              </w:rPr>
              <w:t>e-mail</w:t>
            </w:r>
            <w:proofErr w:type="gramEnd"/>
            <w:r>
              <w:rPr>
                <w:color w:val="000000"/>
                <w:sz w:val="20"/>
              </w:rPr>
              <w:t xml:space="preserve"> ou sous enveloppe scellée après la date limite de clôture (heure/date).</w:t>
            </w:r>
          </w:p>
          <w:p w14:paraId="2A3C4544" w14:textId="77777777"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Liste des entreprises qui ont reçu les documents d'appel d'offres par e-mail/enveloppes physiques et qui n'ont pas répondu.</w:t>
            </w:r>
          </w:p>
          <w:p w14:paraId="6FFFDD01" w14:textId="26483721" w:rsidR="006F0862" w:rsidRPr="006E5C59" w:rsidRDefault="006F0862" w:rsidP="00DB6AC2">
            <w:pPr>
              <w:pStyle w:val="ListParagraph"/>
              <w:numPr>
                <w:ilvl w:val="0"/>
                <w:numId w:val="20"/>
              </w:numPr>
              <w:spacing w:after="80" w:line="240" w:lineRule="auto"/>
              <w:rPr>
                <w:rFonts w:eastAsia="Times New Roman" w:cstheme="minorHAnsi"/>
                <w:color w:val="000000"/>
                <w:sz w:val="20"/>
                <w:szCs w:val="20"/>
              </w:rPr>
            </w:pPr>
            <w:r>
              <w:rPr>
                <w:color w:val="000000"/>
                <w:sz w:val="20"/>
              </w:rPr>
              <w:t>FIN DU DOCUMENT : Noms, titres des participants et date</w:t>
            </w:r>
          </w:p>
        </w:tc>
        <w:tc>
          <w:tcPr>
            <w:tcW w:w="3345" w:type="dxa"/>
            <w:tcBorders>
              <w:top w:val="nil"/>
              <w:left w:val="nil"/>
              <w:bottom w:val="single" w:sz="4" w:space="0" w:color="auto"/>
              <w:right w:val="single" w:sz="4" w:space="0" w:color="auto"/>
            </w:tcBorders>
            <w:shd w:val="clear" w:color="auto" w:fill="auto"/>
            <w:hideMark/>
          </w:tcPr>
          <w:p w14:paraId="45CE5F15"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Original scanné, rempli en entier, daté et signé par les membres du </w:t>
            </w:r>
            <w:proofErr w:type="spellStart"/>
            <w:r>
              <w:rPr>
                <w:color w:val="000000"/>
                <w:sz w:val="20"/>
              </w:rPr>
              <w:t>CdC</w:t>
            </w:r>
            <w:proofErr w:type="spellEnd"/>
            <w:r>
              <w:rPr>
                <w:color w:val="000000"/>
                <w:sz w:val="20"/>
              </w:rPr>
              <w:t>. EN, FR, SP ou inclure la traduction.</w:t>
            </w:r>
          </w:p>
        </w:tc>
      </w:tr>
      <w:tr w:rsidR="006F0862" w:rsidRPr="006E5C59" w14:paraId="3C87DE55" w14:textId="77777777" w:rsidTr="005C4D16">
        <w:trPr>
          <w:trHeight w:val="6547"/>
        </w:trPr>
        <w:tc>
          <w:tcPr>
            <w:tcW w:w="497" w:type="dxa"/>
            <w:tcBorders>
              <w:top w:val="nil"/>
              <w:left w:val="single" w:sz="4" w:space="0" w:color="auto"/>
              <w:bottom w:val="single" w:sz="4" w:space="0" w:color="auto"/>
              <w:right w:val="single" w:sz="4" w:space="0" w:color="auto"/>
            </w:tcBorders>
            <w:shd w:val="clear" w:color="auto" w:fill="auto"/>
            <w:hideMark/>
          </w:tcPr>
          <w:p w14:paraId="5AF712A5"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lastRenderedPageBreak/>
              <w:t>8</w:t>
            </w:r>
          </w:p>
        </w:tc>
        <w:tc>
          <w:tcPr>
            <w:tcW w:w="3326" w:type="dxa"/>
            <w:tcBorders>
              <w:top w:val="nil"/>
              <w:left w:val="nil"/>
              <w:bottom w:val="single" w:sz="4" w:space="0" w:color="auto"/>
              <w:right w:val="single" w:sz="4" w:space="0" w:color="auto"/>
            </w:tcBorders>
            <w:shd w:val="clear" w:color="auto" w:fill="auto"/>
            <w:hideMark/>
          </w:tcPr>
          <w:p w14:paraId="53932EB7" w14:textId="7BA87F4B"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Procès-verbal de l'évaluation des offres et de la sélection des prestataires, </w:t>
            </w:r>
            <w:proofErr w:type="spellStart"/>
            <w:r>
              <w:rPr>
                <w:color w:val="000000"/>
                <w:sz w:val="20"/>
              </w:rPr>
              <w:t>CdM</w:t>
            </w:r>
            <w:proofErr w:type="spellEnd"/>
            <w:r>
              <w:rPr>
                <w:color w:val="000000"/>
                <w:sz w:val="20"/>
              </w:rPr>
              <w:t xml:space="preserve"> </w:t>
            </w:r>
          </w:p>
        </w:tc>
        <w:tc>
          <w:tcPr>
            <w:tcW w:w="7512" w:type="dxa"/>
            <w:tcBorders>
              <w:top w:val="nil"/>
              <w:left w:val="nil"/>
              <w:bottom w:val="single" w:sz="4" w:space="0" w:color="auto"/>
              <w:right w:val="single" w:sz="4" w:space="0" w:color="auto"/>
            </w:tcBorders>
            <w:shd w:val="clear" w:color="auto" w:fill="auto"/>
            <w:hideMark/>
          </w:tcPr>
          <w:p w14:paraId="78B0EF93" w14:textId="73D01FBD" w:rsidR="002A00B6" w:rsidRPr="006E5C59" w:rsidRDefault="006F0862" w:rsidP="002A00B6">
            <w:pPr>
              <w:spacing w:after="80" w:line="240" w:lineRule="auto"/>
              <w:rPr>
                <w:rFonts w:eastAsia="Times New Roman" w:cstheme="minorHAnsi"/>
                <w:color w:val="000000"/>
                <w:sz w:val="20"/>
                <w:szCs w:val="20"/>
              </w:rPr>
            </w:pPr>
            <w:r>
              <w:rPr>
                <w:color w:val="000000"/>
                <w:sz w:val="20"/>
              </w:rPr>
              <w:t>Procès-verbal du Comité des marchés (Comité de sélection des prestataires) avec les éléments suivants :</w:t>
            </w:r>
            <w:r>
              <w:rPr>
                <w:color w:val="000000"/>
                <w:sz w:val="20"/>
              </w:rPr>
              <w:br/>
              <w:t>Procès-verbal détaillant l'évaluation des offres et la recommandation des prestataires</w:t>
            </w:r>
            <w:r>
              <w:rPr>
                <w:color w:val="000000"/>
                <w:sz w:val="20"/>
              </w:rPr>
              <w:br/>
              <w:t>Lieu, date et heure de la réunion</w:t>
            </w:r>
          </w:p>
          <w:p w14:paraId="3A4391BC"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Liste des noms nommés pour le Comité d'évaluation des offres et titres respectifs</w:t>
            </w:r>
          </w:p>
          <w:p w14:paraId="3592AA46"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c) d) e) f) g) du procès-verbal de la réunion d'ouverture des offres</w:t>
            </w:r>
          </w:p>
          <w:p w14:paraId="2409D938"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Critères de sélection des prestataires clairement définis</w:t>
            </w:r>
          </w:p>
          <w:p w14:paraId="28E6C48B"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 xml:space="preserve">Évaluation et critères administratifs (points minimums requis pour passer à l'étape suivante et points maximums atteignables) </w:t>
            </w:r>
            <w:r>
              <w:rPr>
                <w:color w:val="000000"/>
                <w:sz w:val="20"/>
              </w:rPr>
              <w:br/>
              <w:t>Évaluation technique et critères (points minimums requis pour passer à l'étape suivante et points maximums possibles)</w:t>
            </w:r>
            <w:r>
              <w:rPr>
                <w:color w:val="000000"/>
                <w:sz w:val="20"/>
              </w:rPr>
              <w:br/>
              <w:t>Évaluation et critères financiers (points minimums requis pour passer à l'étape suivante et points maximums atteignables)</w:t>
            </w:r>
          </w:p>
          <w:p w14:paraId="2A5B8A92" w14:textId="380ED4EC" w:rsidR="000B569B"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Critères de sélection finale du prestataire</w:t>
            </w:r>
          </w:p>
          <w:p w14:paraId="39E2D2B5" w14:textId="5A87A6C4" w:rsidR="000B569B" w:rsidRPr="006E5C59" w:rsidRDefault="006F0862" w:rsidP="00DB6AC2">
            <w:pPr>
              <w:pStyle w:val="ListParagraph"/>
              <w:numPr>
                <w:ilvl w:val="1"/>
                <w:numId w:val="21"/>
              </w:numPr>
              <w:spacing w:after="80" w:line="240" w:lineRule="auto"/>
              <w:rPr>
                <w:rFonts w:eastAsia="Times New Roman" w:cstheme="minorHAnsi"/>
                <w:color w:val="000000"/>
                <w:sz w:val="20"/>
                <w:szCs w:val="20"/>
              </w:rPr>
            </w:pPr>
            <w:r>
              <w:rPr>
                <w:color w:val="000000"/>
                <w:sz w:val="20"/>
              </w:rPr>
              <w:t>Meilleure offre globale</w:t>
            </w:r>
            <w:r>
              <w:rPr>
                <w:color w:val="000000"/>
                <w:sz w:val="20"/>
              </w:rPr>
              <w:br/>
              <w:t xml:space="preserve">         </w:t>
            </w:r>
            <w:proofErr w:type="gramStart"/>
            <w:r>
              <w:rPr>
                <w:color w:val="000000"/>
                <w:sz w:val="20"/>
              </w:rPr>
              <w:t>OU</w:t>
            </w:r>
            <w:proofErr w:type="gramEnd"/>
          </w:p>
          <w:p w14:paraId="6A97C938" w14:textId="035CBDFF" w:rsidR="000B569B" w:rsidRPr="006E5C59" w:rsidRDefault="006F0862" w:rsidP="00DB6AC2">
            <w:pPr>
              <w:pStyle w:val="ListParagraph"/>
              <w:numPr>
                <w:ilvl w:val="1"/>
                <w:numId w:val="21"/>
              </w:numPr>
              <w:spacing w:after="80" w:line="240" w:lineRule="auto"/>
              <w:rPr>
                <w:rFonts w:eastAsia="Times New Roman" w:cstheme="minorHAnsi"/>
                <w:color w:val="000000"/>
                <w:sz w:val="20"/>
                <w:szCs w:val="20"/>
              </w:rPr>
            </w:pPr>
            <w:r>
              <w:rPr>
                <w:color w:val="000000"/>
                <w:sz w:val="20"/>
              </w:rPr>
              <w:t>Meilleure offre financière pour les prestataires répondant aux exigences administratives et techniques (programme)</w:t>
            </w:r>
          </w:p>
          <w:p w14:paraId="285B41F7"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Recommandation du prestataire par la Commission des marchés :</w:t>
            </w:r>
          </w:p>
          <w:p w14:paraId="02224316" w14:textId="5BBB12AC" w:rsidR="002A00B6" w:rsidRPr="006E5C59" w:rsidRDefault="006F0862" w:rsidP="00DB6AC2">
            <w:pPr>
              <w:pStyle w:val="ListParagraph"/>
              <w:numPr>
                <w:ilvl w:val="1"/>
                <w:numId w:val="21"/>
              </w:numPr>
              <w:spacing w:after="80" w:line="240" w:lineRule="auto"/>
              <w:rPr>
                <w:rFonts w:eastAsia="Times New Roman" w:cstheme="minorHAnsi"/>
                <w:color w:val="000000"/>
                <w:sz w:val="20"/>
                <w:szCs w:val="20"/>
              </w:rPr>
            </w:pPr>
            <w:r>
              <w:rPr>
                <w:color w:val="000000"/>
                <w:sz w:val="20"/>
              </w:rPr>
              <w:t>Prestataire</w:t>
            </w:r>
          </w:p>
          <w:p w14:paraId="472806A3" w14:textId="09538A56" w:rsidR="000B569B" w:rsidRPr="006E5C59" w:rsidRDefault="006F0862" w:rsidP="00DB6AC2">
            <w:pPr>
              <w:pStyle w:val="ListParagraph"/>
              <w:numPr>
                <w:ilvl w:val="1"/>
                <w:numId w:val="21"/>
              </w:numPr>
              <w:spacing w:after="80" w:line="240" w:lineRule="auto"/>
              <w:rPr>
                <w:rFonts w:eastAsia="Times New Roman" w:cstheme="minorHAnsi"/>
                <w:color w:val="000000"/>
                <w:sz w:val="20"/>
                <w:szCs w:val="20"/>
              </w:rPr>
            </w:pPr>
            <w:r>
              <w:rPr>
                <w:color w:val="000000"/>
                <w:sz w:val="20"/>
              </w:rPr>
              <w:t>Montant à distribuer par bénéficiaire et montant total à distribuer à tous les bénéficiaires et frais de services (si connus)</w:t>
            </w:r>
          </w:p>
          <w:p w14:paraId="5073F61A" w14:textId="0F5A3A9C" w:rsidR="006F0862" w:rsidRPr="006E5C59" w:rsidRDefault="006F0862" w:rsidP="00DB6AC2">
            <w:pPr>
              <w:pStyle w:val="ListParagraph"/>
              <w:numPr>
                <w:ilvl w:val="0"/>
                <w:numId w:val="21"/>
              </w:numPr>
              <w:spacing w:after="80" w:line="240" w:lineRule="auto"/>
              <w:rPr>
                <w:rFonts w:eastAsia="Times New Roman" w:cstheme="minorHAnsi"/>
                <w:color w:val="000000"/>
                <w:sz w:val="20"/>
                <w:szCs w:val="20"/>
              </w:rPr>
            </w:pPr>
            <w:r>
              <w:rPr>
                <w:color w:val="000000"/>
                <w:sz w:val="20"/>
              </w:rPr>
              <w:t>FIN DU DOCUMENT : Nom, titre et signature de tous les membres de la commission, lieu et date</w:t>
            </w:r>
          </w:p>
        </w:tc>
        <w:tc>
          <w:tcPr>
            <w:tcW w:w="3345" w:type="dxa"/>
            <w:tcBorders>
              <w:top w:val="nil"/>
              <w:left w:val="nil"/>
              <w:bottom w:val="single" w:sz="4" w:space="0" w:color="auto"/>
              <w:right w:val="single" w:sz="4" w:space="0" w:color="auto"/>
            </w:tcBorders>
            <w:shd w:val="clear" w:color="auto" w:fill="auto"/>
            <w:hideMark/>
          </w:tcPr>
          <w:p w14:paraId="0BB51233"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xml:space="preserve">Original scanné, rempli en entier, daté et signé par les membres du </w:t>
            </w:r>
            <w:proofErr w:type="spellStart"/>
            <w:r>
              <w:rPr>
                <w:color w:val="000000"/>
                <w:sz w:val="20"/>
              </w:rPr>
              <w:t>CdM</w:t>
            </w:r>
            <w:proofErr w:type="spellEnd"/>
            <w:r>
              <w:rPr>
                <w:color w:val="000000"/>
                <w:sz w:val="20"/>
              </w:rPr>
              <w:t>. EN, FR, SP ou inclure la traduction.</w:t>
            </w:r>
          </w:p>
        </w:tc>
      </w:tr>
      <w:tr w:rsidR="006F0862" w:rsidRPr="006E5C59" w14:paraId="333C1D84" w14:textId="77777777" w:rsidTr="005C4D16">
        <w:trPr>
          <w:trHeight w:val="578"/>
        </w:trPr>
        <w:tc>
          <w:tcPr>
            <w:tcW w:w="497" w:type="dxa"/>
            <w:tcBorders>
              <w:top w:val="nil"/>
              <w:left w:val="single" w:sz="4" w:space="0" w:color="auto"/>
              <w:bottom w:val="single" w:sz="4" w:space="0" w:color="auto"/>
              <w:right w:val="single" w:sz="4" w:space="0" w:color="auto"/>
            </w:tcBorders>
            <w:shd w:val="clear" w:color="auto" w:fill="auto"/>
            <w:hideMark/>
          </w:tcPr>
          <w:p w14:paraId="4369385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10</w:t>
            </w:r>
          </w:p>
        </w:tc>
        <w:tc>
          <w:tcPr>
            <w:tcW w:w="3326" w:type="dxa"/>
            <w:tcBorders>
              <w:top w:val="nil"/>
              <w:left w:val="nil"/>
              <w:bottom w:val="single" w:sz="4" w:space="0" w:color="auto"/>
              <w:right w:val="single" w:sz="4" w:space="0" w:color="auto"/>
            </w:tcBorders>
            <w:shd w:val="clear" w:color="auto" w:fill="auto"/>
            <w:hideMark/>
          </w:tcPr>
          <w:p w14:paraId="36A47804"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ACO (Analyse comparative des offres)</w:t>
            </w:r>
          </w:p>
        </w:tc>
        <w:tc>
          <w:tcPr>
            <w:tcW w:w="7512" w:type="dxa"/>
            <w:tcBorders>
              <w:top w:val="nil"/>
              <w:left w:val="nil"/>
              <w:bottom w:val="single" w:sz="4" w:space="0" w:color="auto"/>
              <w:right w:val="single" w:sz="4" w:space="0" w:color="auto"/>
            </w:tcBorders>
            <w:shd w:val="clear" w:color="auto" w:fill="auto"/>
            <w:hideMark/>
          </w:tcPr>
          <w:p w14:paraId="5E9D13AF" w14:textId="4178C397" w:rsidR="006F0862" w:rsidRPr="006E5C59" w:rsidRDefault="006F0862" w:rsidP="00D62874">
            <w:pPr>
              <w:spacing w:after="80" w:line="240" w:lineRule="auto"/>
              <w:rPr>
                <w:rFonts w:eastAsia="Times New Roman" w:cstheme="minorHAnsi"/>
                <w:color w:val="000000"/>
                <w:sz w:val="20"/>
                <w:szCs w:val="20"/>
              </w:rPr>
            </w:pPr>
            <w:r>
              <w:rPr>
                <w:color w:val="000000"/>
                <w:sz w:val="20"/>
              </w:rPr>
              <w:t>Copie électronique et PDF signé. PDF signé : Soumis par / Responsable des finances / Chef d'opération / Représentant national ou Chef du cluster.</w:t>
            </w:r>
          </w:p>
        </w:tc>
        <w:tc>
          <w:tcPr>
            <w:tcW w:w="3345" w:type="dxa"/>
            <w:tcBorders>
              <w:top w:val="nil"/>
              <w:left w:val="nil"/>
              <w:bottom w:val="single" w:sz="4" w:space="0" w:color="auto"/>
              <w:right w:val="single" w:sz="4" w:space="0" w:color="auto"/>
            </w:tcBorders>
            <w:shd w:val="clear" w:color="auto" w:fill="auto"/>
            <w:noWrap/>
            <w:hideMark/>
          </w:tcPr>
          <w:p w14:paraId="4B08FF6F"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r w:rsidR="006F0862" w:rsidRPr="006E5C59" w14:paraId="12A9E6F3" w14:textId="77777777" w:rsidTr="005C4D16">
        <w:trPr>
          <w:trHeight w:val="300"/>
        </w:trPr>
        <w:tc>
          <w:tcPr>
            <w:tcW w:w="497" w:type="dxa"/>
            <w:tcBorders>
              <w:top w:val="nil"/>
              <w:left w:val="single" w:sz="4" w:space="0" w:color="auto"/>
              <w:bottom w:val="single" w:sz="4" w:space="0" w:color="auto"/>
              <w:right w:val="single" w:sz="4" w:space="0" w:color="auto"/>
            </w:tcBorders>
            <w:shd w:val="clear" w:color="auto" w:fill="auto"/>
            <w:noWrap/>
            <w:hideMark/>
          </w:tcPr>
          <w:p w14:paraId="244522C7"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11</w:t>
            </w:r>
          </w:p>
        </w:tc>
        <w:tc>
          <w:tcPr>
            <w:tcW w:w="3326" w:type="dxa"/>
            <w:tcBorders>
              <w:top w:val="nil"/>
              <w:left w:val="nil"/>
              <w:bottom w:val="single" w:sz="4" w:space="0" w:color="auto"/>
              <w:right w:val="single" w:sz="4" w:space="0" w:color="auto"/>
            </w:tcBorders>
            <w:shd w:val="clear" w:color="auto" w:fill="auto"/>
            <w:hideMark/>
          </w:tcPr>
          <w:p w14:paraId="0B53ED42"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Projet de contrat</w:t>
            </w:r>
          </w:p>
        </w:tc>
        <w:tc>
          <w:tcPr>
            <w:tcW w:w="7512" w:type="dxa"/>
            <w:tcBorders>
              <w:top w:val="nil"/>
              <w:left w:val="nil"/>
              <w:bottom w:val="single" w:sz="4" w:space="0" w:color="auto"/>
              <w:right w:val="single" w:sz="4" w:space="0" w:color="auto"/>
            </w:tcBorders>
            <w:shd w:val="clear" w:color="auto" w:fill="auto"/>
            <w:hideMark/>
          </w:tcPr>
          <w:p w14:paraId="2DC1C2F6"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Copie électronique du projet de contrat</w:t>
            </w:r>
          </w:p>
        </w:tc>
        <w:tc>
          <w:tcPr>
            <w:tcW w:w="3345" w:type="dxa"/>
            <w:tcBorders>
              <w:top w:val="nil"/>
              <w:left w:val="nil"/>
              <w:bottom w:val="single" w:sz="4" w:space="0" w:color="auto"/>
              <w:right w:val="single" w:sz="4" w:space="0" w:color="auto"/>
            </w:tcBorders>
            <w:shd w:val="clear" w:color="auto" w:fill="auto"/>
            <w:noWrap/>
            <w:hideMark/>
          </w:tcPr>
          <w:p w14:paraId="7D6123DE" w14:textId="77777777" w:rsidR="006F0862" w:rsidRPr="006E5C59" w:rsidRDefault="006F0862" w:rsidP="00D62874">
            <w:pPr>
              <w:spacing w:after="80" w:line="240" w:lineRule="auto"/>
              <w:rPr>
                <w:rFonts w:eastAsia="Times New Roman" w:cstheme="minorHAnsi"/>
                <w:color w:val="000000"/>
                <w:sz w:val="20"/>
                <w:szCs w:val="20"/>
              </w:rPr>
            </w:pPr>
            <w:r>
              <w:rPr>
                <w:color w:val="000000"/>
                <w:sz w:val="20"/>
              </w:rPr>
              <w:t> </w:t>
            </w:r>
          </w:p>
        </w:tc>
      </w:tr>
    </w:tbl>
    <w:p w14:paraId="53AA7C83" w14:textId="77777777" w:rsidR="00CA3FC9" w:rsidRPr="006E5C59" w:rsidRDefault="00CA3FC9" w:rsidP="005B6522">
      <w:pPr>
        <w:rPr>
          <w:b/>
          <w:u w:val="single"/>
        </w:rPr>
      </w:pPr>
    </w:p>
    <w:p w14:paraId="2976A56B" w14:textId="7528215B" w:rsidR="0064719B" w:rsidRPr="006E5C59" w:rsidRDefault="00191E8F" w:rsidP="000008BB">
      <w:pPr>
        <w:pStyle w:val="Heading1"/>
        <w:numPr>
          <w:ilvl w:val="0"/>
          <w:numId w:val="0"/>
        </w:numPr>
      </w:pPr>
      <w:bookmarkStart w:id="30" w:name="_Annex_2:_Process"/>
      <w:bookmarkStart w:id="31" w:name="_Annex_3:_Process"/>
      <w:bookmarkStart w:id="32" w:name="_Toc96934171"/>
      <w:bookmarkEnd w:id="30"/>
      <w:bookmarkEnd w:id="31"/>
      <w:r>
        <w:lastRenderedPageBreak/>
        <w:t>Annexe 2 : Déroulement du processus, rôles et responsabilités pour la sélection et la contractualisation des PSF</w:t>
      </w:r>
      <w:bookmarkEnd w:id="32"/>
      <w:r>
        <w:t xml:space="preserve"> </w:t>
      </w:r>
    </w:p>
    <w:tbl>
      <w:tblPr>
        <w:tblStyle w:val="GridTable2-Accent6"/>
        <w:tblW w:w="14678" w:type="dxa"/>
        <w:tblLayout w:type="fixed"/>
        <w:tblLook w:val="04A0" w:firstRow="1" w:lastRow="0" w:firstColumn="1" w:lastColumn="0" w:noHBand="0" w:noVBand="1"/>
      </w:tblPr>
      <w:tblGrid>
        <w:gridCol w:w="1397"/>
        <w:gridCol w:w="1297"/>
        <w:gridCol w:w="1275"/>
        <w:gridCol w:w="2977"/>
        <w:gridCol w:w="2977"/>
        <w:gridCol w:w="2835"/>
        <w:gridCol w:w="1920"/>
      </w:tblGrid>
      <w:tr w:rsidR="00201E58" w:rsidRPr="006E5C59" w14:paraId="3F32F3D3" w14:textId="77777777" w:rsidTr="001F302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97" w:type="dxa"/>
          </w:tcPr>
          <w:p w14:paraId="6CD53516" w14:textId="77777777" w:rsidR="00C30F5D" w:rsidRPr="006E5C59" w:rsidRDefault="00C30F5D" w:rsidP="00AD7F8F">
            <w:pPr>
              <w:jc w:val="both"/>
              <w:rPr>
                <w:bCs w:val="0"/>
                <w:sz w:val="20"/>
                <w:szCs w:val="20"/>
              </w:rPr>
            </w:pPr>
            <w:r>
              <w:rPr>
                <w:sz w:val="20"/>
              </w:rPr>
              <w:t>Phase</w:t>
            </w:r>
          </w:p>
        </w:tc>
        <w:tc>
          <w:tcPr>
            <w:tcW w:w="1297" w:type="dxa"/>
          </w:tcPr>
          <w:p w14:paraId="4A626C27" w14:textId="77777777" w:rsidR="00C30F5D" w:rsidRPr="006E5C59" w:rsidRDefault="00C30F5D"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Pr>
                <w:sz w:val="20"/>
              </w:rPr>
              <w:t>Étapes</w:t>
            </w:r>
          </w:p>
        </w:tc>
        <w:tc>
          <w:tcPr>
            <w:tcW w:w="1275" w:type="dxa"/>
          </w:tcPr>
          <w:p w14:paraId="3CDBE205" w14:textId="6E7F322A" w:rsidR="00C30F5D" w:rsidRPr="006E5C59" w:rsidRDefault="00C30F5D" w:rsidP="00B373CF">
            <w:pPr>
              <w:cnfStyle w:val="100000000000" w:firstRow="1" w:lastRow="0" w:firstColumn="0" w:lastColumn="0" w:oddVBand="0" w:evenVBand="0" w:oddHBand="0" w:evenHBand="0" w:firstRowFirstColumn="0" w:firstRowLastColumn="0" w:lastRowFirstColumn="0" w:lastRowLastColumn="0"/>
              <w:rPr>
                <w:bCs w:val="0"/>
                <w:sz w:val="20"/>
                <w:szCs w:val="20"/>
              </w:rPr>
            </w:pPr>
            <w:r>
              <w:rPr>
                <w:sz w:val="20"/>
              </w:rPr>
              <w:t>Produit / résultat</w:t>
            </w:r>
          </w:p>
        </w:tc>
        <w:tc>
          <w:tcPr>
            <w:tcW w:w="2977" w:type="dxa"/>
          </w:tcPr>
          <w:p w14:paraId="5A7AA917" w14:textId="5B45B038" w:rsidR="00C30F5D" w:rsidRPr="006E5C59" w:rsidRDefault="00C30F5D"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Pr>
                <w:sz w:val="20"/>
              </w:rPr>
              <w:t>Fonction responsable</w:t>
            </w:r>
          </w:p>
        </w:tc>
        <w:tc>
          <w:tcPr>
            <w:tcW w:w="2977" w:type="dxa"/>
          </w:tcPr>
          <w:p w14:paraId="2EB5B7F0" w14:textId="77777777" w:rsidR="00C30F5D" w:rsidRPr="006E5C59" w:rsidRDefault="00C30F5D"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Pr>
                <w:sz w:val="20"/>
              </w:rPr>
              <w:t>Responsable</w:t>
            </w:r>
          </w:p>
        </w:tc>
        <w:tc>
          <w:tcPr>
            <w:tcW w:w="2835" w:type="dxa"/>
          </w:tcPr>
          <w:p w14:paraId="0C5E5133" w14:textId="57D3604C" w:rsidR="00C30F5D" w:rsidRPr="006E5C59" w:rsidRDefault="00BC4039"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Pr>
                <w:sz w:val="20"/>
              </w:rPr>
              <w:t>Doit être consulté</w:t>
            </w:r>
          </w:p>
        </w:tc>
        <w:tc>
          <w:tcPr>
            <w:tcW w:w="1920" w:type="dxa"/>
          </w:tcPr>
          <w:p w14:paraId="195DD14B" w14:textId="66ED95A4" w:rsidR="00C30F5D" w:rsidRPr="006E5C59" w:rsidRDefault="00BC4039"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Pr>
                <w:sz w:val="20"/>
              </w:rPr>
              <w:t>Tenir informé</w:t>
            </w:r>
          </w:p>
        </w:tc>
      </w:tr>
      <w:tr w:rsidR="00201E58" w:rsidRPr="006E5C59" w14:paraId="12961042" w14:textId="77777777" w:rsidTr="001F302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20C0CDBB" w14:textId="69A6E4E0" w:rsidR="004D1D18" w:rsidRPr="006E5C59" w:rsidRDefault="004D1D18" w:rsidP="004D1D18">
            <w:pPr>
              <w:pStyle w:val="ListParagraph"/>
              <w:numPr>
                <w:ilvl w:val="0"/>
                <w:numId w:val="2"/>
              </w:numPr>
              <w:jc w:val="both"/>
              <w:rPr>
                <w:sz w:val="18"/>
                <w:szCs w:val="18"/>
              </w:rPr>
            </w:pPr>
            <w:r>
              <w:rPr>
                <w:sz w:val="18"/>
              </w:rPr>
              <w:t>Cahier des charges (</w:t>
            </w:r>
            <w:proofErr w:type="spellStart"/>
            <w:r>
              <w:rPr>
                <w:sz w:val="18"/>
              </w:rPr>
              <w:t>SoW</w:t>
            </w:r>
            <w:proofErr w:type="spellEnd"/>
            <w:r>
              <w:rPr>
                <w:sz w:val="18"/>
              </w:rPr>
              <w:t>)</w:t>
            </w:r>
            <w:r w:rsidR="00496316" w:rsidRPr="006E5C59">
              <w:rPr>
                <w:rStyle w:val="FootnoteReference"/>
                <w:sz w:val="18"/>
                <w:szCs w:val="18"/>
              </w:rPr>
              <w:footnoteReference w:id="6"/>
            </w:r>
            <w:r>
              <w:rPr>
                <w:sz w:val="18"/>
              </w:rPr>
              <w:t xml:space="preserve"> </w:t>
            </w:r>
          </w:p>
        </w:tc>
        <w:tc>
          <w:tcPr>
            <w:tcW w:w="1297" w:type="dxa"/>
          </w:tcPr>
          <w:p w14:paraId="1FA13DE0" w14:textId="1B60F039"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1.1 Établissement des objectifs du TM</w:t>
            </w:r>
          </w:p>
        </w:tc>
        <w:tc>
          <w:tcPr>
            <w:tcW w:w="1275" w:type="dxa"/>
          </w:tcPr>
          <w:p w14:paraId="07CF8409" w14:textId="70EC8376"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color w:val="000000" w:themeColor="text1"/>
                <w:sz w:val="18"/>
              </w:rPr>
              <w:t>Aucun</w:t>
            </w:r>
          </w:p>
        </w:tc>
        <w:tc>
          <w:tcPr>
            <w:tcW w:w="2977" w:type="dxa"/>
          </w:tcPr>
          <w:p w14:paraId="3C7C3985" w14:textId="43BCDC8A" w:rsidR="004D1D18" w:rsidRPr="006E5C59" w:rsidRDefault="00171BF0"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3F08EF96" w14:textId="58F1721D" w:rsidR="004D1D18"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sectoriel* *(responsable du TM du groupe sectoriel, le cas échéant) </w:t>
            </w:r>
          </w:p>
        </w:tc>
        <w:tc>
          <w:tcPr>
            <w:tcW w:w="2977" w:type="dxa"/>
          </w:tcPr>
          <w:p w14:paraId="09FC6831" w14:textId="4E37D029" w:rsidR="00171BF0"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du groupe </w:t>
            </w:r>
          </w:p>
          <w:p w14:paraId="54DC2EAC" w14:textId="3335C9D6" w:rsidR="004D1D18"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tc>
        <w:tc>
          <w:tcPr>
            <w:tcW w:w="2835" w:type="dxa"/>
          </w:tcPr>
          <w:p w14:paraId="3818B8E6" w14:textId="0663BC66"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tc>
        <w:tc>
          <w:tcPr>
            <w:tcW w:w="1920" w:type="dxa"/>
          </w:tcPr>
          <w:p w14:paraId="68A3FF30"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Approvisionnement </w:t>
            </w:r>
          </w:p>
          <w:p w14:paraId="7681B08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Cluster national</w:t>
            </w:r>
          </w:p>
          <w:p w14:paraId="277A1C22" w14:textId="685DFE96"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Régional</w:t>
            </w:r>
          </w:p>
        </w:tc>
      </w:tr>
      <w:tr w:rsidR="00201E58" w:rsidRPr="006E5C59" w14:paraId="7C9E456C" w14:textId="77777777" w:rsidTr="001F302F">
        <w:trPr>
          <w:trHeight w:val="532"/>
        </w:trPr>
        <w:tc>
          <w:tcPr>
            <w:cnfStyle w:val="001000000000" w:firstRow="0" w:lastRow="0" w:firstColumn="1" w:lastColumn="0" w:oddVBand="0" w:evenVBand="0" w:oddHBand="0" w:evenHBand="0" w:firstRowFirstColumn="0" w:firstRowLastColumn="0" w:lastRowFirstColumn="0" w:lastRowLastColumn="0"/>
            <w:tcW w:w="1397" w:type="dxa"/>
            <w:vMerge/>
          </w:tcPr>
          <w:p w14:paraId="21FA6788" w14:textId="77777777" w:rsidR="004D1D18" w:rsidRPr="006E5C59" w:rsidRDefault="004D1D18" w:rsidP="004D1D18">
            <w:pPr>
              <w:pStyle w:val="ListParagraph"/>
              <w:numPr>
                <w:ilvl w:val="0"/>
                <w:numId w:val="2"/>
              </w:numPr>
              <w:jc w:val="both"/>
              <w:rPr>
                <w:sz w:val="18"/>
                <w:szCs w:val="18"/>
              </w:rPr>
            </w:pPr>
          </w:p>
        </w:tc>
        <w:tc>
          <w:tcPr>
            <w:tcW w:w="1297" w:type="dxa"/>
          </w:tcPr>
          <w:p w14:paraId="1E627EAF" w14:textId="78FCAEB5"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1.2 Réunion de lancement avec le PSF</w:t>
            </w:r>
          </w:p>
        </w:tc>
        <w:tc>
          <w:tcPr>
            <w:tcW w:w="1275" w:type="dxa"/>
          </w:tcPr>
          <w:p w14:paraId="43A2D4D8" w14:textId="5CD8F7E2"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sz w:val="18"/>
              </w:rPr>
              <w:t>Aucun / procès-verbal de la réunion, le cas échéant</w:t>
            </w:r>
          </w:p>
        </w:tc>
        <w:tc>
          <w:tcPr>
            <w:tcW w:w="2977" w:type="dxa"/>
          </w:tcPr>
          <w:p w14:paraId="4B55FD06" w14:textId="0F4189FE" w:rsidR="004D1D18" w:rsidRPr="006E5C59" w:rsidRDefault="004D1D18"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Point focal du TM de la SN </w:t>
            </w:r>
          </w:p>
          <w:p w14:paraId="2C8347C5" w14:textId="6314672A" w:rsidR="004D1D18" w:rsidRPr="006E5C59" w:rsidRDefault="002D773C"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Personnel du programme du groupe</w:t>
            </w:r>
          </w:p>
        </w:tc>
        <w:tc>
          <w:tcPr>
            <w:tcW w:w="2977" w:type="dxa"/>
          </w:tcPr>
          <w:p w14:paraId="5CED8E94" w14:textId="77777777" w:rsidR="000F6EAF" w:rsidRPr="006E5C59" w:rsidRDefault="000F6EAF" w:rsidP="00DB6AC2">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du programme du groupe </w:t>
            </w:r>
          </w:p>
          <w:p w14:paraId="43652E4D" w14:textId="78108923" w:rsidR="004D1D18" w:rsidRPr="006E5C59" w:rsidRDefault="004D1D18" w:rsidP="000F6EAF">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4E92F8A7" w14:textId="77777777" w:rsidR="004D1D18" w:rsidRPr="006E5C59" w:rsidRDefault="004D1D18" w:rsidP="001101AF">
            <w:pPr>
              <w:jc w:val="both"/>
              <w:cnfStyle w:val="000000000000" w:firstRow="0" w:lastRow="0" w:firstColumn="0" w:lastColumn="0" w:oddVBand="0" w:evenVBand="0" w:oddHBand="0" w:evenHBand="0" w:firstRowFirstColumn="0" w:firstRowLastColumn="0" w:lastRowFirstColumn="0" w:lastRowLastColumn="0"/>
              <w:rPr>
                <w:sz w:val="18"/>
                <w:szCs w:val="18"/>
              </w:rPr>
            </w:pPr>
          </w:p>
          <w:p w14:paraId="1BAE22BB" w14:textId="556AF9C3"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73A784CB" w14:textId="2D13387E"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29343064" w14:textId="77777777" w:rsidTr="001F302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97" w:type="dxa"/>
            <w:vMerge/>
          </w:tcPr>
          <w:p w14:paraId="56537F68" w14:textId="77777777" w:rsidR="004D1D18" w:rsidRPr="006E5C59" w:rsidRDefault="004D1D18" w:rsidP="004D1D18">
            <w:pPr>
              <w:pStyle w:val="ListParagraph"/>
              <w:numPr>
                <w:ilvl w:val="0"/>
                <w:numId w:val="2"/>
              </w:numPr>
              <w:jc w:val="both"/>
              <w:rPr>
                <w:sz w:val="18"/>
                <w:szCs w:val="18"/>
              </w:rPr>
            </w:pPr>
          </w:p>
        </w:tc>
        <w:tc>
          <w:tcPr>
            <w:tcW w:w="1297" w:type="dxa"/>
          </w:tcPr>
          <w:p w14:paraId="5C4BA55A" w14:textId="775A034B"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1.3 Cahier de charges</w:t>
            </w:r>
          </w:p>
        </w:tc>
        <w:tc>
          <w:tcPr>
            <w:tcW w:w="1275" w:type="dxa"/>
          </w:tcPr>
          <w:p w14:paraId="5D134F1A" w14:textId="533D5246"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Projet de cahier des charges</w:t>
            </w:r>
          </w:p>
        </w:tc>
        <w:tc>
          <w:tcPr>
            <w:tcW w:w="2977" w:type="dxa"/>
          </w:tcPr>
          <w:p w14:paraId="40C57708" w14:textId="77777777" w:rsidR="000F6EAF" w:rsidRPr="006E5C59" w:rsidRDefault="000F6EAF"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48CE7761" w14:textId="7FF139F4" w:rsidR="004D1D18" w:rsidRPr="006E5C59" w:rsidRDefault="002D773C"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Personnel du programme du groupe</w:t>
            </w:r>
          </w:p>
        </w:tc>
        <w:tc>
          <w:tcPr>
            <w:tcW w:w="2977" w:type="dxa"/>
          </w:tcPr>
          <w:p w14:paraId="54AF9C5D" w14:textId="77777777" w:rsidR="000F6EAF" w:rsidRPr="006E5C59" w:rsidRDefault="000F6EAF"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du groupe </w:t>
            </w:r>
          </w:p>
          <w:p w14:paraId="33C6A366" w14:textId="700E8954" w:rsidR="004D1D18" w:rsidRPr="006E5C59" w:rsidRDefault="000F6EAF"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tc>
        <w:tc>
          <w:tcPr>
            <w:tcW w:w="2835" w:type="dxa"/>
          </w:tcPr>
          <w:p w14:paraId="1E7ECB46" w14:textId="77777777" w:rsidR="00EF24DB" w:rsidRPr="006E5C59" w:rsidRDefault="00EF24DB"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Coordinateur régional des TM </w:t>
            </w:r>
          </w:p>
          <w:p w14:paraId="3194B40A" w14:textId="12B4005E" w:rsidR="00FD0B71" w:rsidRPr="006E5C59" w:rsidRDefault="00FD0B71"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Unité logistique régionale (RLU)</w:t>
            </w:r>
          </w:p>
          <w:p w14:paraId="18A68009" w14:textId="50C96F2D"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Finances SN</w:t>
            </w:r>
          </w:p>
          <w:p w14:paraId="66774DC1" w14:textId="4B36CAF0"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Services juridiques SN</w:t>
            </w:r>
          </w:p>
        </w:tc>
        <w:tc>
          <w:tcPr>
            <w:tcW w:w="1920" w:type="dxa"/>
          </w:tcPr>
          <w:p w14:paraId="09EECCD1"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0892128F" w14:textId="77777777" w:rsidTr="001F302F">
        <w:trPr>
          <w:trHeight w:val="532"/>
        </w:trPr>
        <w:tc>
          <w:tcPr>
            <w:cnfStyle w:val="001000000000" w:firstRow="0" w:lastRow="0" w:firstColumn="1" w:lastColumn="0" w:oddVBand="0" w:evenVBand="0" w:oddHBand="0" w:evenHBand="0" w:firstRowFirstColumn="0" w:firstRowLastColumn="0" w:lastRowFirstColumn="0" w:lastRowLastColumn="0"/>
            <w:tcW w:w="1397" w:type="dxa"/>
            <w:vMerge/>
          </w:tcPr>
          <w:p w14:paraId="5EDA2CCE" w14:textId="77777777" w:rsidR="004D1D18" w:rsidRPr="006E5C59" w:rsidRDefault="004D1D18" w:rsidP="004D1D18">
            <w:pPr>
              <w:pStyle w:val="ListParagraph"/>
              <w:numPr>
                <w:ilvl w:val="0"/>
                <w:numId w:val="2"/>
              </w:numPr>
              <w:jc w:val="both"/>
              <w:rPr>
                <w:sz w:val="18"/>
                <w:szCs w:val="18"/>
              </w:rPr>
            </w:pPr>
          </w:p>
        </w:tc>
        <w:tc>
          <w:tcPr>
            <w:tcW w:w="1297" w:type="dxa"/>
          </w:tcPr>
          <w:p w14:paraId="72F5BC51" w14:textId="0D2F0BD9"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1.4 Feu vert du cahier de charges</w:t>
            </w:r>
          </w:p>
        </w:tc>
        <w:tc>
          <w:tcPr>
            <w:tcW w:w="1275" w:type="dxa"/>
          </w:tcPr>
          <w:p w14:paraId="58465554" w14:textId="153AC8B0"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rPr>
              <w:t>SoW</w:t>
            </w:r>
            <w:proofErr w:type="spellEnd"/>
            <w:r>
              <w:rPr>
                <w:sz w:val="18"/>
              </w:rPr>
              <w:t xml:space="preserve"> approuvé</w:t>
            </w:r>
          </w:p>
        </w:tc>
        <w:tc>
          <w:tcPr>
            <w:tcW w:w="2977" w:type="dxa"/>
          </w:tcPr>
          <w:p w14:paraId="7413124D" w14:textId="77777777" w:rsidR="000F6EAF" w:rsidRPr="006E5C59" w:rsidRDefault="000F6EAF"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sz w:val="18"/>
              </w:rPr>
              <w:t>Point focal du TM de la SN</w:t>
            </w:r>
          </w:p>
          <w:p w14:paraId="4F3BEF6B" w14:textId="2C67F50F" w:rsidR="004D1D18" w:rsidRPr="006E5C59" w:rsidRDefault="004D1D18"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du groupe </w:t>
            </w:r>
          </w:p>
          <w:p w14:paraId="611FDFA9" w14:textId="46F93227" w:rsidR="0085074A" w:rsidRPr="006E5C59" w:rsidRDefault="002D773C"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Personnel du programme du groupe</w:t>
            </w:r>
          </w:p>
        </w:tc>
        <w:tc>
          <w:tcPr>
            <w:tcW w:w="2977" w:type="dxa"/>
          </w:tcPr>
          <w:p w14:paraId="1ED43A93" w14:textId="7FBBAB2B" w:rsidR="004D1D18" w:rsidRPr="006E5C59" w:rsidRDefault="004D1D18" w:rsidP="00DB6AC2">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Coordinateur régional des TM </w:t>
            </w:r>
          </w:p>
        </w:tc>
        <w:tc>
          <w:tcPr>
            <w:tcW w:w="2835" w:type="dxa"/>
          </w:tcPr>
          <w:p w14:paraId="069BA0D6" w14:textId="77777777" w:rsidR="00EF24DB" w:rsidRPr="006E5C59" w:rsidRDefault="00EF24D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Coordinateur régional des TM</w:t>
            </w:r>
          </w:p>
          <w:p w14:paraId="4E18136C" w14:textId="7D6AD5DE"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Responsable régional des achats </w:t>
            </w:r>
          </w:p>
        </w:tc>
        <w:tc>
          <w:tcPr>
            <w:tcW w:w="1920" w:type="dxa"/>
          </w:tcPr>
          <w:p w14:paraId="0CADF4B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538BFFC3" w14:textId="77777777" w:rsidTr="001F302F">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397" w:type="dxa"/>
            <w:vMerge w:val="restart"/>
            <w:shd w:val="clear" w:color="auto" w:fill="D9D9D9" w:themeFill="background1" w:themeFillShade="D9"/>
          </w:tcPr>
          <w:p w14:paraId="533507A1" w14:textId="5AD162CF" w:rsidR="004D1D18" w:rsidRPr="006E5C59" w:rsidRDefault="00E87BF0" w:rsidP="004D1D18">
            <w:pPr>
              <w:pStyle w:val="ListParagraph"/>
              <w:numPr>
                <w:ilvl w:val="0"/>
                <w:numId w:val="2"/>
              </w:numPr>
              <w:jc w:val="both"/>
              <w:rPr>
                <w:sz w:val="18"/>
                <w:szCs w:val="18"/>
              </w:rPr>
            </w:pPr>
            <w:r>
              <w:rPr>
                <w:sz w:val="18"/>
              </w:rPr>
              <w:t>Documents d'appel d'offres</w:t>
            </w:r>
          </w:p>
        </w:tc>
        <w:tc>
          <w:tcPr>
            <w:tcW w:w="1297" w:type="dxa"/>
            <w:shd w:val="clear" w:color="auto" w:fill="D9D9D9" w:themeFill="background1" w:themeFillShade="D9"/>
          </w:tcPr>
          <w:p w14:paraId="34729CEE" w14:textId="29D00E31"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2.1 Préparation de l'appel d'offres</w:t>
            </w:r>
          </w:p>
        </w:tc>
        <w:tc>
          <w:tcPr>
            <w:tcW w:w="1275" w:type="dxa"/>
            <w:shd w:val="clear" w:color="auto" w:fill="D9D9D9" w:themeFill="background1" w:themeFillShade="D9"/>
          </w:tcPr>
          <w:p w14:paraId="2BFB3074" w14:textId="4CC0A64F"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rPr>
              <w:t>RfQ</w:t>
            </w:r>
            <w:proofErr w:type="spellEnd"/>
          </w:p>
        </w:tc>
        <w:tc>
          <w:tcPr>
            <w:tcW w:w="2977" w:type="dxa"/>
            <w:shd w:val="clear" w:color="auto" w:fill="D9D9D9" w:themeFill="background1" w:themeFillShade="D9"/>
          </w:tcPr>
          <w:p w14:paraId="738F1F58" w14:textId="784399C3" w:rsidR="00C014B3"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Logistique SN</w:t>
            </w:r>
          </w:p>
          <w:p w14:paraId="5E7E8B62" w14:textId="685FA329" w:rsidR="004D1D18"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groupe </w:t>
            </w:r>
          </w:p>
          <w:p w14:paraId="37B6261D" w14:textId="10FB71ED" w:rsidR="004D1D18"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Point focal des TM de la SN (révision / apports techniques)</w:t>
            </w:r>
          </w:p>
          <w:p w14:paraId="61E0F582" w14:textId="45AD581C" w:rsidR="004D1D18" w:rsidRPr="006E5C59" w:rsidRDefault="006A29EA"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du groupe </w:t>
            </w:r>
          </w:p>
        </w:tc>
        <w:tc>
          <w:tcPr>
            <w:tcW w:w="2977" w:type="dxa"/>
            <w:shd w:val="clear" w:color="auto" w:fill="D9D9D9" w:themeFill="background1" w:themeFillShade="D9"/>
          </w:tcPr>
          <w:p w14:paraId="0E37674D" w14:textId="4A8B8F0D" w:rsidR="004D1D18"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p w14:paraId="7E82BE19" w14:textId="0ABC67AA" w:rsidR="004D1D18"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 (révision et contributions techniques des documents d'appel d'offres)</w:t>
            </w:r>
          </w:p>
        </w:tc>
        <w:tc>
          <w:tcPr>
            <w:tcW w:w="2835" w:type="dxa"/>
            <w:shd w:val="clear" w:color="auto" w:fill="D9D9D9" w:themeFill="background1" w:themeFillShade="D9"/>
          </w:tcPr>
          <w:p w14:paraId="78C3D012" w14:textId="5F59EF46"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p w14:paraId="748284FC" w14:textId="1689901A" w:rsidR="004D1D18" w:rsidRPr="006E5C59" w:rsidRDefault="00137C99" w:rsidP="00943919">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tc>
        <w:tc>
          <w:tcPr>
            <w:tcW w:w="1920" w:type="dxa"/>
            <w:shd w:val="clear" w:color="auto" w:fill="D9D9D9" w:themeFill="background1" w:themeFillShade="D9"/>
          </w:tcPr>
          <w:p w14:paraId="4E349D8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6609BF3C" w14:textId="77777777" w:rsidTr="001F302F">
        <w:trPr>
          <w:trHeight w:val="1322"/>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3CDFACC3" w14:textId="77777777" w:rsidR="004D1D18" w:rsidRPr="006E5C59" w:rsidRDefault="004D1D18" w:rsidP="004D1D18">
            <w:pPr>
              <w:pStyle w:val="ListParagraph"/>
              <w:numPr>
                <w:ilvl w:val="0"/>
                <w:numId w:val="2"/>
              </w:numPr>
              <w:jc w:val="both"/>
              <w:rPr>
                <w:sz w:val="18"/>
                <w:szCs w:val="18"/>
              </w:rPr>
            </w:pPr>
          </w:p>
        </w:tc>
        <w:tc>
          <w:tcPr>
            <w:tcW w:w="1297" w:type="dxa"/>
          </w:tcPr>
          <w:p w14:paraId="6BF39545"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2.2 Révision de la fiche de réponse du PSF</w:t>
            </w:r>
          </w:p>
        </w:tc>
        <w:tc>
          <w:tcPr>
            <w:tcW w:w="1275" w:type="dxa"/>
          </w:tcPr>
          <w:p w14:paraId="7AB26F80"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Feuille de réponse du PSF</w:t>
            </w:r>
          </w:p>
        </w:tc>
        <w:tc>
          <w:tcPr>
            <w:tcW w:w="2977" w:type="dxa"/>
          </w:tcPr>
          <w:p w14:paraId="4DD82579" w14:textId="77777777" w:rsidR="003A26B6" w:rsidRPr="006E5C59" w:rsidRDefault="003A26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sz w:val="18"/>
              </w:rPr>
              <w:t>Point focal du TM de la SN</w:t>
            </w:r>
          </w:p>
          <w:p w14:paraId="782274F6" w14:textId="77777777" w:rsidR="003A26B6" w:rsidRPr="006E5C59" w:rsidRDefault="003A26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du groupe </w:t>
            </w:r>
          </w:p>
          <w:p w14:paraId="2AE8DE28" w14:textId="2EE84D2D" w:rsidR="004D1D18" w:rsidRPr="006E5C59" w:rsidRDefault="003A26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du programme du groupe </w:t>
            </w:r>
          </w:p>
        </w:tc>
        <w:tc>
          <w:tcPr>
            <w:tcW w:w="2977" w:type="dxa"/>
          </w:tcPr>
          <w:p w14:paraId="429F63C5" w14:textId="3E7774A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Coordinateur régional des TM </w:t>
            </w:r>
          </w:p>
          <w:p w14:paraId="77C36217" w14:textId="0812AE1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(Aperçu technique des exigences du programme reflétées dans la fiche de réponse du prestataire)</w:t>
            </w:r>
          </w:p>
        </w:tc>
        <w:tc>
          <w:tcPr>
            <w:tcW w:w="2835" w:type="dxa"/>
          </w:tcPr>
          <w:p w14:paraId="1D971148" w14:textId="51052191"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Coordinateur régional des TM</w:t>
            </w:r>
          </w:p>
          <w:p w14:paraId="15A4094A" w14:textId="77777777" w:rsidR="002D5E3A" w:rsidRPr="006E5C59" w:rsidRDefault="002D5E3A"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Responsable régional des achats </w:t>
            </w:r>
          </w:p>
          <w:p w14:paraId="2621C2F3" w14:textId="685C43EB" w:rsidR="004D1D18" w:rsidRPr="006E5C59" w:rsidRDefault="002D5E3A"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Finances du groupe </w:t>
            </w:r>
          </w:p>
        </w:tc>
        <w:tc>
          <w:tcPr>
            <w:tcW w:w="1920" w:type="dxa"/>
          </w:tcPr>
          <w:p w14:paraId="7840B918"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056F1BE6" w14:textId="77777777" w:rsidTr="001F302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1EFA41D5" w14:textId="77777777" w:rsidR="004D1D18" w:rsidRPr="006E5C59" w:rsidRDefault="004D1D18" w:rsidP="004D1D18">
            <w:pPr>
              <w:pStyle w:val="ListParagraph"/>
              <w:numPr>
                <w:ilvl w:val="0"/>
                <w:numId w:val="2"/>
              </w:numPr>
              <w:jc w:val="both"/>
              <w:rPr>
                <w:sz w:val="18"/>
                <w:szCs w:val="18"/>
              </w:rPr>
            </w:pPr>
          </w:p>
        </w:tc>
        <w:tc>
          <w:tcPr>
            <w:tcW w:w="1297" w:type="dxa"/>
            <w:shd w:val="clear" w:color="auto" w:fill="D9D9D9" w:themeFill="background1" w:themeFillShade="D9"/>
          </w:tcPr>
          <w:p w14:paraId="01BC447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2.3 Révision du modèle de tarification</w:t>
            </w:r>
          </w:p>
        </w:tc>
        <w:tc>
          <w:tcPr>
            <w:tcW w:w="1275" w:type="dxa"/>
            <w:shd w:val="clear" w:color="auto" w:fill="D9D9D9" w:themeFill="background1" w:themeFillShade="D9"/>
          </w:tcPr>
          <w:p w14:paraId="2E9BA35C"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Modèle de tarification</w:t>
            </w:r>
          </w:p>
        </w:tc>
        <w:tc>
          <w:tcPr>
            <w:tcW w:w="2977" w:type="dxa"/>
            <w:shd w:val="clear" w:color="auto" w:fill="D9D9D9" w:themeFill="background1" w:themeFillShade="D9"/>
          </w:tcPr>
          <w:p w14:paraId="3856ED94" w14:textId="77777777" w:rsidR="00094182" w:rsidRPr="006E5C59" w:rsidRDefault="0009418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0DBFC397" w14:textId="6A3D82A2" w:rsidR="00094182" w:rsidRPr="006E5C59" w:rsidRDefault="0009418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de la SN </w:t>
            </w:r>
          </w:p>
          <w:p w14:paraId="54C97870" w14:textId="795EA207" w:rsidR="00932E25" w:rsidRPr="006E5C59" w:rsidRDefault="00932E2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SN, Finances </w:t>
            </w:r>
          </w:p>
          <w:p w14:paraId="42CF3D6D" w14:textId="4C4E130C" w:rsidR="00932E25" w:rsidRPr="006E5C59" w:rsidRDefault="0009418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groupe </w:t>
            </w:r>
          </w:p>
        </w:tc>
        <w:tc>
          <w:tcPr>
            <w:tcW w:w="2977" w:type="dxa"/>
            <w:shd w:val="clear" w:color="auto" w:fill="D9D9D9" w:themeFill="background1" w:themeFillShade="D9"/>
          </w:tcPr>
          <w:p w14:paraId="09BC0006"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0C599C0E"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groupe </w:t>
            </w:r>
          </w:p>
          <w:p w14:paraId="2E5E0EF3" w14:textId="64C48F90" w:rsidR="004D1D18"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du groupe </w:t>
            </w:r>
          </w:p>
        </w:tc>
        <w:tc>
          <w:tcPr>
            <w:tcW w:w="2835" w:type="dxa"/>
            <w:shd w:val="clear" w:color="auto" w:fill="D9D9D9" w:themeFill="background1" w:themeFillShade="D9"/>
          </w:tcPr>
          <w:p w14:paraId="69705A0A" w14:textId="1AE11D93"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p w14:paraId="75AF0A89" w14:textId="5F3E1AC0" w:rsidR="00932E25" w:rsidRPr="006E5C59" w:rsidRDefault="002D5E3A"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tc>
        <w:tc>
          <w:tcPr>
            <w:tcW w:w="1920" w:type="dxa"/>
            <w:shd w:val="clear" w:color="auto" w:fill="D9D9D9" w:themeFill="background1" w:themeFillShade="D9"/>
          </w:tcPr>
          <w:p w14:paraId="57341DFB"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007F98C7" w14:textId="77777777" w:rsidTr="001F302F">
        <w:trPr>
          <w:trHeight w:val="700"/>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128E07BF" w14:textId="77777777" w:rsidR="004D1D18" w:rsidRPr="006E5C59" w:rsidRDefault="004D1D18" w:rsidP="004D1D18">
            <w:pPr>
              <w:pStyle w:val="ListParagraph"/>
              <w:numPr>
                <w:ilvl w:val="0"/>
                <w:numId w:val="2"/>
              </w:numPr>
              <w:jc w:val="both"/>
              <w:rPr>
                <w:sz w:val="18"/>
                <w:szCs w:val="18"/>
              </w:rPr>
            </w:pPr>
          </w:p>
        </w:tc>
        <w:tc>
          <w:tcPr>
            <w:tcW w:w="1297" w:type="dxa"/>
          </w:tcPr>
          <w:p w14:paraId="6DCBDEE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2.4 Partage de la déclaration d'engagement avec le terrain</w:t>
            </w:r>
          </w:p>
        </w:tc>
        <w:tc>
          <w:tcPr>
            <w:tcW w:w="1275" w:type="dxa"/>
          </w:tcPr>
          <w:p w14:paraId="41337726" w14:textId="578E8150" w:rsidR="004D1D18" w:rsidRPr="006E5C59" w:rsidRDefault="00932E25"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Aucun </w:t>
            </w:r>
          </w:p>
        </w:tc>
        <w:tc>
          <w:tcPr>
            <w:tcW w:w="2977" w:type="dxa"/>
          </w:tcPr>
          <w:p w14:paraId="6E6EB2DC" w14:textId="1BEC3F98"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Logistique du groupe</w:t>
            </w:r>
          </w:p>
        </w:tc>
        <w:tc>
          <w:tcPr>
            <w:tcW w:w="2977" w:type="dxa"/>
          </w:tcPr>
          <w:p w14:paraId="27D09BC2"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08F42271"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18DA0F0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52D159FA" w14:textId="77777777" w:rsidTr="001F302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3A14A8DD" w14:textId="77777777" w:rsidR="004D1D18" w:rsidRPr="006E5C59" w:rsidRDefault="004D1D18" w:rsidP="004D1D18">
            <w:pPr>
              <w:pStyle w:val="ListParagraph"/>
              <w:numPr>
                <w:ilvl w:val="0"/>
                <w:numId w:val="2"/>
              </w:numPr>
              <w:jc w:val="both"/>
              <w:rPr>
                <w:sz w:val="18"/>
                <w:szCs w:val="18"/>
              </w:rPr>
            </w:pPr>
          </w:p>
        </w:tc>
        <w:tc>
          <w:tcPr>
            <w:tcW w:w="1297" w:type="dxa"/>
            <w:shd w:val="clear" w:color="auto" w:fill="D9D9D9" w:themeFill="background1" w:themeFillShade="D9"/>
          </w:tcPr>
          <w:p w14:paraId="459F0452"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2.5 Partage de l'enregistrement du prestataire avec le terrain</w:t>
            </w:r>
          </w:p>
        </w:tc>
        <w:tc>
          <w:tcPr>
            <w:tcW w:w="1275" w:type="dxa"/>
            <w:shd w:val="clear" w:color="auto" w:fill="D9D9D9" w:themeFill="background1" w:themeFillShade="D9"/>
          </w:tcPr>
          <w:p w14:paraId="0075A18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Aucun </w:t>
            </w:r>
          </w:p>
        </w:tc>
        <w:tc>
          <w:tcPr>
            <w:tcW w:w="2977" w:type="dxa"/>
            <w:shd w:val="clear" w:color="auto" w:fill="D9D9D9" w:themeFill="background1" w:themeFillShade="D9"/>
          </w:tcPr>
          <w:p w14:paraId="3BC23C17" w14:textId="51506D81"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Logistique du groupe</w:t>
            </w:r>
          </w:p>
        </w:tc>
        <w:tc>
          <w:tcPr>
            <w:tcW w:w="2977" w:type="dxa"/>
            <w:shd w:val="clear" w:color="auto" w:fill="D9D9D9" w:themeFill="background1" w:themeFillShade="D9"/>
          </w:tcPr>
          <w:p w14:paraId="258810DB" w14:textId="77777777" w:rsidR="004D1D18" w:rsidRPr="006E5C59" w:rsidRDefault="004D1D18" w:rsidP="0064303E">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shd w:val="clear" w:color="auto" w:fill="D9D9D9" w:themeFill="background1" w:themeFillShade="D9"/>
          </w:tcPr>
          <w:p w14:paraId="6FFB5FF9" w14:textId="77777777" w:rsidR="004D1D18" w:rsidRPr="006E5C59" w:rsidRDefault="004D1D18" w:rsidP="0064303E">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shd w:val="clear" w:color="auto" w:fill="D9D9D9" w:themeFill="background1" w:themeFillShade="D9"/>
          </w:tcPr>
          <w:p w14:paraId="199DB910"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78810874" w14:textId="77777777" w:rsidTr="001F302F">
        <w:trPr>
          <w:trHeight w:val="1057"/>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77260734" w14:textId="77777777" w:rsidR="004D1D18" w:rsidRPr="006E5C59" w:rsidRDefault="004D1D18" w:rsidP="004D1D18">
            <w:pPr>
              <w:pStyle w:val="ListParagraph"/>
              <w:numPr>
                <w:ilvl w:val="0"/>
                <w:numId w:val="2"/>
              </w:numPr>
              <w:jc w:val="both"/>
              <w:rPr>
                <w:sz w:val="18"/>
                <w:szCs w:val="18"/>
              </w:rPr>
            </w:pPr>
          </w:p>
        </w:tc>
        <w:tc>
          <w:tcPr>
            <w:tcW w:w="1297" w:type="dxa"/>
            <w:shd w:val="clear" w:color="auto" w:fill="D9D9D9" w:themeFill="background1" w:themeFillShade="D9"/>
          </w:tcPr>
          <w:p w14:paraId="08EF4F34" w14:textId="21600F13"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2.6 Validation du paquet d'offres </w:t>
            </w:r>
          </w:p>
        </w:tc>
        <w:tc>
          <w:tcPr>
            <w:tcW w:w="1275" w:type="dxa"/>
            <w:shd w:val="clear" w:color="auto" w:fill="D9D9D9" w:themeFill="background1" w:themeFillShade="D9"/>
          </w:tcPr>
          <w:p w14:paraId="5FBE345D"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Paquet validé</w:t>
            </w:r>
          </w:p>
        </w:tc>
        <w:tc>
          <w:tcPr>
            <w:tcW w:w="2977" w:type="dxa"/>
            <w:shd w:val="clear" w:color="auto" w:fill="D9D9D9" w:themeFill="background1" w:themeFillShade="D9"/>
          </w:tcPr>
          <w:p w14:paraId="1EEBAFA6" w14:textId="5B03F677" w:rsidR="004D1D18"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Responsable régional des achats </w:t>
            </w:r>
          </w:p>
          <w:p w14:paraId="52BE414E" w14:textId="0012F46C" w:rsidR="004D1D18"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Coordinateur régional des TM (révision et contributions au programme technique)</w:t>
            </w:r>
          </w:p>
        </w:tc>
        <w:tc>
          <w:tcPr>
            <w:tcW w:w="2977" w:type="dxa"/>
            <w:shd w:val="clear" w:color="auto" w:fill="D9D9D9" w:themeFill="background1" w:themeFillShade="D9"/>
          </w:tcPr>
          <w:p w14:paraId="67DC2A8B"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shd w:val="clear" w:color="auto" w:fill="D9D9D9" w:themeFill="background1" w:themeFillShade="D9"/>
          </w:tcPr>
          <w:p w14:paraId="04591534"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shd w:val="clear" w:color="auto" w:fill="D9D9D9" w:themeFill="background1" w:themeFillShade="D9"/>
          </w:tcPr>
          <w:p w14:paraId="5D39410A" w14:textId="0E2B5D3C"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17D39FC2" w14:textId="77777777" w:rsidTr="001F302F">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092E3298" w14:textId="77777777" w:rsidR="004D1D18" w:rsidRPr="006E5C59" w:rsidRDefault="004D1D18" w:rsidP="004D1D18">
            <w:pPr>
              <w:pStyle w:val="ListParagraph"/>
              <w:numPr>
                <w:ilvl w:val="0"/>
                <w:numId w:val="2"/>
              </w:numPr>
              <w:jc w:val="both"/>
              <w:rPr>
                <w:sz w:val="18"/>
                <w:szCs w:val="18"/>
              </w:rPr>
            </w:pPr>
            <w:r>
              <w:rPr>
                <w:sz w:val="18"/>
              </w:rPr>
              <w:t>Appel d'offres</w:t>
            </w:r>
          </w:p>
        </w:tc>
        <w:tc>
          <w:tcPr>
            <w:tcW w:w="1297" w:type="dxa"/>
          </w:tcPr>
          <w:p w14:paraId="4C57ACC9"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3.1 Lancement de l'appel d'offres</w:t>
            </w:r>
          </w:p>
        </w:tc>
        <w:tc>
          <w:tcPr>
            <w:tcW w:w="1275" w:type="dxa"/>
          </w:tcPr>
          <w:p w14:paraId="5A8C845E"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1BCD8EDC"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37EE3E2D"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de la SN </w:t>
            </w:r>
          </w:p>
          <w:p w14:paraId="15925FB1" w14:textId="6989F356" w:rsidR="004D1D18" w:rsidRPr="006E5C59" w:rsidRDefault="00900A05" w:rsidP="004D1D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groupe </w:t>
            </w:r>
          </w:p>
        </w:tc>
        <w:tc>
          <w:tcPr>
            <w:tcW w:w="2977" w:type="dxa"/>
          </w:tcPr>
          <w:p w14:paraId="2B6DCE50" w14:textId="15668D65" w:rsidR="004D1D18" w:rsidRPr="006E5C59" w:rsidRDefault="00D32184" w:rsidP="006B0443">
            <w:pPr>
              <w:pStyle w:val="ListParagraph"/>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Pr>
                <w:sz w:val="18"/>
              </w:rPr>
              <w:t>Personnel de la SN / des opérations / du pays / logistique du Cluster</w:t>
            </w:r>
          </w:p>
        </w:tc>
        <w:tc>
          <w:tcPr>
            <w:tcW w:w="2835" w:type="dxa"/>
          </w:tcPr>
          <w:p w14:paraId="2E9091B4" w14:textId="77777777" w:rsidR="004D1D18" w:rsidRPr="006E5C59" w:rsidRDefault="004D1D18" w:rsidP="0064303E">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tcPr>
          <w:p w14:paraId="7B327A88" w14:textId="713D6DE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p w14:paraId="5A93B2EF" w14:textId="48183F5B" w:rsidR="004D1D18" w:rsidRPr="006E5C59" w:rsidRDefault="00900A05"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p w14:paraId="6F445AA8" w14:textId="654366DD"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Responsable financier régional</w:t>
            </w:r>
          </w:p>
          <w:p w14:paraId="2C56C516" w14:textId="65CE2032"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Juridique Régional</w:t>
            </w:r>
          </w:p>
        </w:tc>
      </w:tr>
      <w:tr w:rsidR="00201E58" w:rsidRPr="006E5C59" w14:paraId="50DCA9B0" w14:textId="77777777" w:rsidTr="001F302F">
        <w:trPr>
          <w:trHeight w:val="613"/>
        </w:trPr>
        <w:tc>
          <w:tcPr>
            <w:cnfStyle w:val="001000000000" w:firstRow="0" w:lastRow="0" w:firstColumn="1" w:lastColumn="0" w:oddVBand="0" w:evenVBand="0" w:oddHBand="0" w:evenHBand="0" w:firstRowFirstColumn="0" w:firstRowLastColumn="0" w:lastRowFirstColumn="0" w:lastRowLastColumn="0"/>
            <w:tcW w:w="1397" w:type="dxa"/>
            <w:vMerge/>
          </w:tcPr>
          <w:p w14:paraId="2CA482E2" w14:textId="77777777" w:rsidR="004D1D18" w:rsidRPr="006E5C59" w:rsidRDefault="004D1D18" w:rsidP="004D1D18">
            <w:pPr>
              <w:pStyle w:val="ListParagraph"/>
              <w:numPr>
                <w:ilvl w:val="0"/>
                <w:numId w:val="2"/>
              </w:numPr>
              <w:jc w:val="both"/>
              <w:rPr>
                <w:sz w:val="18"/>
                <w:szCs w:val="18"/>
              </w:rPr>
            </w:pPr>
          </w:p>
        </w:tc>
        <w:tc>
          <w:tcPr>
            <w:tcW w:w="1297" w:type="dxa"/>
          </w:tcPr>
          <w:p w14:paraId="3E3DF4CA"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3.2 Répondre aux questions des PSF</w:t>
            </w:r>
          </w:p>
        </w:tc>
        <w:tc>
          <w:tcPr>
            <w:tcW w:w="1275" w:type="dxa"/>
          </w:tcPr>
          <w:p w14:paraId="69E4B74E"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640AD8F3" w14:textId="77777777" w:rsidR="00900A05"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sz w:val="18"/>
              </w:rPr>
              <w:t>Point focal du TM de la SN</w:t>
            </w:r>
          </w:p>
          <w:p w14:paraId="0F31C629" w14:textId="0E5C28F8" w:rsidR="00900A05"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de la SN </w:t>
            </w:r>
          </w:p>
          <w:p w14:paraId="009C71C9" w14:textId="6DA08B39" w:rsidR="009719E5" w:rsidRPr="006E5C59" w:rsidRDefault="009719E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Personnel financier des SN</w:t>
            </w:r>
          </w:p>
          <w:p w14:paraId="27BEC37A" w14:textId="71035FEB" w:rsidR="004D1D18"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lastRenderedPageBreak/>
              <w:t xml:space="preserve">Personnel logistique du groupe </w:t>
            </w:r>
          </w:p>
        </w:tc>
        <w:tc>
          <w:tcPr>
            <w:tcW w:w="2977" w:type="dxa"/>
          </w:tcPr>
          <w:p w14:paraId="40CADE35" w14:textId="41650A50" w:rsidR="00D32184" w:rsidRPr="006E5C59" w:rsidRDefault="00D32184" w:rsidP="00D32184">
            <w:pPr>
              <w:pStyle w:val="ListParagraph"/>
              <w:ind w:left="3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lastRenderedPageBreak/>
              <w:t>Fonctionnaires désignés dans l'appel d'offres, à savoir :</w:t>
            </w:r>
          </w:p>
          <w:p w14:paraId="17BCFEA7" w14:textId="162C8B03" w:rsidR="00D32184" w:rsidRPr="006E5C59" w:rsidRDefault="00D32184" w:rsidP="006B0443">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8"/>
                <w:szCs w:val="18"/>
              </w:rPr>
            </w:pPr>
            <w:r>
              <w:rPr>
                <w:sz w:val="18"/>
              </w:rPr>
              <w:lastRenderedPageBreak/>
              <w:t>Personnel SN /Opérations/Pays/ Personnel logistique du Cluster en consultation avec la SN /Opérations/Pays/ Personnel logistique du Cluster/Personnel du programme du cluster</w:t>
            </w:r>
          </w:p>
        </w:tc>
        <w:tc>
          <w:tcPr>
            <w:tcW w:w="2835" w:type="dxa"/>
          </w:tcPr>
          <w:p w14:paraId="48821041" w14:textId="274B2F3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lastRenderedPageBreak/>
              <w:t>Services financiers de la SN</w:t>
            </w:r>
          </w:p>
          <w:p w14:paraId="40B6614F" w14:textId="0A5F6711"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Services juridiques de la SN </w:t>
            </w:r>
          </w:p>
          <w:p w14:paraId="45661BC3" w14:textId="6A7DECE9" w:rsidR="00C7148B"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lastRenderedPageBreak/>
              <w:t xml:space="preserve">Logistique du Cluster / Personnel chargé des achats </w:t>
            </w:r>
          </w:p>
          <w:p w14:paraId="452C702E" w14:textId="77777777" w:rsidR="00C7148B"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du programme du cluster </w:t>
            </w:r>
          </w:p>
          <w:p w14:paraId="41D9744B" w14:textId="0D55F360" w:rsidR="004D1D18"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Services financiers du cluster </w:t>
            </w:r>
          </w:p>
        </w:tc>
        <w:tc>
          <w:tcPr>
            <w:tcW w:w="1920" w:type="dxa"/>
          </w:tcPr>
          <w:p w14:paraId="4E4F3CCF"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5D928619" w14:textId="77777777" w:rsidTr="001F302F">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397" w:type="dxa"/>
            <w:vMerge/>
          </w:tcPr>
          <w:p w14:paraId="3C66B2A2" w14:textId="77777777" w:rsidR="004D1D18" w:rsidRPr="006E5C59" w:rsidRDefault="004D1D18" w:rsidP="004D1D18">
            <w:pPr>
              <w:pStyle w:val="ListParagraph"/>
              <w:numPr>
                <w:ilvl w:val="0"/>
                <w:numId w:val="2"/>
              </w:numPr>
              <w:jc w:val="both"/>
              <w:rPr>
                <w:sz w:val="18"/>
                <w:szCs w:val="18"/>
              </w:rPr>
            </w:pPr>
          </w:p>
        </w:tc>
        <w:tc>
          <w:tcPr>
            <w:tcW w:w="1297" w:type="dxa"/>
          </w:tcPr>
          <w:p w14:paraId="4ADFC7B1" w14:textId="4CE7646A"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3.3 Cérémonie d'ouverture des plis</w:t>
            </w:r>
          </w:p>
        </w:tc>
        <w:tc>
          <w:tcPr>
            <w:tcW w:w="1275" w:type="dxa"/>
          </w:tcPr>
          <w:p w14:paraId="05FCBF2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3C19AC33"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3FF00708"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de la SN </w:t>
            </w:r>
          </w:p>
          <w:p w14:paraId="764A83F6" w14:textId="23B56E34"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cluster </w:t>
            </w:r>
          </w:p>
          <w:p w14:paraId="025181DC" w14:textId="1A0878DB"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du cluster </w:t>
            </w:r>
          </w:p>
          <w:p w14:paraId="6CB822AF" w14:textId="1DF23EFB"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Services financiers de la SN</w:t>
            </w:r>
          </w:p>
          <w:p w14:paraId="6F177D38" w14:textId="3DE1A103"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(Autres membres nommés du comité d'ouverture)</w:t>
            </w:r>
          </w:p>
        </w:tc>
        <w:tc>
          <w:tcPr>
            <w:tcW w:w="2977" w:type="dxa"/>
          </w:tcPr>
          <w:p w14:paraId="7C111218" w14:textId="29001965" w:rsidR="00D32184" w:rsidRPr="006E5C59" w:rsidRDefault="00D32184" w:rsidP="00D321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18"/>
              </w:rPr>
            </w:pPr>
            <w:r>
              <w:rPr>
                <w:sz w:val="18"/>
              </w:rPr>
              <w:t>SN/Opérations/Pays/Cluster</w:t>
            </w:r>
          </w:p>
          <w:p w14:paraId="35F02A1D" w14:textId="65D266DD" w:rsidR="00D32184" w:rsidRPr="006E5C59" w:rsidRDefault="00D32184" w:rsidP="00D32184">
            <w:pPr>
              <w:pStyle w:val="ListParagraph"/>
              <w:ind w:left="360"/>
              <w:cnfStyle w:val="000000100000" w:firstRow="0" w:lastRow="0" w:firstColumn="0" w:lastColumn="0" w:oddVBand="0" w:evenVBand="0" w:oddHBand="1" w:evenHBand="0" w:firstRowFirstColumn="0" w:firstRowLastColumn="0" w:lastRowFirstColumn="0" w:lastRowLastColumn="0"/>
              <w:rPr>
                <w:sz w:val="18"/>
                <w:szCs w:val="18"/>
              </w:rPr>
            </w:pPr>
            <w:r>
              <w:rPr>
                <w:sz w:val="18"/>
              </w:rPr>
              <w:t>Comité local des contrats officiellement nommé</w:t>
            </w:r>
          </w:p>
          <w:p w14:paraId="732BD20A" w14:textId="2766693E" w:rsidR="004D1D18" w:rsidRPr="006E5C59" w:rsidRDefault="00D32184" w:rsidP="006B0443">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18"/>
              </w:rPr>
            </w:pPr>
            <w:r>
              <w:rPr>
                <w:sz w:val="18"/>
              </w:rPr>
              <w:t>SN /Opérations/Pays/ Logistique du cluster /Achats (gestion du processus)</w:t>
            </w:r>
          </w:p>
        </w:tc>
        <w:tc>
          <w:tcPr>
            <w:tcW w:w="2835" w:type="dxa"/>
          </w:tcPr>
          <w:p w14:paraId="7325BDD8" w14:textId="77777777" w:rsidR="004D1D18" w:rsidRPr="006E5C59" w:rsidRDefault="004D1D18" w:rsidP="000F467A">
            <w:pPr>
              <w:pStyle w:val="ListParagraph"/>
              <w:ind w:left="36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tcPr>
          <w:p w14:paraId="7D2DB555" w14:textId="77777777" w:rsidR="004D1D18" w:rsidRPr="006E5C59" w:rsidRDefault="004D1D18" w:rsidP="00C7148B">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4550E291" w14:textId="77777777" w:rsidTr="001F302F">
        <w:trPr>
          <w:trHeight w:val="1582"/>
        </w:trPr>
        <w:tc>
          <w:tcPr>
            <w:cnfStyle w:val="001000000000" w:firstRow="0" w:lastRow="0" w:firstColumn="1" w:lastColumn="0" w:oddVBand="0" w:evenVBand="0" w:oddHBand="0" w:evenHBand="0" w:firstRowFirstColumn="0" w:firstRowLastColumn="0" w:lastRowFirstColumn="0" w:lastRowLastColumn="0"/>
            <w:tcW w:w="1397" w:type="dxa"/>
            <w:vMerge/>
          </w:tcPr>
          <w:p w14:paraId="592F4F9D" w14:textId="77777777" w:rsidR="004D1D18" w:rsidRPr="006E5C59" w:rsidRDefault="004D1D18" w:rsidP="004D1D18">
            <w:pPr>
              <w:pStyle w:val="ListParagraph"/>
              <w:numPr>
                <w:ilvl w:val="0"/>
                <w:numId w:val="2"/>
              </w:numPr>
              <w:jc w:val="both"/>
              <w:rPr>
                <w:sz w:val="18"/>
                <w:szCs w:val="18"/>
              </w:rPr>
            </w:pPr>
          </w:p>
        </w:tc>
        <w:tc>
          <w:tcPr>
            <w:tcW w:w="1297" w:type="dxa"/>
          </w:tcPr>
          <w:p w14:paraId="070E0E6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3.4 Évaluation des prestataires </w:t>
            </w:r>
          </w:p>
        </w:tc>
        <w:tc>
          <w:tcPr>
            <w:tcW w:w="1275" w:type="dxa"/>
          </w:tcPr>
          <w:p w14:paraId="414B737D"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0EFC697A"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sz w:val="18"/>
              </w:rPr>
              <w:t>Point focal du TM de la SN</w:t>
            </w:r>
          </w:p>
          <w:p w14:paraId="0467211A"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de la SN </w:t>
            </w:r>
          </w:p>
          <w:p w14:paraId="036D8345"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du cluster </w:t>
            </w:r>
          </w:p>
          <w:p w14:paraId="1B51909C"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du programme du cluster </w:t>
            </w:r>
          </w:p>
          <w:p w14:paraId="23258066"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Services financiers de la SN</w:t>
            </w:r>
          </w:p>
          <w:p w14:paraId="06CE2DD9" w14:textId="0D8F7805"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(Autres membres désignés du comité local des contrats)</w:t>
            </w:r>
          </w:p>
        </w:tc>
        <w:tc>
          <w:tcPr>
            <w:tcW w:w="2977" w:type="dxa"/>
          </w:tcPr>
          <w:p w14:paraId="5E276D3A" w14:textId="77777777" w:rsidR="00D32184" w:rsidRPr="006E5C59" w:rsidRDefault="00D32184" w:rsidP="00D32184">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SN/Opérations/Pays/Cluster</w:t>
            </w:r>
          </w:p>
          <w:p w14:paraId="29962329" w14:textId="77777777" w:rsidR="00D32184" w:rsidRPr="006E5C59" w:rsidRDefault="00D32184" w:rsidP="00D32184">
            <w:pPr>
              <w:pStyle w:val="ListParagraph"/>
              <w:ind w:left="360"/>
              <w:cnfStyle w:val="000000000000" w:firstRow="0" w:lastRow="0" w:firstColumn="0" w:lastColumn="0" w:oddVBand="0" w:evenVBand="0" w:oddHBand="0" w:evenHBand="0" w:firstRowFirstColumn="0" w:firstRowLastColumn="0" w:lastRowFirstColumn="0" w:lastRowLastColumn="0"/>
              <w:rPr>
                <w:sz w:val="18"/>
                <w:szCs w:val="18"/>
              </w:rPr>
            </w:pPr>
            <w:r>
              <w:rPr>
                <w:sz w:val="18"/>
              </w:rPr>
              <w:t>Comité local des contrats officiellement nommé</w:t>
            </w:r>
          </w:p>
          <w:p w14:paraId="2EC19F65" w14:textId="7FCFB49B" w:rsidR="00D32184" w:rsidRPr="006E5C59" w:rsidRDefault="00D32184" w:rsidP="006B0443">
            <w:pPr>
              <w:pStyle w:val="ListParagraph"/>
              <w:ind w:left="360"/>
              <w:cnfStyle w:val="000000000000" w:firstRow="0" w:lastRow="0" w:firstColumn="0" w:lastColumn="0" w:oddVBand="0" w:evenVBand="0" w:oddHBand="0" w:evenHBand="0" w:firstRowFirstColumn="0" w:firstRowLastColumn="0" w:lastRowFirstColumn="0" w:lastRowLastColumn="0"/>
              <w:rPr>
                <w:sz w:val="18"/>
                <w:szCs w:val="18"/>
              </w:rPr>
            </w:pPr>
            <w:r>
              <w:rPr>
                <w:sz w:val="18"/>
              </w:rPr>
              <w:t>SN /Opérations/Pays/ Logistique du cluster /Achats (gestion du processus)</w:t>
            </w:r>
          </w:p>
        </w:tc>
        <w:tc>
          <w:tcPr>
            <w:tcW w:w="2835" w:type="dxa"/>
          </w:tcPr>
          <w:p w14:paraId="550CBD0F" w14:textId="16A1B4B1"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Coordinateur régional des TM (apports techniques)</w:t>
            </w:r>
          </w:p>
          <w:p w14:paraId="549DA591" w14:textId="12E13BFA" w:rsidR="009719E5" w:rsidRPr="006E5C59" w:rsidRDefault="009719E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Responsable régional des achats </w:t>
            </w:r>
          </w:p>
          <w:p w14:paraId="64BDBA58"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5DA2B043"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67E49A6A" w14:textId="77777777" w:rsidTr="001F302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397" w:type="dxa"/>
            <w:vMerge/>
          </w:tcPr>
          <w:p w14:paraId="4B10A18D" w14:textId="77777777" w:rsidR="004D1D18" w:rsidRPr="006E5C59" w:rsidRDefault="004D1D18" w:rsidP="004D1D18">
            <w:pPr>
              <w:pStyle w:val="ListParagraph"/>
              <w:numPr>
                <w:ilvl w:val="0"/>
                <w:numId w:val="2"/>
              </w:numPr>
              <w:jc w:val="both"/>
              <w:rPr>
                <w:sz w:val="18"/>
                <w:szCs w:val="18"/>
              </w:rPr>
            </w:pPr>
          </w:p>
        </w:tc>
        <w:tc>
          <w:tcPr>
            <w:tcW w:w="1297" w:type="dxa"/>
          </w:tcPr>
          <w:p w14:paraId="581285FF"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3.5 Réalisation d'une analyse comparative des offres (ACA) </w:t>
            </w:r>
          </w:p>
        </w:tc>
        <w:tc>
          <w:tcPr>
            <w:tcW w:w="1275" w:type="dxa"/>
          </w:tcPr>
          <w:p w14:paraId="59AB776E"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CBA</w:t>
            </w:r>
          </w:p>
        </w:tc>
        <w:tc>
          <w:tcPr>
            <w:tcW w:w="2977" w:type="dxa"/>
          </w:tcPr>
          <w:p w14:paraId="2211911A" w14:textId="68605974" w:rsidR="004D1D18" w:rsidRPr="006E5C59" w:rsidRDefault="00D32184" w:rsidP="00AD40B2">
            <w:pPr>
              <w:pStyle w:val="ListParagraph"/>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SN/Opération/Pays/Cluster/ Logistique/Achat en étroite coopération/consultation avec </w:t>
            </w:r>
          </w:p>
          <w:p w14:paraId="64699821" w14:textId="5748291C" w:rsidR="00D32184" w:rsidRPr="006E5C59" w:rsidRDefault="00AD40B2" w:rsidP="006B0443">
            <w:pPr>
              <w:pStyle w:val="ListParagraph"/>
              <w:ind w:left="360"/>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SN/Opération/Pays/Point Focal Technique des TM et Finance du cluster si nécessaire (révision)</w:t>
            </w:r>
          </w:p>
          <w:p w14:paraId="16F859A1"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50933E65" w14:textId="35363D59" w:rsidR="004D1D18" w:rsidRPr="006E5C59" w:rsidRDefault="00AD40B2" w:rsidP="00636BB1">
            <w:pPr>
              <w:pStyle w:val="ListParagraph"/>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Pr>
                <w:sz w:val="18"/>
              </w:rPr>
              <w:t>SN/Opération/Pays/Cluster/ Logistique/Achat en étroite coopération/consultation avec le point focal technique et le service financier du TM si nécessaire (révision - préférable).</w:t>
            </w:r>
          </w:p>
        </w:tc>
        <w:tc>
          <w:tcPr>
            <w:tcW w:w="2835" w:type="dxa"/>
          </w:tcPr>
          <w:p w14:paraId="3BCD786A" w14:textId="18946369" w:rsidR="004D1D18" w:rsidRPr="006E5C59" w:rsidRDefault="00AD40B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SN/Opération/Pays/Point Focal Technique des TM et Finance du Cluster si nécessaire (révision - de préférence)</w:t>
            </w:r>
          </w:p>
        </w:tc>
        <w:tc>
          <w:tcPr>
            <w:tcW w:w="1920" w:type="dxa"/>
          </w:tcPr>
          <w:p w14:paraId="54915E89"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012065DD" w14:textId="77777777" w:rsidTr="001F302F">
        <w:trPr>
          <w:trHeight w:val="1848"/>
        </w:trPr>
        <w:tc>
          <w:tcPr>
            <w:cnfStyle w:val="001000000000" w:firstRow="0" w:lastRow="0" w:firstColumn="1" w:lastColumn="0" w:oddVBand="0" w:evenVBand="0" w:oddHBand="0" w:evenHBand="0" w:firstRowFirstColumn="0" w:firstRowLastColumn="0" w:lastRowFirstColumn="0" w:lastRowLastColumn="0"/>
            <w:tcW w:w="1397" w:type="dxa"/>
            <w:vMerge w:val="restart"/>
            <w:shd w:val="clear" w:color="auto" w:fill="D9D9D9" w:themeFill="background1" w:themeFillShade="D9"/>
          </w:tcPr>
          <w:p w14:paraId="4804BCE2" w14:textId="77777777" w:rsidR="004D1D18" w:rsidRPr="006E5C59" w:rsidRDefault="004D1D18" w:rsidP="004D1D18">
            <w:pPr>
              <w:pStyle w:val="ListParagraph"/>
              <w:numPr>
                <w:ilvl w:val="0"/>
                <w:numId w:val="2"/>
              </w:numPr>
              <w:jc w:val="both"/>
              <w:rPr>
                <w:sz w:val="18"/>
                <w:szCs w:val="18"/>
              </w:rPr>
            </w:pPr>
            <w:r>
              <w:rPr>
                <w:sz w:val="18"/>
              </w:rPr>
              <w:lastRenderedPageBreak/>
              <w:t>Validation</w:t>
            </w:r>
          </w:p>
        </w:tc>
        <w:tc>
          <w:tcPr>
            <w:tcW w:w="1297" w:type="dxa"/>
            <w:shd w:val="clear" w:color="auto" w:fill="D9D9D9" w:themeFill="background1" w:themeFillShade="D9"/>
          </w:tcPr>
          <w:p w14:paraId="78CF04E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4.1Validation du CBA </w:t>
            </w:r>
          </w:p>
        </w:tc>
        <w:tc>
          <w:tcPr>
            <w:tcW w:w="1275" w:type="dxa"/>
            <w:shd w:val="clear" w:color="auto" w:fill="D9D9D9" w:themeFill="background1" w:themeFillShade="D9"/>
          </w:tcPr>
          <w:p w14:paraId="38FC648B" w14:textId="0AB21803" w:rsidR="004D1D18" w:rsidRPr="006E5C59" w:rsidRDefault="00347E24" w:rsidP="004D1D18">
            <w:pPr>
              <w:jc w:val="both"/>
              <w:cnfStyle w:val="000000000000" w:firstRow="0" w:lastRow="0" w:firstColumn="0" w:lastColumn="0" w:oddVBand="0" w:evenVBand="0" w:oddHBand="0" w:evenHBand="0" w:firstRowFirstColumn="0" w:firstRowLastColumn="0" w:lastRowFirstColumn="0" w:lastRowLastColumn="0"/>
              <w:rPr>
                <w:color w:val="FF0000"/>
                <w:sz w:val="18"/>
                <w:szCs w:val="18"/>
              </w:rPr>
            </w:pPr>
            <w:r>
              <w:rPr>
                <w:sz w:val="18"/>
              </w:rPr>
              <w:t>CBA validé</w:t>
            </w:r>
          </w:p>
        </w:tc>
        <w:tc>
          <w:tcPr>
            <w:tcW w:w="2977" w:type="dxa"/>
            <w:shd w:val="clear" w:color="auto" w:fill="D9D9D9" w:themeFill="background1" w:themeFillShade="D9"/>
          </w:tcPr>
          <w:p w14:paraId="30CBEEEB"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sz w:val="18"/>
              </w:rPr>
              <w:t>Point focal du TM de la SN</w:t>
            </w:r>
          </w:p>
          <w:p w14:paraId="1A99814B"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de la SN </w:t>
            </w:r>
          </w:p>
          <w:p w14:paraId="0E01DE82"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logistique du cluster </w:t>
            </w:r>
          </w:p>
          <w:p w14:paraId="78C1E6E8"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Personnel du programme du cluster </w:t>
            </w:r>
          </w:p>
          <w:p w14:paraId="41C44FA3"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Services financiers de la SN</w:t>
            </w:r>
          </w:p>
          <w:p w14:paraId="0A21D429" w14:textId="3DA8A48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(Autres membres désignés du comité local des contrats)</w:t>
            </w:r>
          </w:p>
        </w:tc>
        <w:tc>
          <w:tcPr>
            <w:tcW w:w="2977" w:type="dxa"/>
            <w:shd w:val="clear" w:color="auto" w:fill="D9D9D9" w:themeFill="background1" w:themeFillShade="D9"/>
          </w:tcPr>
          <w:p w14:paraId="130C3D7C" w14:textId="77777777" w:rsidR="00AD40B2" w:rsidRPr="006E5C59" w:rsidRDefault="00AD40B2" w:rsidP="00AD40B2">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SN/Opération/Pays/Cluster/ Logistique/Achats</w:t>
            </w:r>
          </w:p>
          <w:p w14:paraId="57BE42A8" w14:textId="77777777" w:rsidR="00AD40B2" w:rsidRPr="006E5C59" w:rsidRDefault="00AD40B2" w:rsidP="00AD40B2">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SN/Opération/Pays/Point Focal Technique des TM du Cluster </w:t>
            </w:r>
          </w:p>
          <w:p w14:paraId="4ED4EA15" w14:textId="6AFB3863" w:rsidR="004D1D18" w:rsidRPr="006E5C59" w:rsidRDefault="00AD40B2" w:rsidP="006B0443">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Finances si nécessaire (révision - de préférence)</w:t>
            </w:r>
          </w:p>
        </w:tc>
        <w:tc>
          <w:tcPr>
            <w:tcW w:w="2835" w:type="dxa"/>
            <w:shd w:val="clear" w:color="auto" w:fill="D9D9D9" w:themeFill="background1" w:themeFillShade="D9"/>
          </w:tcPr>
          <w:p w14:paraId="59250284" w14:textId="66D186FE" w:rsidR="004D1D18"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Coordinateur régional des TM</w:t>
            </w:r>
          </w:p>
        </w:tc>
        <w:tc>
          <w:tcPr>
            <w:tcW w:w="1920" w:type="dxa"/>
            <w:shd w:val="clear" w:color="auto" w:fill="D9D9D9" w:themeFill="background1" w:themeFillShade="D9"/>
          </w:tcPr>
          <w:p w14:paraId="2BDE7D37" w14:textId="77777777" w:rsidR="004D1D18" w:rsidRPr="006E5C59" w:rsidRDefault="004570BE"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Cluster </w:t>
            </w:r>
          </w:p>
          <w:p w14:paraId="1E5A1690" w14:textId="0B36A813" w:rsidR="004570BE" w:rsidRPr="006E5C59" w:rsidRDefault="004570BE"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SN </w:t>
            </w:r>
          </w:p>
        </w:tc>
      </w:tr>
      <w:tr w:rsidR="00201E58" w:rsidRPr="006E5C59" w14:paraId="2C5A90B5" w14:textId="77777777" w:rsidTr="001F302F">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397" w:type="dxa"/>
            <w:vMerge/>
          </w:tcPr>
          <w:p w14:paraId="52F070B4" w14:textId="77777777" w:rsidR="004D1D18" w:rsidRPr="006E5C59" w:rsidRDefault="004D1D18" w:rsidP="004D1D18">
            <w:pPr>
              <w:pStyle w:val="ListParagraph"/>
              <w:numPr>
                <w:ilvl w:val="0"/>
                <w:numId w:val="2"/>
              </w:numPr>
              <w:jc w:val="both"/>
              <w:rPr>
                <w:sz w:val="18"/>
                <w:szCs w:val="18"/>
              </w:rPr>
            </w:pPr>
          </w:p>
        </w:tc>
        <w:tc>
          <w:tcPr>
            <w:tcW w:w="1297" w:type="dxa"/>
          </w:tcPr>
          <w:p w14:paraId="6D2083AE"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4.2 Validation du dossier de passation de marchés</w:t>
            </w:r>
          </w:p>
        </w:tc>
        <w:tc>
          <w:tcPr>
            <w:tcW w:w="1275" w:type="dxa"/>
          </w:tcPr>
          <w:p w14:paraId="13688ACC"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color w:val="FF0000"/>
                <w:sz w:val="18"/>
                <w:szCs w:val="18"/>
              </w:rPr>
            </w:pPr>
          </w:p>
        </w:tc>
        <w:tc>
          <w:tcPr>
            <w:tcW w:w="2977" w:type="dxa"/>
          </w:tcPr>
          <w:p w14:paraId="2CA16CD5" w14:textId="5DBDFE71" w:rsidR="004D1D18" w:rsidRPr="006E5C59" w:rsidRDefault="00AD40B2" w:rsidP="006B0443">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tc>
        <w:tc>
          <w:tcPr>
            <w:tcW w:w="2977" w:type="dxa"/>
          </w:tcPr>
          <w:p w14:paraId="47D8EE1C" w14:textId="77777777" w:rsidR="004D1D18" w:rsidRPr="006E5C59" w:rsidRDefault="004D1D18" w:rsidP="00AF081B">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1DC15FBA" w14:textId="53F34B6C" w:rsidR="004D1D18" w:rsidRPr="006E5C59" w:rsidRDefault="00C7148B"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 (examen de la sélection des prestataires / exigences du programme / structure des coûts)</w:t>
            </w:r>
          </w:p>
        </w:tc>
        <w:tc>
          <w:tcPr>
            <w:tcW w:w="1920" w:type="dxa"/>
          </w:tcPr>
          <w:p w14:paraId="1A3B5250" w14:textId="77777777" w:rsidR="004D1D18" w:rsidRPr="006E5C59" w:rsidRDefault="004570BE"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Cluster </w:t>
            </w:r>
          </w:p>
          <w:p w14:paraId="00C54E54" w14:textId="7CD83D03" w:rsidR="004570BE" w:rsidRPr="006E5C59" w:rsidRDefault="004570BE"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SN</w:t>
            </w:r>
          </w:p>
        </w:tc>
      </w:tr>
      <w:tr w:rsidR="00201E58" w:rsidRPr="006E5C59" w14:paraId="3D96142A" w14:textId="77777777" w:rsidTr="001F302F">
        <w:trPr>
          <w:trHeight w:val="1508"/>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296E3F55" w14:textId="5D60E671" w:rsidR="004D1D18" w:rsidRPr="006E5C59" w:rsidRDefault="004D1D18" w:rsidP="004D1D18">
            <w:pPr>
              <w:jc w:val="both"/>
              <w:rPr>
                <w:sz w:val="18"/>
                <w:szCs w:val="18"/>
              </w:rPr>
            </w:pPr>
            <w:r>
              <w:rPr>
                <w:sz w:val="18"/>
              </w:rPr>
              <w:t>5A. Signature du contrat de la SN avec le PSF (**option préférée**)</w:t>
            </w:r>
          </w:p>
        </w:tc>
        <w:tc>
          <w:tcPr>
            <w:tcW w:w="1297" w:type="dxa"/>
          </w:tcPr>
          <w:p w14:paraId="05805B1D"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5A.1 Mise à jour du modèle de contrat</w:t>
            </w:r>
          </w:p>
        </w:tc>
        <w:tc>
          <w:tcPr>
            <w:tcW w:w="1275" w:type="dxa"/>
          </w:tcPr>
          <w:p w14:paraId="28341E5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Projet de contrat mis à jour</w:t>
            </w:r>
          </w:p>
        </w:tc>
        <w:tc>
          <w:tcPr>
            <w:tcW w:w="2977" w:type="dxa"/>
          </w:tcPr>
          <w:p w14:paraId="0A8DE3B3" w14:textId="6BACBB69" w:rsidR="00AD40B2" w:rsidRPr="006E5C59" w:rsidRDefault="00AD40B2" w:rsidP="006B0443">
            <w:pPr>
              <w:pStyle w:val="ListParagraph"/>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SN/Opération/Pays/Cluster/ Logistique/Achats</w:t>
            </w:r>
          </w:p>
          <w:p w14:paraId="3A937101" w14:textId="4AC8D904" w:rsidR="004D1D18" w:rsidRPr="006E5C59" w:rsidRDefault="00AD40B2" w:rsidP="006B0443">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SN/Opération/Pays/Point Focal Technique des TM du Cluster</w:t>
            </w:r>
          </w:p>
        </w:tc>
        <w:tc>
          <w:tcPr>
            <w:tcW w:w="2977" w:type="dxa"/>
          </w:tcPr>
          <w:p w14:paraId="7B24327B" w14:textId="2A03A527" w:rsidR="00AD40B2" w:rsidRPr="006E5C59" w:rsidRDefault="00AD40B2"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Entité contractante Département juridique :</w:t>
            </w:r>
          </w:p>
          <w:p w14:paraId="45630110" w14:textId="142C1B68" w:rsidR="004D1D18" w:rsidRPr="006E5C59" w:rsidRDefault="004D1D18" w:rsidP="006B0443">
            <w:pPr>
              <w:pStyle w:val="ListParagraph"/>
              <w:ind w:left="360"/>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Service juridique de la SN / Service juridique de la FICR</w:t>
            </w:r>
          </w:p>
        </w:tc>
        <w:tc>
          <w:tcPr>
            <w:tcW w:w="2835" w:type="dxa"/>
          </w:tcPr>
          <w:p w14:paraId="022CAA84" w14:textId="48DB547A" w:rsidR="004D1D18" w:rsidRPr="006E5C59" w:rsidRDefault="004570BE"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PSF </w:t>
            </w:r>
          </w:p>
          <w:p w14:paraId="06964C6B" w14:textId="2C977167" w:rsidR="004D1D18" w:rsidRPr="006E5C59" w:rsidRDefault="004D1D18"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Juridique SN/FICR</w:t>
            </w:r>
          </w:p>
          <w:p w14:paraId="4EFE5CC5" w14:textId="40458043" w:rsidR="004D1D18" w:rsidRPr="006E5C59" w:rsidRDefault="004D1D18"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Point focal du TM de la SN</w:t>
            </w:r>
          </w:p>
          <w:p w14:paraId="0F39CF5F" w14:textId="00B89E15" w:rsidR="004D1D18" w:rsidRPr="006E5C59" w:rsidRDefault="004570BE"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Finances SN/FICR</w:t>
            </w:r>
          </w:p>
          <w:p w14:paraId="5628F265" w14:textId="77777777" w:rsidR="00C7148B" w:rsidRPr="006E5C59" w:rsidRDefault="00C7148B"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Coordinateur régional des TM </w:t>
            </w:r>
          </w:p>
          <w:p w14:paraId="06C3148D" w14:textId="7F2394B2" w:rsidR="004D1D18" w:rsidRPr="006E5C59" w:rsidRDefault="004D1D18" w:rsidP="006B0443">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Responsable régional des achats </w:t>
            </w:r>
          </w:p>
        </w:tc>
        <w:tc>
          <w:tcPr>
            <w:tcW w:w="1920" w:type="dxa"/>
          </w:tcPr>
          <w:p w14:paraId="04F81DA6" w14:textId="7A51FC5D" w:rsidR="007E0A70" w:rsidRPr="006E5C59" w:rsidRDefault="00AD40B2" w:rsidP="00AD40B2">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SN/Opérations/Pays/Cluster </w:t>
            </w:r>
          </w:p>
        </w:tc>
      </w:tr>
      <w:tr w:rsidR="00201E58" w:rsidRPr="006E5C59" w14:paraId="25861DB2" w14:textId="77777777" w:rsidTr="001F302F">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397" w:type="dxa"/>
            <w:vMerge/>
          </w:tcPr>
          <w:p w14:paraId="41906533" w14:textId="77777777" w:rsidR="004D1D18" w:rsidRPr="006E5C59" w:rsidRDefault="004D1D18" w:rsidP="004D1D18">
            <w:pPr>
              <w:pStyle w:val="ListParagraph"/>
              <w:numPr>
                <w:ilvl w:val="0"/>
                <w:numId w:val="2"/>
              </w:numPr>
              <w:jc w:val="both"/>
              <w:rPr>
                <w:sz w:val="18"/>
                <w:szCs w:val="18"/>
              </w:rPr>
            </w:pPr>
          </w:p>
        </w:tc>
        <w:tc>
          <w:tcPr>
            <w:tcW w:w="1297" w:type="dxa"/>
          </w:tcPr>
          <w:p w14:paraId="5B873C7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5A.2 Approbation du projet de contrat (interne)</w:t>
            </w:r>
          </w:p>
        </w:tc>
        <w:tc>
          <w:tcPr>
            <w:tcW w:w="1275" w:type="dxa"/>
          </w:tcPr>
          <w:p w14:paraId="6E280430"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Contrat approuvé</w:t>
            </w:r>
          </w:p>
        </w:tc>
        <w:tc>
          <w:tcPr>
            <w:tcW w:w="2977" w:type="dxa"/>
          </w:tcPr>
          <w:p w14:paraId="4937FB45" w14:textId="0E9E1112" w:rsidR="007E0A70" w:rsidRPr="006E5C59" w:rsidRDefault="007E0A70"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Personnel du programme du cluster</w:t>
            </w:r>
          </w:p>
          <w:p w14:paraId="1A11CF38" w14:textId="1E97AED3" w:rsidR="007E0A70" w:rsidRPr="006E5C59" w:rsidRDefault="00C7148B"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Coordinateur régional des TM (examen des exigences du programme conformément aux termes de référence) </w:t>
            </w:r>
          </w:p>
          <w:p w14:paraId="70776BEB" w14:textId="426439FF"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Services juridiques de la SN</w:t>
            </w:r>
          </w:p>
          <w:p w14:paraId="6E1793CD" w14:textId="469C8398"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Juridique FICR (si contrat FICR)</w:t>
            </w:r>
          </w:p>
        </w:tc>
        <w:tc>
          <w:tcPr>
            <w:tcW w:w="2977" w:type="dxa"/>
          </w:tcPr>
          <w:p w14:paraId="198E2333" w14:textId="77777777" w:rsidR="004D1D18" w:rsidRPr="006E5C59" w:rsidRDefault="004D1D18" w:rsidP="00AF081B">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7CE91B96" w14:textId="3991D994"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Coordinateur régional des TM </w:t>
            </w:r>
          </w:p>
          <w:p w14:paraId="15D45550" w14:textId="5C286F1D" w:rsidR="004D1D18" w:rsidRPr="006E5C59" w:rsidRDefault="004D1D18" w:rsidP="006B0443">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p w14:paraId="0DD98F72" w14:textId="6EA8308B"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Services financiers de la SN</w:t>
            </w:r>
          </w:p>
          <w:p w14:paraId="6E60B06C" w14:textId="596FF876"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Achats SN</w:t>
            </w:r>
          </w:p>
        </w:tc>
        <w:tc>
          <w:tcPr>
            <w:tcW w:w="1920" w:type="dxa"/>
          </w:tcPr>
          <w:p w14:paraId="0E5D1F4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5236A820" w14:textId="77777777" w:rsidTr="001F302F">
        <w:trPr>
          <w:trHeight w:val="1059"/>
        </w:trPr>
        <w:tc>
          <w:tcPr>
            <w:cnfStyle w:val="001000000000" w:firstRow="0" w:lastRow="0" w:firstColumn="1" w:lastColumn="0" w:oddVBand="0" w:evenVBand="0" w:oddHBand="0" w:evenHBand="0" w:firstRowFirstColumn="0" w:firstRowLastColumn="0" w:lastRowFirstColumn="0" w:lastRowLastColumn="0"/>
            <w:tcW w:w="1397" w:type="dxa"/>
            <w:vMerge/>
          </w:tcPr>
          <w:p w14:paraId="252DF7E7" w14:textId="77777777" w:rsidR="004D1D18" w:rsidRPr="006E5C59" w:rsidRDefault="004D1D18" w:rsidP="004D1D18">
            <w:pPr>
              <w:pStyle w:val="ListParagraph"/>
              <w:numPr>
                <w:ilvl w:val="0"/>
                <w:numId w:val="2"/>
              </w:numPr>
              <w:jc w:val="both"/>
              <w:rPr>
                <w:sz w:val="18"/>
                <w:szCs w:val="18"/>
              </w:rPr>
            </w:pPr>
          </w:p>
        </w:tc>
        <w:tc>
          <w:tcPr>
            <w:tcW w:w="1297" w:type="dxa"/>
          </w:tcPr>
          <w:p w14:paraId="6F8C2245"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5A.3 Contrat signé </w:t>
            </w:r>
          </w:p>
        </w:tc>
        <w:tc>
          <w:tcPr>
            <w:tcW w:w="1275" w:type="dxa"/>
          </w:tcPr>
          <w:p w14:paraId="6E0BAA9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Contrat signé</w:t>
            </w:r>
          </w:p>
        </w:tc>
        <w:tc>
          <w:tcPr>
            <w:tcW w:w="2977" w:type="dxa"/>
          </w:tcPr>
          <w:p w14:paraId="24AE74D6" w14:textId="123C58B7" w:rsidR="00AD40B2" w:rsidRPr="006E5C59" w:rsidRDefault="00AD40B2" w:rsidP="006B0443">
            <w:pPr>
              <w:pStyle w:val="ListParagraph"/>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SN/Opération/Pays/Cluster/ Logistique/Achats</w:t>
            </w:r>
          </w:p>
          <w:p w14:paraId="2DCC6B8E" w14:textId="49911C08" w:rsidR="004D1D18" w:rsidRPr="006E5C59" w:rsidRDefault="00755152"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SN/Opération/Pays/Point Focal Technique des TM du Cluster</w:t>
            </w:r>
          </w:p>
        </w:tc>
        <w:tc>
          <w:tcPr>
            <w:tcW w:w="2977" w:type="dxa"/>
          </w:tcPr>
          <w:p w14:paraId="1646F57D" w14:textId="7307214E" w:rsidR="004D1D18" w:rsidRPr="006E5C59" w:rsidRDefault="004D1D18"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Services juridiques de la SN</w:t>
            </w:r>
          </w:p>
        </w:tc>
        <w:tc>
          <w:tcPr>
            <w:tcW w:w="2835" w:type="dxa"/>
          </w:tcPr>
          <w:p w14:paraId="3B447A27" w14:textId="77777777" w:rsidR="004D1D18" w:rsidRPr="006E5C59" w:rsidRDefault="004D1D18" w:rsidP="00AF081B">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11266F74" w14:textId="77777777" w:rsidR="004D1D18" w:rsidRPr="006E5C59" w:rsidRDefault="0076414C"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Coordinateur régional des TM </w:t>
            </w:r>
          </w:p>
          <w:p w14:paraId="4D0EF76B" w14:textId="24F26F53" w:rsidR="006168E3" w:rsidRPr="006E5C59" w:rsidRDefault="006168E3" w:rsidP="006B0443">
            <w:pPr>
              <w:cnfStyle w:val="000000000000" w:firstRow="0" w:lastRow="0" w:firstColumn="0" w:lastColumn="0" w:oddVBand="0" w:evenVBand="0" w:oddHBand="0" w:evenHBand="0" w:firstRowFirstColumn="0" w:firstRowLastColumn="0" w:lastRowFirstColumn="0" w:lastRowLastColumn="0"/>
              <w:rPr>
                <w:sz w:val="18"/>
                <w:szCs w:val="18"/>
              </w:rPr>
            </w:pPr>
            <w:r>
              <w:rPr>
                <w:sz w:val="18"/>
              </w:rPr>
              <w:t>Responsable régional des achats</w:t>
            </w:r>
          </w:p>
        </w:tc>
      </w:tr>
      <w:tr w:rsidR="00201E58" w:rsidRPr="006E5C59" w14:paraId="25456BF2" w14:textId="77777777" w:rsidTr="001F302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15DCAED1" w14:textId="77777777" w:rsidR="004D1D18" w:rsidRPr="006E5C59" w:rsidRDefault="004D1D18" w:rsidP="004D1D18">
            <w:pPr>
              <w:jc w:val="both"/>
              <w:rPr>
                <w:sz w:val="18"/>
                <w:szCs w:val="18"/>
              </w:rPr>
            </w:pPr>
            <w:r>
              <w:rPr>
                <w:sz w:val="18"/>
              </w:rPr>
              <w:lastRenderedPageBreak/>
              <w:t>5B. Signature par la FICR du contrat avec le PSF</w:t>
            </w:r>
          </w:p>
        </w:tc>
        <w:tc>
          <w:tcPr>
            <w:tcW w:w="1297" w:type="dxa"/>
          </w:tcPr>
          <w:p w14:paraId="4E2B3D93"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5B.1 Mise à jour du modèle de contrat</w:t>
            </w:r>
          </w:p>
        </w:tc>
        <w:tc>
          <w:tcPr>
            <w:tcW w:w="1275" w:type="dxa"/>
          </w:tcPr>
          <w:p w14:paraId="6BE60C5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Projet de contrat mis à jour</w:t>
            </w:r>
          </w:p>
        </w:tc>
        <w:tc>
          <w:tcPr>
            <w:tcW w:w="2977" w:type="dxa"/>
          </w:tcPr>
          <w:p w14:paraId="62F1AF19" w14:textId="77777777" w:rsidR="0076414C"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6CD74252" w14:textId="77777777" w:rsidR="0076414C"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de la SN </w:t>
            </w:r>
          </w:p>
          <w:p w14:paraId="191847BE" w14:textId="77777777" w:rsidR="0076414C"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cluster </w:t>
            </w:r>
          </w:p>
          <w:p w14:paraId="5F24644E" w14:textId="7DF563B7" w:rsidR="004D1D18"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du programme du cluster </w:t>
            </w:r>
          </w:p>
        </w:tc>
        <w:tc>
          <w:tcPr>
            <w:tcW w:w="2977" w:type="dxa"/>
          </w:tcPr>
          <w:p w14:paraId="1228DF4D" w14:textId="7395A944"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 juridique régional</w:t>
            </w:r>
          </w:p>
        </w:tc>
        <w:tc>
          <w:tcPr>
            <w:tcW w:w="2835" w:type="dxa"/>
          </w:tcPr>
          <w:p w14:paraId="450B5414" w14:textId="49FF57D8"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PSF</w:t>
            </w:r>
          </w:p>
          <w:p w14:paraId="5EA56B90" w14:textId="63D9D6C1"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 juridique régional</w:t>
            </w:r>
          </w:p>
          <w:p w14:paraId="0B1C6D86" w14:textId="3710896C"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Coordinateur régional des TM</w:t>
            </w:r>
          </w:p>
          <w:p w14:paraId="5CA26AF8" w14:textId="1074CFE0"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Responsable financier régional</w:t>
            </w:r>
          </w:p>
          <w:p w14:paraId="5DEE9C43" w14:textId="4EF21AF7" w:rsidR="004D1D18" w:rsidRPr="006E5C59" w:rsidRDefault="004D1D18" w:rsidP="00BB0894">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Responsable régional des achats </w:t>
            </w:r>
          </w:p>
        </w:tc>
        <w:tc>
          <w:tcPr>
            <w:tcW w:w="1920" w:type="dxa"/>
          </w:tcPr>
          <w:p w14:paraId="25ED8CF5"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775A6F77" w14:textId="77777777" w:rsidTr="001F302F">
        <w:trPr>
          <w:trHeight w:val="1049"/>
        </w:trPr>
        <w:tc>
          <w:tcPr>
            <w:cnfStyle w:val="001000000000" w:firstRow="0" w:lastRow="0" w:firstColumn="1" w:lastColumn="0" w:oddVBand="0" w:evenVBand="0" w:oddHBand="0" w:evenHBand="0" w:firstRowFirstColumn="0" w:firstRowLastColumn="0" w:lastRowFirstColumn="0" w:lastRowLastColumn="0"/>
            <w:tcW w:w="1397" w:type="dxa"/>
            <w:vMerge/>
          </w:tcPr>
          <w:p w14:paraId="734AEDB1" w14:textId="77777777" w:rsidR="004D1D18" w:rsidRPr="006E5C59" w:rsidRDefault="004D1D18" w:rsidP="004D1D18">
            <w:pPr>
              <w:pStyle w:val="ListParagraph"/>
              <w:numPr>
                <w:ilvl w:val="0"/>
                <w:numId w:val="2"/>
              </w:numPr>
              <w:jc w:val="both"/>
              <w:rPr>
                <w:sz w:val="18"/>
                <w:szCs w:val="18"/>
              </w:rPr>
            </w:pPr>
          </w:p>
        </w:tc>
        <w:tc>
          <w:tcPr>
            <w:tcW w:w="1297" w:type="dxa"/>
          </w:tcPr>
          <w:p w14:paraId="1C8D83C8"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5B.2 Approbation du projet de contrat (interne)</w:t>
            </w:r>
          </w:p>
        </w:tc>
        <w:tc>
          <w:tcPr>
            <w:tcW w:w="1275" w:type="dxa"/>
          </w:tcPr>
          <w:p w14:paraId="7C055975"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Contrat approuvé</w:t>
            </w:r>
          </w:p>
        </w:tc>
        <w:tc>
          <w:tcPr>
            <w:tcW w:w="2977" w:type="dxa"/>
          </w:tcPr>
          <w:p w14:paraId="36DB9FFD" w14:textId="5FCEA39D" w:rsidR="004D1D18" w:rsidRPr="006E5C59" w:rsidRDefault="004D1D18"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Service juridique régional</w:t>
            </w:r>
          </w:p>
        </w:tc>
        <w:tc>
          <w:tcPr>
            <w:tcW w:w="2977" w:type="dxa"/>
          </w:tcPr>
          <w:p w14:paraId="229577C4"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5B205F49" w14:textId="390148FA" w:rsidR="004D1D18" w:rsidRPr="006E5C59" w:rsidRDefault="004D1D18"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Coordinateur régional des TM</w:t>
            </w:r>
          </w:p>
          <w:p w14:paraId="03F45F7F" w14:textId="01597119" w:rsidR="004D1D18" w:rsidRPr="006E5C59" w:rsidRDefault="004D1D18"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Responsable financier régional</w:t>
            </w:r>
          </w:p>
          <w:p w14:paraId="510034CC" w14:textId="556005E2" w:rsidR="004D1D18" w:rsidRPr="006E5C59" w:rsidRDefault="0076414C"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rPr>
              <w:t>Responsable régional des achats</w:t>
            </w:r>
          </w:p>
        </w:tc>
        <w:tc>
          <w:tcPr>
            <w:tcW w:w="1920" w:type="dxa"/>
          </w:tcPr>
          <w:p w14:paraId="0FF64FA7"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3EE3BADF" w14:textId="77777777" w:rsidTr="001F302F">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397" w:type="dxa"/>
            <w:vMerge/>
          </w:tcPr>
          <w:p w14:paraId="6373121A" w14:textId="77777777" w:rsidR="004D1D18" w:rsidRPr="006E5C59" w:rsidRDefault="004D1D18" w:rsidP="004D1D18">
            <w:pPr>
              <w:pStyle w:val="ListParagraph"/>
              <w:numPr>
                <w:ilvl w:val="0"/>
                <w:numId w:val="2"/>
              </w:numPr>
              <w:jc w:val="both"/>
              <w:rPr>
                <w:sz w:val="18"/>
                <w:szCs w:val="18"/>
              </w:rPr>
            </w:pPr>
          </w:p>
        </w:tc>
        <w:tc>
          <w:tcPr>
            <w:tcW w:w="1297" w:type="dxa"/>
          </w:tcPr>
          <w:p w14:paraId="508A629C"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5B.3 Contrat signé </w:t>
            </w:r>
          </w:p>
        </w:tc>
        <w:tc>
          <w:tcPr>
            <w:tcW w:w="1275" w:type="dxa"/>
          </w:tcPr>
          <w:p w14:paraId="67F5DB7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Contrat signé</w:t>
            </w:r>
          </w:p>
        </w:tc>
        <w:tc>
          <w:tcPr>
            <w:tcW w:w="2977" w:type="dxa"/>
          </w:tcPr>
          <w:p w14:paraId="259F8622" w14:textId="77777777" w:rsidR="0076414C"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sz w:val="18"/>
              </w:rPr>
              <w:t>Point focal du TM de la SN</w:t>
            </w:r>
          </w:p>
          <w:p w14:paraId="73E98703" w14:textId="77777777" w:rsidR="0076414C"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de la SN </w:t>
            </w:r>
          </w:p>
          <w:p w14:paraId="60ED74ED" w14:textId="77777777" w:rsidR="0076414C"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Personnel logistique du cluster </w:t>
            </w:r>
          </w:p>
          <w:p w14:paraId="6AB2DD04" w14:textId="10AB853D" w:rsidR="004D1D18"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Personnel du programme du cluster</w:t>
            </w:r>
          </w:p>
        </w:tc>
        <w:tc>
          <w:tcPr>
            <w:tcW w:w="2977" w:type="dxa"/>
          </w:tcPr>
          <w:p w14:paraId="6AD5BFF6" w14:textId="1F23202C" w:rsidR="004D1D18" w:rsidRPr="006E5C59" w:rsidRDefault="004D1D18"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Service juridique FICR</w:t>
            </w:r>
          </w:p>
        </w:tc>
        <w:tc>
          <w:tcPr>
            <w:tcW w:w="2835" w:type="dxa"/>
          </w:tcPr>
          <w:p w14:paraId="25323495"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tcPr>
          <w:p w14:paraId="1218077B" w14:textId="25125D12" w:rsidR="004D1D18" w:rsidRPr="006E5C59" w:rsidRDefault="0076414C"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Coordinateur régional des TM </w:t>
            </w:r>
          </w:p>
        </w:tc>
      </w:tr>
    </w:tbl>
    <w:p w14:paraId="63603E56" w14:textId="77777777" w:rsidR="000B405A" w:rsidRPr="006E5C59" w:rsidRDefault="000B405A" w:rsidP="00180D87">
      <w:pPr>
        <w:rPr>
          <w:sz w:val="20"/>
          <w:szCs w:val="20"/>
        </w:rPr>
        <w:sectPr w:rsidR="000B405A" w:rsidRPr="006E5C59" w:rsidSect="000B6975">
          <w:pgSz w:w="16838" w:h="11906" w:orient="landscape"/>
          <w:pgMar w:top="1440" w:right="1080" w:bottom="1440" w:left="1080" w:header="708" w:footer="708" w:gutter="0"/>
          <w:cols w:space="708"/>
          <w:docGrid w:linePitch="360"/>
        </w:sectPr>
      </w:pPr>
    </w:p>
    <w:p w14:paraId="206BB926" w14:textId="4FF8EEF8" w:rsidR="000B405A" w:rsidRPr="006E5C59" w:rsidRDefault="000B405A" w:rsidP="00284950">
      <w:pPr>
        <w:pStyle w:val="Heading1"/>
        <w:numPr>
          <w:ilvl w:val="0"/>
          <w:numId w:val="0"/>
        </w:numPr>
        <w:jc w:val="both"/>
      </w:pPr>
      <w:bookmarkStart w:id="33" w:name="_Annex_3:_Glossary"/>
      <w:bookmarkStart w:id="34" w:name="_Toc96934172"/>
      <w:bookmarkEnd w:id="33"/>
      <w:r>
        <w:lastRenderedPageBreak/>
        <w:t>Annexe 3 : Glossaire des termes</w:t>
      </w:r>
      <w:r w:rsidRPr="006E5C59">
        <w:rPr>
          <w:rStyle w:val="FootnoteReference"/>
        </w:rPr>
        <w:footnoteReference w:id="7"/>
      </w:r>
      <w:bookmarkEnd w:id="34"/>
    </w:p>
    <w:p w14:paraId="4DBB170B"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Accord-cadre</w:t>
      </w:r>
    </w:p>
    <w:p w14:paraId="1D6FE9AC" w14:textId="20D4D5C7" w:rsidR="003C0522" w:rsidRDefault="003C0522" w:rsidP="003C0522">
      <w:pPr>
        <w:spacing w:before="40" w:after="80"/>
        <w:jc w:val="both"/>
        <w:rPr>
          <w:sz w:val="20"/>
        </w:rPr>
      </w:pPr>
      <w:r>
        <w:rPr>
          <w:sz w:val="20"/>
        </w:rPr>
        <w:t>Un aperçu d'un contrat, également connu sous le nom de contrat-cadre ou de contrat de services principal. Les accords de rappel ou de prélèvement sont similaires mais incluent des informations financières. Cet usage est fourni par le secteur privé. Les agences humanitaires peuvent utiliser ce terme différemment.</w:t>
      </w:r>
    </w:p>
    <w:p w14:paraId="2F719F03"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Appel d'offres</w:t>
      </w:r>
    </w:p>
    <w:p w14:paraId="34EE01D8" w14:textId="77777777" w:rsidR="003C0522" w:rsidRPr="006E5C59" w:rsidRDefault="003C0522" w:rsidP="003C0522">
      <w:pPr>
        <w:spacing w:before="40" w:after="80"/>
        <w:jc w:val="both"/>
        <w:rPr>
          <w:sz w:val="20"/>
          <w:szCs w:val="20"/>
        </w:rPr>
      </w:pPr>
      <w:r>
        <w:rPr>
          <w:sz w:val="20"/>
        </w:rPr>
        <w:t>Également connu sous le nom de processus d'appel d'offres. Processus consistant à inviter des prestataires ou des prestataires de services à soumettre des propositions, des offres et autres, dans le but de générer un ordre d'achat ou un contrat.</w:t>
      </w:r>
    </w:p>
    <w:p w14:paraId="291F1EA0"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Appel d'offres ouvert</w:t>
      </w:r>
    </w:p>
    <w:p w14:paraId="29E6B58C" w14:textId="77777777" w:rsidR="003C0522" w:rsidRPr="006E5C59" w:rsidRDefault="003C0522" w:rsidP="003C0522">
      <w:pPr>
        <w:spacing w:before="40" w:after="80"/>
        <w:jc w:val="both"/>
        <w:rPr>
          <w:sz w:val="20"/>
          <w:szCs w:val="20"/>
        </w:rPr>
      </w:pPr>
      <w:r>
        <w:rPr>
          <w:sz w:val="20"/>
        </w:rPr>
        <w:t>Un processus d'appel d'offres ouvert à tous les soumissionnaires qualifiés et dans lequel les offres scellées sont reçues de tout prestataire potentiel pour examen et sont choisies en fonction du prix et de la qualité.</w:t>
      </w:r>
    </w:p>
    <w:p w14:paraId="24D8331B"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Approbation technique de l'approvisionnement</w:t>
      </w:r>
    </w:p>
    <w:p w14:paraId="152D5114" w14:textId="77777777" w:rsidR="003C0522" w:rsidRPr="006E5C59" w:rsidRDefault="003C0522" w:rsidP="003C0522">
      <w:pPr>
        <w:spacing w:before="40" w:after="80"/>
        <w:jc w:val="both"/>
        <w:rPr>
          <w:sz w:val="20"/>
          <w:szCs w:val="20"/>
        </w:rPr>
      </w:pPr>
      <w:r>
        <w:rPr>
          <w:sz w:val="20"/>
        </w:rPr>
        <w:t>L'approbation technique de la passation de marchés est un processus d'assurance qualité qui permet de vérifier que les procédures de passation de marchés applicables ont été dûment suivies et que l'assurance qualité est en place.</w:t>
      </w:r>
    </w:p>
    <w:p w14:paraId="0F7B02C8"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Argent mobile</w:t>
      </w:r>
    </w:p>
    <w:p w14:paraId="7D267ACF" w14:textId="77777777" w:rsidR="003C0522" w:rsidRDefault="003C0522" w:rsidP="003C0522">
      <w:pPr>
        <w:rPr>
          <w:sz w:val="20"/>
          <w:szCs w:val="20"/>
          <w:shd w:val="clear" w:color="auto" w:fill="FFFFFF"/>
        </w:rPr>
      </w:pPr>
      <w:r w:rsidRPr="00C33893">
        <w:rPr>
          <w:sz w:val="20"/>
          <w:szCs w:val="20"/>
          <w:shd w:val="clear" w:color="auto" w:fill="FFFFFF"/>
        </w:rPr>
        <w:t>Accès à des services financiers par téléphone portable, tels que les paiements, les transferts, les assurances, les épargnes et les crédits. C'est une monnaie nationale sans support papier qui peut être utilisée pour distribuer des transferts monétaires électroniques humanitaires.</w:t>
      </w:r>
    </w:p>
    <w:p w14:paraId="12CF7209" w14:textId="2A214283" w:rsidR="003C0522" w:rsidRPr="006E5C59" w:rsidRDefault="003C0522" w:rsidP="003C0522">
      <w:pPr>
        <w:spacing w:before="40" w:after="80"/>
        <w:jc w:val="both"/>
        <w:rPr>
          <w:b/>
          <w:bCs/>
          <w:sz w:val="20"/>
          <w:szCs w:val="20"/>
          <w:shd w:val="clear" w:color="auto" w:fill="FFFFFF"/>
        </w:rPr>
      </w:pPr>
      <w:r>
        <w:rPr>
          <w:b/>
          <w:sz w:val="20"/>
          <w:shd w:val="clear" w:color="auto" w:fill="FFFFFF"/>
        </w:rPr>
        <w:t>Autorité de passation de marchés (PA)</w:t>
      </w:r>
    </w:p>
    <w:p w14:paraId="3B568342" w14:textId="77777777" w:rsidR="003C0522" w:rsidRPr="006E5C59" w:rsidRDefault="003C0522" w:rsidP="003C0522">
      <w:pPr>
        <w:spacing w:before="40" w:after="80"/>
        <w:jc w:val="both"/>
        <w:rPr>
          <w:sz w:val="20"/>
          <w:szCs w:val="20"/>
        </w:rPr>
      </w:pPr>
      <w:r>
        <w:rPr>
          <w:sz w:val="20"/>
        </w:rPr>
        <w:t>Unité, département ou bureau de la FICR chargé de mener des activités d'achat.</w:t>
      </w:r>
    </w:p>
    <w:p w14:paraId="2DD8FC26" w14:textId="0AE58887" w:rsidR="000B405A" w:rsidRPr="006E5C59" w:rsidRDefault="30FF4FEF" w:rsidP="005D7C02">
      <w:pPr>
        <w:spacing w:before="40" w:after="80"/>
        <w:jc w:val="both"/>
        <w:rPr>
          <w:rFonts w:ascii="Segoe UI Light" w:hAnsi="Segoe UI Light"/>
          <w:b/>
          <w:bCs/>
          <w:sz w:val="20"/>
          <w:szCs w:val="20"/>
          <w:shd w:val="clear" w:color="auto" w:fill="FFFFFF"/>
        </w:rPr>
      </w:pPr>
      <w:r>
        <w:rPr>
          <w:rFonts w:ascii="Segoe UI Light" w:hAnsi="Segoe UI Light"/>
          <w:b/>
          <w:sz w:val="20"/>
          <w:shd w:val="clear" w:color="auto" w:fill="FFFFFF"/>
        </w:rPr>
        <w:t>Commission des marchés (</w:t>
      </w:r>
      <w:proofErr w:type="spellStart"/>
      <w:r>
        <w:rPr>
          <w:rFonts w:ascii="Segoe UI Light" w:hAnsi="Segoe UI Light"/>
          <w:b/>
          <w:sz w:val="20"/>
          <w:shd w:val="clear" w:color="auto" w:fill="FFFFFF"/>
        </w:rPr>
        <w:t>CdC</w:t>
      </w:r>
      <w:proofErr w:type="spellEnd"/>
      <w:r>
        <w:rPr>
          <w:rFonts w:ascii="Segoe UI Light" w:hAnsi="Segoe UI Light"/>
          <w:b/>
          <w:sz w:val="20"/>
          <w:shd w:val="clear" w:color="auto" w:fill="FFFFFF"/>
        </w:rPr>
        <w:t>)</w:t>
      </w:r>
    </w:p>
    <w:p w14:paraId="60182A10" w14:textId="5126F199" w:rsidR="3A98F188" w:rsidRPr="006E5C59" w:rsidRDefault="3A98F188" w:rsidP="005D7C02">
      <w:pPr>
        <w:spacing w:before="40" w:after="80"/>
        <w:jc w:val="both"/>
        <w:rPr>
          <w:rFonts w:ascii="Segoe UI Light" w:hAnsi="Segoe UI Light"/>
          <w:sz w:val="20"/>
        </w:rPr>
      </w:pPr>
      <w:r>
        <w:rPr>
          <w:rFonts w:ascii="Segoe UI Light" w:hAnsi="Segoe UI Light"/>
          <w:sz w:val="20"/>
        </w:rPr>
        <w:t xml:space="preserve">Conformément au manuel, aux règles, aux règlements et aux politiques de la FICR en matière de passation de marchés, la Commission des marchés concernée (au siège (Genève), au niveau régional ou local) est un organe consultatif et ne prend pas de décisions. La </w:t>
      </w:r>
      <w:proofErr w:type="spellStart"/>
      <w:r>
        <w:rPr>
          <w:rFonts w:ascii="Segoe UI Light" w:hAnsi="Segoe UI Light"/>
          <w:sz w:val="20"/>
        </w:rPr>
        <w:t>CdC</w:t>
      </w:r>
      <w:proofErr w:type="spellEnd"/>
      <w:r>
        <w:rPr>
          <w:rFonts w:ascii="Segoe UI Light" w:hAnsi="Segoe UI Light"/>
          <w:sz w:val="20"/>
        </w:rPr>
        <w:t xml:space="preserve"> compétente rend un avis écrit sur le respect des exigences en matière de procédures de passation de marchés du manuel, des règles et des politiques de la FICR en la matière. Le champ d'application de l'examen de la </w:t>
      </w:r>
      <w:proofErr w:type="spellStart"/>
      <w:r>
        <w:rPr>
          <w:rFonts w:ascii="Segoe UI Light" w:hAnsi="Segoe UI Light"/>
          <w:sz w:val="20"/>
        </w:rPr>
        <w:t>CdC</w:t>
      </w:r>
      <w:proofErr w:type="spellEnd"/>
      <w:r>
        <w:rPr>
          <w:rFonts w:ascii="Segoe UI Light" w:hAnsi="Segoe UI Light"/>
          <w:sz w:val="20"/>
        </w:rPr>
        <w:t xml:space="preserve"> compétente peut ne pas être limité aux points suivants :</w:t>
      </w:r>
    </w:p>
    <w:p w14:paraId="09C6FA0A" w14:textId="5DD694E2" w:rsidR="3A98F188" w:rsidRPr="006E5C59" w:rsidRDefault="000A5A9D" w:rsidP="005D7C02">
      <w:pPr>
        <w:pStyle w:val="ListParagraph"/>
        <w:numPr>
          <w:ilvl w:val="0"/>
          <w:numId w:val="29"/>
        </w:numPr>
        <w:spacing w:before="40" w:after="80"/>
        <w:jc w:val="both"/>
        <w:rPr>
          <w:rFonts w:ascii="Segoe UI Light" w:eastAsia="Segoe UI Light" w:hAnsi="Segoe UI Light" w:cs="Segoe UI Light"/>
          <w:sz w:val="20"/>
          <w:szCs w:val="20"/>
        </w:rPr>
      </w:pPr>
      <w:r>
        <w:rPr>
          <w:sz w:val="20"/>
        </w:rPr>
        <w:t>Évaluer si l'autorité appropriée a été obtenue pour l'engagement des fonds.</w:t>
      </w:r>
    </w:p>
    <w:p w14:paraId="565499F9" w14:textId="4F308E36" w:rsidR="3A98F188" w:rsidRPr="006E5C59" w:rsidRDefault="00D4048E" w:rsidP="005D7C02">
      <w:pPr>
        <w:pStyle w:val="ListParagraph"/>
        <w:numPr>
          <w:ilvl w:val="0"/>
          <w:numId w:val="29"/>
        </w:numPr>
        <w:spacing w:before="40" w:after="80"/>
        <w:jc w:val="both"/>
        <w:rPr>
          <w:rFonts w:ascii="Segoe UI Light" w:eastAsia="Segoe UI Light" w:hAnsi="Segoe UI Light" w:cs="Segoe UI Light"/>
          <w:sz w:val="20"/>
          <w:szCs w:val="20"/>
        </w:rPr>
      </w:pPr>
      <w:r>
        <w:rPr>
          <w:rFonts w:ascii="Segoe UI Light" w:hAnsi="Segoe UI Light"/>
          <w:sz w:val="20"/>
        </w:rPr>
        <w:t>Évaluer si le processus de passation de marchés a été mené de manière compétitive, transparente et équitable, et</w:t>
      </w:r>
    </w:p>
    <w:p w14:paraId="55254D1F" w14:textId="199C5BC9" w:rsidR="3A98F188" w:rsidRPr="006E5C59" w:rsidRDefault="00F2607C" w:rsidP="005D7C02">
      <w:pPr>
        <w:pStyle w:val="ListParagraph"/>
        <w:numPr>
          <w:ilvl w:val="0"/>
          <w:numId w:val="29"/>
        </w:numPr>
        <w:spacing w:before="40" w:after="80"/>
        <w:jc w:val="both"/>
        <w:rPr>
          <w:rFonts w:ascii="Segoe UI Light" w:eastAsia="Segoe UI Light" w:hAnsi="Segoe UI Light" w:cs="Segoe UI Light"/>
          <w:sz w:val="20"/>
          <w:szCs w:val="20"/>
        </w:rPr>
      </w:pPr>
      <w:r>
        <w:rPr>
          <w:rFonts w:ascii="Segoe UI Light" w:hAnsi="Segoe UI Light"/>
          <w:sz w:val="20"/>
        </w:rPr>
        <w:t xml:space="preserve">Évaluer si les activités de passation de marchés sont conformes au manuel de passation de marchés de la FICR. </w:t>
      </w:r>
    </w:p>
    <w:p w14:paraId="7E96AABA" w14:textId="0C1A817D" w:rsidR="3A98F188" w:rsidRPr="006E5C59" w:rsidRDefault="00D4048E" w:rsidP="005D7C02">
      <w:pPr>
        <w:pStyle w:val="ListParagraph"/>
        <w:numPr>
          <w:ilvl w:val="0"/>
          <w:numId w:val="29"/>
        </w:numPr>
        <w:spacing w:before="40" w:after="80"/>
        <w:jc w:val="both"/>
        <w:rPr>
          <w:rFonts w:ascii="Segoe UI Light" w:eastAsia="Segoe UI Light" w:hAnsi="Segoe UI Light" w:cs="Segoe UI Light"/>
          <w:sz w:val="20"/>
          <w:szCs w:val="20"/>
        </w:rPr>
      </w:pPr>
      <w:r>
        <w:rPr>
          <w:rFonts w:ascii="Segoe UI Light" w:hAnsi="Segoe UI Light"/>
          <w:sz w:val="20"/>
        </w:rPr>
        <w:t>Évaluer et fournir des recommandations sur la question de savoir si l'accord proposé avec le prestataire expose la FICR à des risques financiers ou juridiques.</w:t>
      </w:r>
    </w:p>
    <w:p w14:paraId="58CED58B" w14:textId="77777777" w:rsidR="003C0522" w:rsidRDefault="000A5A9D" w:rsidP="005D7C02">
      <w:pPr>
        <w:spacing w:before="40" w:after="80"/>
        <w:jc w:val="both"/>
        <w:rPr>
          <w:rFonts w:ascii="Segoe UI Light" w:hAnsi="Segoe UI Light"/>
          <w:sz w:val="20"/>
        </w:rPr>
      </w:pPr>
      <w:r>
        <w:rPr>
          <w:rFonts w:ascii="Segoe UI Light" w:hAnsi="Segoe UI Light"/>
          <w:sz w:val="20"/>
        </w:rPr>
        <w:t xml:space="preserve">Les points focaux logistiques peuvent </w:t>
      </w:r>
      <w:proofErr w:type="gramStart"/>
      <w:r>
        <w:rPr>
          <w:rFonts w:ascii="Segoe UI Light" w:hAnsi="Segoe UI Light"/>
          <w:sz w:val="20"/>
        </w:rPr>
        <w:t>donner</w:t>
      </w:r>
      <w:proofErr w:type="gramEnd"/>
      <w:r>
        <w:rPr>
          <w:rFonts w:ascii="Segoe UI Light" w:hAnsi="Segoe UI Light"/>
          <w:sz w:val="20"/>
        </w:rPr>
        <w:t xml:space="preserve"> des conseils supplémentaires sur le code de conduite et les niveaux d'engagement en fonction des seuils financiers.</w:t>
      </w:r>
    </w:p>
    <w:p w14:paraId="51A1A774" w14:textId="77777777" w:rsidR="003C0522" w:rsidRDefault="003C0522" w:rsidP="005D7C02">
      <w:pPr>
        <w:spacing w:before="40" w:after="80"/>
        <w:jc w:val="both"/>
        <w:rPr>
          <w:rFonts w:ascii="Segoe UI Light" w:hAnsi="Segoe UI Light"/>
          <w:sz w:val="20"/>
        </w:rPr>
      </w:pPr>
    </w:p>
    <w:p w14:paraId="703A0B37" w14:textId="11E32225" w:rsidR="000A5A9D" w:rsidRPr="006E5C59" w:rsidRDefault="000A5A9D" w:rsidP="005D7C02">
      <w:pPr>
        <w:spacing w:before="40" w:after="80"/>
        <w:jc w:val="both"/>
        <w:rPr>
          <w:rFonts w:ascii="Segoe UI Light" w:eastAsia="Segoe UI Light" w:hAnsi="Segoe UI Light" w:cs="Segoe UI Light"/>
          <w:sz w:val="20"/>
          <w:szCs w:val="20"/>
        </w:rPr>
      </w:pPr>
      <w:r>
        <w:rPr>
          <w:rFonts w:ascii="Segoe UI Light" w:hAnsi="Segoe UI Light"/>
          <w:sz w:val="20"/>
        </w:rPr>
        <w:t xml:space="preserve"> </w:t>
      </w:r>
    </w:p>
    <w:p w14:paraId="09E326FB" w14:textId="77777777" w:rsidR="002A6E9A" w:rsidRPr="006E5C59" w:rsidRDefault="002A6E9A" w:rsidP="002A6E9A">
      <w:pPr>
        <w:spacing w:before="40" w:after="80"/>
        <w:jc w:val="both"/>
        <w:rPr>
          <w:b/>
          <w:bCs/>
          <w:sz w:val="20"/>
          <w:szCs w:val="20"/>
          <w:shd w:val="clear" w:color="auto" w:fill="FFFFFF"/>
        </w:rPr>
      </w:pPr>
      <w:r>
        <w:rPr>
          <w:b/>
          <w:sz w:val="20"/>
          <w:shd w:val="clear" w:color="auto" w:fill="FFFFFF"/>
        </w:rPr>
        <w:lastRenderedPageBreak/>
        <w:t>Conditionnalité</w:t>
      </w:r>
    </w:p>
    <w:p w14:paraId="6A5B2866" w14:textId="77777777" w:rsidR="002A6E9A" w:rsidRPr="002A6E9A" w:rsidRDefault="002A6E9A" w:rsidP="002A6E9A">
      <w:pPr>
        <w:rPr>
          <w:sz w:val="18"/>
          <w:szCs w:val="18"/>
        </w:rPr>
      </w:pPr>
      <w:r w:rsidRPr="002A6E9A">
        <w:rPr>
          <w:sz w:val="20"/>
          <w:szCs w:val="20"/>
          <w:shd w:val="clear" w:color="auto" w:fill="FFFFFF"/>
        </w:rPr>
        <w:t xml:space="preserve">La conditionnalité se réfère aux activités ou obligations pré-requises pour que les bénéficiaires ciblés par un programme puissent bénéficier de l'aide. Les conditions peuvent en théorie être utilisées pour tous types de transferts (espèces, coupons, nature, services), en fonction des objectifs et de la conception du programme. Les </w:t>
      </w:r>
      <w:proofErr w:type="spellStart"/>
      <w:r w:rsidRPr="002A6E9A">
        <w:rPr>
          <w:sz w:val="20"/>
          <w:szCs w:val="20"/>
          <w:shd w:val="clear" w:color="auto" w:fill="FFFFFF"/>
        </w:rPr>
        <w:t>pré-requis</w:t>
      </w:r>
      <w:proofErr w:type="spellEnd"/>
      <w:r w:rsidRPr="002A6E9A">
        <w:rPr>
          <w:sz w:val="20"/>
          <w:szCs w:val="20"/>
          <w:shd w:val="clear" w:color="auto" w:fill="FFFFFF"/>
        </w:rPr>
        <w:t xml:space="preserve"> peuvent être imposés pour chaque tranche du transfert. La conditionnalité est différente de la restriction (qui s'applique à la façon dont l'aide reçue est utilisée) et aux critères de ciblage appliqués pour définir qui, dans un groupe, sera couvert par le programme. Le type de conditions peut inclure la scolarisation, construire un abri, participer au dépistage de la malnutrition, à une formation... Les interventions de type « travail contre actif/formation/travail » sont toutes des formes de transferts conditionnels.</w:t>
      </w:r>
    </w:p>
    <w:p w14:paraId="615D654C"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Connaissance de la clientèle (Know-</w:t>
      </w:r>
      <w:proofErr w:type="spellStart"/>
      <w:r>
        <w:rPr>
          <w:b/>
          <w:sz w:val="20"/>
          <w:shd w:val="clear" w:color="auto" w:fill="FFFFFF"/>
        </w:rPr>
        <w:t>Your</w:t>
      </w:r>
      <w:proofErr w:type="spellEnd"/>
      <w:r>
        <w:rPr>
          <w:b/>
          <w:sz w:val="20"/>
          <w:shd w:val="clear" w:color="auto" w:fill="FFFFFF"/>
        </w:rPr>
        <w:t>-Customer / KYC)</w:t>
      </w:r>
    </w:p>
    <w:p w14:paraId="570405D3" w14:textId="77777777" w:rsidR="003C0522" w:rsidRPr="00D54EEC" w:rsidRDefault="003C0522" w:rsidP="003C0522">
      <w:r w:rsidRPr="00D54EEC">
        <w:rPr>
          <w:sz w:val="20"/>
          <w:szCs w:val="20"/>
        </w:rPr>
        <w:t>Informations que les banques demandent aux régulateurs locaux de collecter sur les nouveaux clients potentiels, afin de réduire les risques d'utilisation des produits financiers pour le blanchiment d'argent et d'autres crimes. Les régulations nationales permettent une collecte plus ou moins large d'informations par les banques, selon le niveau de risque évalué.</w:t>
      </w:r>
    </w:p>
    <w:p w14:paraId="65195BB1" w14:textId="77777777" w:rsidR="000B405A" w:rsidRPr="006E5C59" w:rsidRDefault="000B405A" w:rsidP="005D7C02">
      <w:pPr>
        <w:spacing w:before="40" w:after="80"/>
        <w:jc w:val="both"/>
        <w:rPr>
          <w:b/>
          <w:bCs/>
          <w:sz w:val="20"/>
          <w:szCs w:val="20"/>
          <w:shd w:val="clear" w:color="auto" w:fill="FFFFFF"/>
        </w:rPr>
      </w:pPr>
      <w:r>
        <w:rPr>
          <w:b/>
          <w:sz w:val="20"/>
          <w:shd w:val="clear" w:color="auto" w:fill="FFFFFF"/>
        </w:rPr>
        <w:t>Coupon à valeur marchandises</w:t>
      </w:r>
    </w:p>
    <w:p w14:paraId="18DF8253" w14:textId="1164300B" w:rsidR="000B405A" w:rsidRDefault="00C3075B" w:rsidP="00C3075B">
      <w:pPr>
        <w:rPr>
          <w:sz w:val="20"/>
          <w:szCs w:val="20"/>
          <w:shd w:val="clear" w:color="auto" w:fill="FFFFFF"/>
        </w:rPr>
      </w:pPr>
      <w:r w:rsidRPr="00C3075B">
        <w:rPr>
          <w:sz w:val="20"/>
          <w:szCs w:val="20"/>
          <w:shd w:val="clear" w:color="auto" w:fill="FFFFFF"/>
        </w:rPr>
        <w:t>Coupons échangés contre une quantité et une qualité de biens ou de services spécifiques auprès des vendeurs participant au programme. Ils partagent des similarités avec l’aide en nature, dans la mesure où ils imposent des restrictions et des spécifications sur l’aide reçue, mais sont utilisables au niveau des commerçants des marchés locaux contractualisés par l'organisation humanitaire en charge de l'intervention.</w:t>
      </w:r>
    </w:p>
    <w:p w14:paraId="7FE9F585"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Coupon à valeur monétaire (terme clé)</w:t>
      </w:r>
    </w:p>
    <w:p w14:paraId="4D7CFF41" w14:textId="56FA3C63" w:rsidR="003C0522" w:rsidRDefault="003C0522" w:rsidP="003C0522">
      <w:pPr>
        <w:rPr>
          <w:sz w:val="20"/>
          <w:szCs w:val="20"/>
          <w:shd w:val="clear" w:color="auto" w:fill="FFFFFF"/>
        </w:rPr>
      </w:pPr>
      <w:r w:rsidRPr="00FA3610">
        <w:rPr>
          <w:sz w:val="20"/>
          <w:szCs w:val="20"/>
          <w:shd w:val="clear" w:color="auto" w:fill="FFFFFF"/>
        </w:rPr>
        <w:t>Coupons qui ont une valeur monétaire et qui peuvent être échangés auprès de fournisseurs participants pour l'achat de biens ou services d’un coût monétaire équivalent. Ils tendent à offrir une plus grande flexibilité et plus de choix que les coupons pour l’achat de marchandises, mais ils sont toujours nécessairement limités, étant donné qu’ils ne peuvent être échangés qu’auprès de certains vendeurs désignés. Voir aussi Coupon, Coupon à valeur marchandises et Coupon électronique</w:t>
      </w:r>
      <w:r>
        <w:rPr>
          <w:sz w:val="20"/>
          <w:szCs w:val="20"/>
          <w:shd w:val="clear" w:color="auto" w:fill="FFFFFF"/>
        </w:rPr>
        <w:t xml:space="preserve">. </w:t>
      </w:r>
    </w:p>
    <w:p w14:paraId="5E46D081"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Coupon électronique</w:t>
      </w:r>
    </w:p>
    <w:p w14:paraId="5DB9D2EE" w14:textId="77777777" w:rsidR="003C0522" w:rsidRPr="00980C98" w:rsidRDefault="003C0522" w:rsidP="003C0522">
      <w:pPr>
        <w:rPr>
          <w:sz w:val="18"/>
          <w:szCs w:val="18"/>
        </w:rPr>
      </w:pPr>
      <w:r w:rsidRPr="00980C98">
        <w:rPr>
          <w:sz w:val="20"/>
          <w:szCs w:val="20"/>
          <w:shd w:val="clear" w:color="auto" w:fill="FFFFFF"/>
        </w:rPr>
        <w:t>Une carte ou un code qui est remboursé électroniquement au vendeur participant au programme. Les coupons électroniques peuvent représenter une valeur de marchandises ou une valeur monétaire, et peuvent être stockés et remboursés à travers une variété d'outils électroniques (comme les téléphones, les terminaux POS).</w:t>
      </w:r>
    </w:p>
    <w:p w14:paraId="1281E8A7"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Diligence raisonnable simplifiée (DRS)</w:t>
      </w:r>
    </w:p>
    <w:p w14:paraId="1CC70CDC" w14:textId="77777777" w:rsidR="003C0522" w:rsidRPr="006E5C59" w:rsidRDefault="003C0522" w:rsidP="003C0522">
      <w:pPr>
        <w:spacing w:before="40" w:after="80"/>
        <w:jc w:val="both"/>
        <w:rPr>
          <w:sz w:val="20"/>
          <w:szCs w:val="20"/>
        </w:rPr>
      </w:pPr>
      <w:r>
        <w:rPr>
          <w:sz w:val="20"/>
        </w:rPr>
        <w:t xml:space="preserve">Également connue sous le nom de connaissance minimale du client (KYC) ; </w:t>
      </w:r>
      <w:proofErr w:type="spellStart"/>
      <w:r>
        <w:rPr>
          <w:sz w:val="20"/>
        </w:rPr>
        <w:t>peut être</w:t>
      </w:r>
      <w:proofErr w:type="spellEnd"/>
      <w:r>
        <w:rPr>
          <w:sz w:val="20"/>
        </w:rPr>
        <w:t xml:space="preserve"> une caractéristique d'un produit de carte. Les réglementations nationales influencent le moment où les DRS peuvent être utilisées.</w:t>
      </w:r>
    </w:p>
    <w:p w14:paraId="407AC21F"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Distribution</w:t>
      </w:r>
    </w:p>
    <w:p w14:paraId="4076010B" w14:textId="77777777" w:rsidR="003C0522" w:rsidRPr="00145CB0" w:rsidRDefault="003C0522" w:rsidP="003C0522">
      <w:pPr>
        <w:rPr>
          <w:sz w:val="18"/>
          <w:szCs w:val="18"/>
        </w:rPr>
      </w:pPr>
      <w:r w:rsidRPr="00145CB0">
        <w:rPr>
          <w:sz w:val="20"/>
          <w:szCs w:val="20"/>
          <w:shd w:val="clear" w:color="auto" w:fill="FFFFFF"/>
        </w:rPr>
        <w:t>La distribution fait référence au paiement ou au transfert de l'assistance aux bénéficiaires. Cela recouvre la distribution de biens physiques (devises, coupons, carte de retrait, carte SIM etc.) et/ou le transfert d'un paiement électronique sur le compte bancaire, le téléphone, la carte du bénéficiaire.</w:t>
      </w:r>
    </w:p>
    <w:p w14:paraId="0E8F3176" w14:textId="77777777" w:rsidR="000B405A" w:rsidRPr="006E5C59" w:rsidRDefault="000B405A" w:rsidP="005D7C02">
      <w:pPr>
        <w:spacing w:before="40" w:after="80"/>
        <w:jc w:val="both"/>
        <w:rPr>
          <w:b/>
          <w:bCs/>
          <w:sz w:val="20"/>
          <w:szCs w:val="20"/>
          <w:shd w:val="clear" w:color="auto" w:fill="FFFFFF"/>
        </w:rPr>
      </w:pPr>
      <w:r>
        <w:rPr>
          <w:b/>
          <w:sz w:val="20"/>
          <w:shd w:val="clear" w:color="auto" w:fill="FFFFFF"/>
        </w:rPr>
        <w:t>Mécanisme de distribution (terme clé)</w:t>
      </w:r>
    </w:p>
    <w:p w14:paraId="4E50AF1A" w14:textId="41A1E7F4" w:rsidR="00F43AB3" w:rsidRDefault="00F43AB3" w:rsidP="00F43AB3">
      <w:pPr>
        <w:rPr>
          <w:sz w:val="20"/>
          <w:szCs w:val="20"/>
          <w:shd w:val="clear" w:color="auto" w:fill="FFFFFF"/>
        </w:rPr>
      </w:pPr>
      <w:r w:rsidRPr="00F43AB3">
        <w:rPr>
          <w:sz w:val="20"/>
          <w:szCs w:val="20"/>
          <w:shd w:val="clear" w:color="auto" w:fill="FFFFFF"/>
        </w:rPr>
        <w:t>Moyen de distribution de transferts d'espèces ou de coupons (par ex. cartes à puce, transferts monétaires mobiles, transferts monétaires électroniques, de l'argent dans les enveloppes, etc.).</w:t>
      </w:r>
    </w:p>
    <w:p w14:paraId="7B4C5B2C" w14:textId="3B529787" w:rsidR="003C0522" w:rsidRDefault="003C0522" w:rsidP="00F43AB3">
      <w:pPr>
        <w:rPr>
          <w:sz w:val="20"/>
          <w:szCs w:val="20"/>
          <w:shd w:val="clear" w:color="auto" w:fill="FFFFFF"/>
        </w:rPr>
      </w:pPr>
    </w:p>
    <w:p w14:paraId="6A8BE949" w14:textId="77777777" w:rsidR="003C0522" w:rsidRDefault="003C0522" w:rsidP="00F43AB3">
      <w:pPr>
        <w:rPr>
          <w:sz w:val="20"/>
          <w:szCs w:val="20"/>
          <w:shd w:val="clear" w:color="auto" w:fill="FFFFFF"/>
        </w:rPr>
      </w:pPr>
    </w:p>
    <w:p w14:paraId="19FC6D42"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lastRenderedPageBreak/>
        <w:t>Modalité (terme clé)</w:t>
      </w:r>
    </w:p>
    <w:p w14:paraId="497148A3" w14:textId="01C56A47" w:rsidR="003C0522" w:rsidRPr="003C0522" w:rsidRDefault="003C0522" w:rsidP="00F43AB3">
      <w:pPr>
        <w:rPr>
          <w:sz w:val="18"/>
          <w:szCs w:val="18"/>
        </w:rPr>
      </w:pPr>
      <w:r w:rsidRPr="00D361D6">
        <w:rPr>
          <w:sz w:val="20"/>
          <w:szCs w:val="20"/>
          <w:shd w:val="clear" w:color="auto" w:fill="FFFFFF"/>
        </w:rPr>
        <w:t>Se réfère à la forme d'assistance (espèces, coupons, nature, provision de services, combinaison de plusieurs). Cela peut inclure à la fois une aide directe au niveau des ménages et une assistance fournie au niveau plus large de la communauté (services de santé, infrastructure d'assainissement...).</w:t>
      </w:r>
    </w:p>
    <w:p w14:paraId="5998FAED"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Prestataire de services financiers (PSF)</w:t>
      </w:r>
    </w:p>
    <w:p w14:paraId="5CDF3E52" w14:textId="77777777" w:rsidR="003C0522" w:rsidRPr="002C220A" w:rsidRDefault="003C0522" w:rsidP="003C0522">
      <w:pPr>
        <w:rPr>
          <w:sz w:val="18"/>
          <w:szCs w:val="18"/>
        </w:rPr>
      </w:pPr>
      <w:r w:rsidRPr="002C220A">
        <w:rPr>
          <w:sz w:val="20"/>
          <w:szCs w:val="20"/>
          <w:shd w:val="clear" w:color="auto" w:fill="FFFFFF"/>
        </w:rPr>
        <w:t>Entité de prestation de services financiers, éventuellement de services de transferts électroniques. Selon le contexte, les prestataires de services financiers peuvent être des entreprises émettrices de coupons électroniques, des établissements financiers (des banques et des institutions de microfinance, par exemple) ou des opérateurs de réseau mobile. Les prestataires de services financiers incluent de nombreuses entités (telles que les fonds d’investissement, les compagnies d’assurance, les cabinets comptables) outre celles qui offrent des transferts monétaires ou coupons humanitaires. C’est pourquoi, dans le cadre de transferts monétaires, on considère que les prestataires de services financiers sont ceux qui fournissent les services de transferts.</w:t>
      </w:r>
    </w:p>
    <w:p w14:paraId="0A649225"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Restriction (terme clé)</w:t>
      </w:r>
    </w:p>
    <w:p w14:paraId="4F475D4C" w14:textId="77777777" w:rsidR="003C0522" w:rsidRPr="00D30C6D" w:rsidRDefault="003C0522" w:rsidP="003C0522">
      <w:pPr>
        <w:rPr>
          <w:sz w:val="18"/>
          <w:szCs w:val="18"/>
        </w:rPr>
      </w:pPr>
      <w:r w:rsidRPr="00D30C6D">
        <w:rPr>
          <w:sz w:val="20"/>
          <w:szCs w:val="20"/>
          <w:shd w:val="clear" w:color="auto" w:fill="FFFFFF"/>
        </w:rPr>
        <w:t xml:space="preserve">Une restriction se rapporte aux limites appliquées à l’utilisation du transfert, après qu’il a été reçu par le bénéficiaire. Les restrictions peuvent aussi bien définir les biens et services auxquels le transfert donne accès, et/ou les lieux où le transfert peut être utilisé. Le degré de restriction peut varier, de l’obligation d’acheter des biens spécifiques, à dépenser le transfert pour une certaine catégorie de biens et services. Tous les coupons sont par nature restrictifs, puisqu'ils limitent ce que le bénéficiaire peut acheter et où utiliser le coupon. L'aide en nature est aussi restrictive. Les transferts d'espèces sont par nature non restrictifs quant à leur utilisation par les bénéficiaires. Les restrictions sont différentes des conditions qui sont des activités ou </w:t>
      </w:r>
      <w:proofErr w:type="spellStart"/>
      <w:r w:rsidRPr="00D30C6D">
        <w:rPr>
          <w:sz w:val="20"/>
          <w:szCs w:val="20"/>
          <w:shd w:val="clear" w:color="auto" w:fill="FFFFFF"/>
        </w:rPr>
        <w:t>pré-requis</w:t>
      </w:r>
      <w:proofErr w:type="spellEnd"/>
      <w:r w:rsidRPr="00D30C6D">
        <w:rPr>
          <w:sz w:val="20"/>
          <w:szCs w:val="20"/>
          <w:shd w:val="clear" w:color="auto" w:fill="FFFFFF"/>
        </w:rPr>
        <w:t xml:space="preserve"> exigés des bénéficiaires pour qu'ils puissent recevoir l'assistance.</w:t>
      </w:r>
    </w:p>
    <w:p w14:paraId="29392F81"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Réquisition logistique (LR)</w:t>
      </w:r>
    </w:p>
    <w:p w14:paraId="11E025D5" w14:textId="0D2E5D73" w:rsidR="003C0522" w:rsidRDefault="003C0522" w:rsidP="003C0522">
      <w:pPr>
        <w:spacing w:before="40" w:after="80"/>
        <w:jc w:val="both"/>
        <w:rPr>
          <w:sz w:val="20"/>
        </w:rPr>
      </w:pPr>
      <w:r>
        <w:rPr>
          <w:sz w:val="20"/>
        </w:rPr>
        <w:t xml:space="preserve">La demande logistique est un document qui définit les besoins en matière d'approvisionnement et sert de document d'autorisation pour l'autorité d'approvisionnement. </w:t>
      </w:r>
    </w:p>
    <w:p w14:paraId="5CF6C712" w14:textId="77777777" w:rsidR="000B405A" w:rsidRPr="006E5C59" w:rsidRDefault="000B405A" w:rsidP="005D7C02">
      <w:pPr>
        <w:spacing w:before="40" w:after="80"/>
        <w:jc w:val="both"/>
        <w:rPr>
          <w:b/>
          <w:bCs/>
          <w:sz w:val="20"/>
          <w:szCs w:val="20"/>
          <w:shd w:val="clear" w:color="auto" w:fill="FFFFFF"/>
        </w:rPr>
      </w:pPr>
      <w:r>
        <w:rPr>
          <w:b/>
          <w:sz w:val="20"/>
          <w:shd w:val="clear" w:color="auto" w:fill="FFFFFF"/>
        </w:rPr>
        <w:t>Transfert électronique</w:t>
      </w:r>
    </w:p>
    <w:p w14:paraId="023FEC23" w14:textId="712F78E3" w:rsidR="000B405A" w:rsidRDefault="00CD4A53" w:rsidP="00CD4A53">
      <w:pPr>
        <w:rPr>
          <w:sz w:val="20"/>
          <w:szCs w:val="20"/>
          <w:shd w:val="clear" w:color="auto" w:fill="FFFFFF"/>
        </w:rPr>
      </w:pPr>
      <w:r w:rsidRPr="00CD4A53">
        <w:rPr>
          <w:sz w:val="20"/>
          <w:szCs w:val="20"/>
          <w:shd w:val="clear" w:color="auto" w:fill="FFFFFF"/>
        </w:rPr>
        <w:t xml:space="preserve">Transfert électronique d'espèces ou de coupons provenant de l’organisation de mise en œuvre versé à </w:t>
      </w:r>
      <w:proofErr w:type="spellStart"/>
      <w:r w:rsidRPr="00CD4A53">
        <w:rPr>
          <w:sz w:val="20"/>
          <w:szCs w:val="20"/>
          <w:shd w:val="clear" w:color="auto" w:fill="FFFFFF"/>
        </w:rPr>
        <w:t>un-e</w:t>
      </w:r>
      <w:proofErr w:type="spellEnd"/>
      <w:r w:rsidRPr="00CD4A53">
        <w:rPr>
          <w:sz w:val="20"/>
          <w:szCs w:val="20"/>
          <w:shd w:val="clear" w:color="auto" w:fill="FFFFFF"/>
        </w:rPr>
        <w:t xml:space="preserve"> </w:t>
      </w:r>
      <w:proofErr w:type="spellStart"/>
      <w:r w:rsidRPr="00CD4A53">
        <w:rPr>
          <w:sz w:val="20"/>
          <w:szCs w:val="20"/>
          <w:shd w:val="clear" w:color="auto" w:fill="FFFFFF"/>
        </w:rPr>
        <w:t>participant-e</w:t>
      </w:r>
      <w:proofErr w:type="spellEnd"/>
      <w:r w:rsidRPr="00CD4A53">
        <w:rPr>
          <w:sz w:val="20"/>
          <w:szCs w:val="20"/>
          <w:shd w:val="clear" w:color="auto" w:fill="FFFFFF"/>
        </w:rPr>
        <w:t xml:space="preserve"> au programme. Les transferts électroniques offrent un accès aux espèces, à des produits et/ou des services par le biais d'appareils mobiles, de coupons électroniques ou de cartes (par ex. prépayés, distributeurs automatiques, cartes de crédit ou de débit). Le terme transfert électronique regroupe à la fois la monnaie électronique et les coupons électroniques.</w:t>
      </w:r>
    </w:p>
    <w:p w14:paraId="63D06A8F"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Transfert inconditionnel</w:t>
      </w:r>
    </w:p>
    <w:p w14:paraId="4D94D999" w14:textId="77777777" w:rsidR="003C0522" w:rsidRPr="009E03E0" w:rsidRDefault="003C0522" w:rsidP="003C0522">
      <w:pPr>
        <w:rPr>
          <w:sz w:val="18"/>
          <w:szCs w:val="18"/>
        </w:rPr>
      </w:pPr>
      <w:r w:rsidRPr="009E03E0">
        <w:rPr>
          <w:sz w:val="20"/>
          <w:szCs w:val="20"/>
          <w:shd w:val="clear" w:color="auto" w:fill="FFFFFF"/>
        </w:rPr>
        <w:t xml:space="preserve">Transfert fourni aux bénéficiaires sans qu'ils aient besoin de remplir des obligations </w:t>
      </w:r>
      <w:proofErr w:type="spellStart"/>
      <w:r w:rsidRPr="009E03E0">
        <w:rPr>
          <w:sz w:val="20"/>
          <w:szCs w:val="20"/>
          <w:shd w:val="clear" w:color="auto" w:fill="FFFFFF"/>
        </w:rPr>
        <w:t>prérequises</w:t>
      </w:r>
      <w:proofErr w:type="spellEnd"/>
      <w:r w:rsidRPr="009E03E0">
        <w:rPr>
          <w:sz w:val="20"/>
          <w:szCs w:val="20"/>
          <w:shd w:val="clear" w:color="auto" w:fill="FFFFFF"/>
        </w:rPr>
        <w:t xml:space="preserve"> pour pouvoir recevoir l'aide.</w:t>
      </w:r>
    </w:p>
    <w:p w14:paraId="66D7AC51" w14:textId="77777777" w:rsidR="003C0522" w:rsidRPr="006E5C59" w:rsidRDefault="003C0522" w:rsidP="003C0522">
      <w:pPr>
        <w:spacing w:before="40" w:after="80"/>
        <w:jc w:val="both"/>
        <w:rPr>
          <w:b/>
          <w:bCs/>
          <w:sz w:val="20"/>
          <w:szCs w:val="20"/>
          <w:shd w:val="clear" w:color="auto" w:fill="FFFFFF"/>
        </w:rPr>
      </w:pPr>
      <w:r>
        <w:rPr>
          <w:b/>
          <w:sz w:val="20"/>
          <w:shd w:val="clear" w:color="auto" w:fill="FFFFFF"/>
        </w:rPr>
        <w:t>Transfert monétaire (TM) (terme clé)</w:t>
      </w:r>
    </w:p>
    <w:p w14:paraId="7AFA9835" w14:textId="14818E28" w:rsidR="003C0522" w:rsidRDefault="003C0522" w:rsidP="003C0522">
      <w:pPr>
        <w:rPr>
          <w:sz w:val="20"/>
          <w:u w:val="single"/>
        </w:rPr>
      </w:pPr>
      <w:r w:rsidRPr="00F15F2E">
        <w:rPr>
          <w:sz w:val="20"/>
          <w:szCs w:val="20"/>
          <w:shd w:val="clear" w:color="auto" w:fill="FFFFFF"/>
        </w:rPr>
        <w:t>Ensemble des programmes d'assistance qui prévoient la distribution directe aux bénéficiaires d'un instrument de paiement (argent en espèces ou coupons) sans remboursement. Dans le contexte humanitaire, les bénéficiaires peuvent être des particuliers, des ménages ou des communautés, et non un gouvernement ou d’autres acteurs étatiques. Cela exclut les transferts de fonds d'individu à individu et la microfinance (bien que les institutions de microfinance et de transferts de fonds puissent être utilisées pour les versements). Ce terme est interchangeable avec Intervention monétaire</w:t>
      </w:r>
      <w:r>
        <w:rPr>
          <w:sz w:val="20"/>
          <w:szCs w:val="20"/>
          <w:shd w:val="clear" w:color="auto" w:fill="FFFFFF"/>
        </w:rPr>
        <w:t xml:space="preserve"> et plusieurs synonymes (CBA, CBI, CTP)</w:t>
      </w:r>
      <w:r w:rsidRPr="00F15F2E">
        <w:rPr>
          <w:sz w:val="20"/>
          <w:szCs w:val="20"/>
          <w:shd w:val="clear" w:color="auto" w:fill="FFFFFF"/>
        </w:rPr>
        <w:t>. Voir aussi Assistance monétaire.</w:t>
      </w:r>
      <w:r>
        <w:rPr>
          <w:sz w:val="20"/>
          <w:szCs w:val="20"/>
          <w:shd w:val="clear" w:color="auto" w:fill="FFFFFF"/>
        </w:rPr>
        <w:t xml:space="preserve"> </w:t>
      </w:r>
      <w:r>
        <w:rPr>
          <w:sz w:val="20"/>
        </w:rPr>
        <w:t xml:space="preserve">L'expression </w:t>
      </w:r>
      <w:r>
        <w:rPr>
          <w:sz w:val="20"/>
          <w:u w:val="single"/>
        </w:rPr>
        <w:t>« assistance en espèce et en bons » est recommandée.</w:t>
      </w:r>
    </w:p>
    <w:p w14:paraId="493758F1" w14:textId="77777777" w:rsidR="003C0522" w:rsidRPr="00F15F2E" w:rsidRDefault="003C0522" w:rsidP="003C0522">
      <w:pPr>
        <w:rPr>
          <w:sz w:val="18"/>
          <w:szCs w:val="20"/>
        </w:rPr>
      </w:pPr>
    </w:p>
    <w:p w14:paraId="55D88B4C" w14:textId="2E9F358D" w:rsidR="000B405A" w:rsidRPr="006E5C59" w:rsidRDefault="000B405A" w:rsidP="005D7C02">
      <w:pPr>
        <w:spacing w:before="40" w:after="80"/>
        <w:jc w:val="both"/>
        <w:rPr>
          <w:b/>
          <w:bCs/>
          <w:sz w:val="20"/>
          <w:szCs w:val="20"/>
          <w:shd w:val="clear" w:color="auto" w:fill="FFFFFF"/>
        </w:rPr>
      </w:pPr>
      <w:r>
        <w:rPr>
          <w:b/>
          <w:sz w:val="20"/>
          <w:shd w:val="clear" w:color="auto" w:fill="FFFFFF"/>
        </w:rPr>
        <w:lastRenderedPageBreak/>
        <w:t>Transferts monétaires à usages multiples (</w:t>
      </w:r>
      <w:r w:rsidR="00C16BCC">
        <w:rPr>
          <w:b/>
          <w:sz w:val="20"/>
          <w:shd w:val="clear" w:color="auto" w:fill="FFFFFF"/>
        </w:rPr>
        <w:t xml:space="preserve">TMUM / Multipurpose Cash / MPC) </w:t>
      </w:r>
      <w:r>
        <w:rPr>
          <w:b/>
          <w:sz w:val="20"/>
          <w:shd w:val="clear" w:color="auto" w:fill="FFFFFF"/>
        </w:rPr>
        <w:t>(terme clé)</w:t>
      </w:r>
    </w:p>
    <w:p w14:paraId="7571E108" w14:textId="77777777" w:rsidR="00C16BCC" w:rsidRPr="00C16BCC" w:rsidRDefault="00C16BCC" w:rsidP="00C16BCC">
      <w:r w:rsidRPr="00C16BCC">
        <w:rPr>
          <w:sz w:val="20"/>
          <w:szCs w:val="20"/>
        </w:rPr>
        <w:t>Transfert monétaire, régulier ou ponctuel, qui correspond au montant d’argent dont un ménage a besoin pour subvenir en tout ou partie à un ensemble de besoins de base et/ou de rétablissement. Le terme se réfère aux transferts monétaires conçus spécifiquement pour couvrir des besoins multiples, avec une valeur de transfert définie en cohérence. Les TMUM sont généralement indexés sur l'analyse des déficits basée sur le MEB ou autre méthode de calcul des besoins de base. Tous les TMUM sont, par définition, des transferts monétaires non restrictifs puisqu'ils doivent être dépensés selon les choix des bénéficiaires.</w:t>
      </w:r>
    </w:p>
    <w:p w14:paraId="0472A816" w14:textId="41818D7C" w:rsidR="000B405A" w:rsidRPr="006E5C59" w:rsidRDefault="000B405A" w:rsidP="005D7C02">
      <w:pPr>
        <w:spacing w:before="40" w:after="80"/>
        <w:jc w:val="both"/>
        <w:rPr>
          <w:b/>
          <w:bCs/>
          <w:sz w:val="20"/>
          <w:szCs w:val="20"/>
          <w:shd w:val="clear" w:color="auto" w:fill="FFFFFF"/>
        </w:rPr>
      </w:pPr>
      <w:r>
        <w:rPr>
          <w:b/>
          <w:sz w:val="20"/>
          <w:shd w:val="clear" w:color="auto" w:fill="FFFFFF"/>
        </w:rPr>
        <w:t>Transfert non restrictif</w:t>
      </w:r>
    </w:p>
    <w:p w14:paraId="3DA709A4" w14:textId="63E22C73" w:rsidR="000B405A" w:rsidRPr="006E5C59" w:rsidRDefault="00343249" w:rsidP="005D7C02">
      <w:pPr>
        <w:spacing w:before="40" w:after="80"/>
        <w:jc w:val="both"/>
        <w:rPr>
          <w:sz w:val="20"/>
          <w:szCs w:val="20"/>
        </w:rPr>
      </w:pPr>
      <w:r w:rsidRPr="00343249">
        <w:rPr>
          <w:sz w:val="20"/>
        </w:rPr>
        <w:t>L’utilisation des transferts non restrictifs est laissée à la libre appréciation des bénéficiaires, c’est-à-dire qu’il n’y a pas de limitations directes imposées par l’agence de mise en œuvre sur la façon dont le transfert devrait être dépensé. Les transferts d'espèces sont par défaut non restrictifs, à moins qu’il soit demandé aux bénéficiaires de les dépenser pour des biens ou services particuliers.</w:t>
      </w:r>
    </w:p>
    <w:sectPr w:rsidR="000B405A" w:rsidRPr="006E5C59" w:rsidSect="000B405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C6189" w14:textId="77777777" w:rsidR="0043648C" w:rsidRDefault="0043648C" w:rsidP="00A45B22">
      <w:pPr>
        <w:spacing w:after="0" w:line="240" w:lineRule="auto"/>
      </w:pPr>
      <w:r>
        <w:separator/>
      </w:r>
    </w:p>
    <w:p w14:paraId="0506A9C7" w14:textId="77777777" w:rsidR="0043648C" w:rsidRDefault="0043648C"/>
  </w:endnote>
  <w:endnote w:type="continuationSeparator" w:id="0">
    <w:p w14:paraId="3C7FE311" w14:textId="77777777" w:rsidR="0043648C" w:rsidRDefault="0043648C" w:rsidP="00A45B22">
      <w:pPr>
        <w:spacing w:after="0" w:line="240" w:lineRule="auto"/>
      </w:pPr>
      <w:r>
        <w:continuationSeparator/>
      </w:r>
    </w:p>
    <w:p w14:paraId="1136E303" w14:textId="77777777" w:rsidR="0043648C" w:rsidRDefault="0043648C"/>
  </w:endnote>
  <w:endnote w:type="continuationNotice" w:id="1">
    <w:p w14:paraId="4B112044" w14:textId="77777777" w:rsidR="0043648C" w:rsidRDefault="0043648C">
      <w:pPr>
        <w:spacing w:after="0" w:line="240" w:lineRule="auto"/>
      </w:pPr>
    </w:p>
    <w:p w14:paraId="6B0FBCE6" w14:textId="77777777" w:rsidR="0043648C" w:rsidRDefault="00436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D9A0" w14:textId="6096D422" w:rsidR="00D7723B" w:rsidRDefault="00D7723B">
    <w:pPr>
      <w:pStyle w:val="Footer"/>
    </w:pPr>
    <w:r>
      <w:rPr>
        <w:noProof/>
      </w:rPr>
      <mc:AlternateContent>
        <mc:Choice Requires="wps">
          <w:drawing>
            <wp:anchor distT="0" distB="0" distL="0" distR="0" simplePos="0" relativeHeight="251658241" behindDoc="0" locked="0" layoutInCell="1" allowOverlap="1" wp14:anchorId="15550D7F" wp14:editId="15ABA897">
              <wp:simplePos x="635" y="635"/>
              <wp:positionH relativeFrom="leftMargin">
                <wp:align>left</wp:align>
              </wp:positionH>
              <wp:positionV relativeFrom="paragraph">
                <wp:posOffset>635</wp:posOffset>
              </wp:positionV>
              <wp:extent cx="443865" cy="443865"/>
              <wp:effectExtent l="0" t="0" r="6350" b="17145"/>
              <wp:wrapSquare wrapText="bothSides"/>
              <wp:docPr id="2" name="Text Box 2" descr="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4C19E" w14:textId="3DC4A776" w:rsidR="00D7723B" w:rsidRPr="00D7723B" w:rsidRDefault="00D7723B">
                          <w:pPr>
                            <w:rPr>
                              <w:rFonts w:ascii="Calibri" w:eastAsia="Calibri" w:hAnsi="Calibri" w:cs="Calibri"/>
                              <w:color w:val="000000"/>
                              <w:sz w:val="20"/>
                              <w:szCs w:val="20"/>
                            </w:rPr>
                          </w:pPr>
                          <w:r>
                            <w:rPr>
                              <w:rFonts w:ascii="Calibri" w:hAnsi="Calibri"/>
                              <w:color w:val="000000"/>
                              <w:sz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5550D7F" id="_x0000_t202" coordsize="21600,21600" o:spt="202" path="m,l,21600r21600,l21600,xe">
              <v:stroke joinstyle="miter"/>
              <v:path gradientshapeok="t" o:connecttype="rect"/>
            </v:shapetype>
            <v:shape id="Text Box 2" o:spid="_x0000_s1026" type="#_x0000_t202" alt="Public"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944C19E" w14:textId="3DC4A776" w:rsidR="00D7723B" w:rsidRPr="00D7723B" w:rsidRDefault="00D7723B">
                    <w:pPr>
                      <w:rPr>
                        <w:rFonts w:ascii="Calibri" w:eastAsia="Calibri" w:hAnsi="Calibri" w:cs="Calibri"/>
                        <w:color w:val="000000"/>
                        <w:sz w:val="20"/>
                        <w:szCs w:val="20"/>
                      </w:rPr>
                    </w:pPr>
                    <w:r>
                      <w:rPr>
                        <w:rFonts w:ascii="Calibri" w:hAnsi="Calibri"/>
                        <w:color w:val="000000"/>
                        <w:sz w:val="20"/>
                      </w:rPr>
                      <w:t>Public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36035115"/>
      <w:docPartObj>
        <w:docPartGallery w:val="Page Numbers (Bottom of Page)"/>
        <w:docPartUnique/>
      </w:docPartObj>
    </w:sdtPr>
    <w:sdtEndPr/>
    <w:sdtContent>
      <w:p w14:paraId="5A55D15D" w14:textId="27D0CDDD" w:rsidR="00EA72FB" w:rsidRPr="009709FB" w:rsidRDefault="00EA72FB">
        <w:pPr>
          <w:pStyle w:val="Footer"/>
          <w:jc w:val="right"/>
          <w:rPr>
            <w:sz w:val="18"/>
            <w:szCs w:val="18"/>
          </w:rPr>
        </w:pPr>
        <w:r>
          <w:rPr>
            <w:sz w:val="18"/>
          </w:rPr>
          <w:t xml:space="preserve">Page | </w:t>
        </w:r>
        <w:r w:rsidRPr="009709FB">
          <w:rPr>
            <w:sz w:val="18"/>
          </w:rPr>
          <w:fldChar w:fldCharType="begin"/>
        </w:r>
        <w:r w:rsidRPr="009709FB">
          <w:rPr>
            <w:sz w:val="18"/>
          </w:rPr>
          <w:instrText xml:space="preserve"> PAGE   \* MERGEFORMAT </w:instrText>
        </w:r>
        <w:r w:rsidRPr="009709FB">
          <w:rPr>
            <w:sz w:val="18"/>
          </w:rPr>
          <w:fldChar w:fldCharType="separate"/>
        </w:r>
        <w:r w:rsidRPr="009709FB">
          <w:rPr>
            <w:sz w:val="18"/>
          </w:rPr>
          <w:t>2</w:t>
        </w:r>
        <w:r w:rsidRPr="009709FB">
          <w:rPr>
            <w:sz w:val="18"/>
          </w:rPr>
          <w:fldChar w:fldCharType="end"/>
        </w:r>
        <w:r>
          <w:rPr>
            <w:sz w:val="18"/>
          </w:rPr>
          <w:t xml:space="preserve"> </w:t>
        </w:r>
      </w:p>
    </w:sdtContent>
  </w:sdt>
  <w:p w14:paraId="3FC45078" w14:textId="4C56F0D9" w:rsidR="00D7723B" w:rsidRPr="009709FB" w:rsidRDefault="002F2876" w:rsidP="00ED2B59">
    <w:pPr>
      <w:pStyle w:val="Footer"/>
      <w:jc w:val="center"/>
      <w:rPr>
        <w:sz w:val="18"/>
        <w:szCs w:val="18"/>
      </w:rPr>
    </w:pPr>
    <w:r>
      <w:rPr>
        <w:sz w:val="18"/>
      </w:rPr>
      <w:t>Procédures opérationnelles normalisées pour l'approvisionnement du PSF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E851" w14:textId="19EC338D" w:rsidR="00D7723B" w:rsidRDefault="00D7723B">
    <w:pPr>
      <w:pStyle w:val="Footer"/>
    </w:pPr>
    <w:r>
      <w:rPr>
        <w:noProof/>
      </w:rPr>
      <mc:AlternateContent>
        <mc:Choice Requires="wps">
          <w:drawing>
            <wp:anchor distT="0" distB="0" distL="0" distR="0" simplePos="0" relativeHeight="251658240" behindDoc="0" locked="0" layoutInCell="1" allowOverlap="1" wp14:anchorId="15825CD3" wp14:editId="1F70076D">
              <wp:simplePos x="635" y="635"/>
              <wp:positionH relativeFrom="leftMargin">
                <wp:align>left</wp:align>
              </wp:positionH>
              <wp:positionV relativeFrom="paragraph">
                <wp:posOffset>635</wp:posOffset>
              </wp:positionV>
              <wp:extent cx="443865" cy="443865"/>
              <wp:effectExtent l="0" t="0" r="6350" b="17145"/>
              <wp:wrapSquare wrapText="bothSides"/>
              <wp:docPr id="1" name="Text Box 1" descr="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5E9123" w14:textId="1DF2CF5F" w:rsidR="00D7723B" w:rsidRPr="00D7723B" w:rsidRDefault="00D7723B">
                          <w:pPr>
                            <w:rPr>
                              <w:rFonts w:ascii="Calibri" w:eastAsia="Calibri" w:hAnsi="Calibri" w:cs="Calibri"/>
                              <w:color w:val="000000"/>
                              <w:sz w:val="20"/>
                              <w:szCs w:val="20"/>
                            </w:rPr>
                          </w:pPr>
                          <w:r>
                            <w:rPr>
                              <w:rFonts w:ascii="Calibri" w:hAnsi="Calibri"/>
                              <w:color w:val="000000"/>
                              <w:sz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5825CD3" id="_x0000_t202" coordsize="21600,21600" o:spt="202" path="m,l,21600r21600,l21600,xe">
              <v:stroke joinstyle="miter"/>
              <v:path gradientshapeok="t" o:connecttype="rect"/>
            </v:shapetype>
            <v:shape id="Text Box 1" o:spid="_x0000_s1027" type="#_x0000_t202" alt="Public"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35E9123" w14:textId="1DF2CF5F" w:rsidR="00D7723B" w:rsidRPr="00D7723B" w:rsidRDefault="00D7723B">
                    <w:pPr>
                      <w:rPr>
                        <w:rFonts w:ascii="Calibri" w:eastAsia="Calibri" w:hAnsi="Calibri" w:cs="Calibri"/>
                        <w:color w:val="000000"/>
                        <w:sz w:val="20"/>
                        <w:szCs w:val="20"/>
                      </w:rPr>
                    </w:pPr>
                    <w:r>
                      <w:rPr>
                        <w:rFonts w:ascii="Calibri" w:hAnsi="Calibri"/>
                        <w:color w:val="000000"/>
                        <w:sz w:val="20"/>
                      </w:rPr>
                      <w:t>Public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A314D" w14:textId="77777777" w:rsidR="0043648C" w:rsidRDefault="0043648C" w:rsidP="00A45B22">
      <w:pPr>
        <w:spacing w:after="0" w:line="240" w:lineRule="auto"/>
      </w:pPr>
      <w:r>
        <w:separator/>
      </w:r>
    </w:p>
  </w:footnote>
  <w:footnote w:type="continuationSeparator" w:id="0">
    <w:p w14:paraId="2DE8F914" w14:textId="77777777" w:rsidR="0043648C" w:rsidRDefault="0043648C" w:rsidP="00A45B22">
      <w:pPr>
        <w:spacing w:after="0" w:line="240" w:lineRule="auto"/>
      </w:pPr>
      <w:r>
        <w:continuationSeparator/>
      </w:r>
    </w:p>
    <w:p w14:paraId="5DA83740" w14:textId="77777777" w:rsidR="0043648C" w:rsidRDefault="0043648C"/>
  </w:footnote>
  <w:footnote w:type="continuationNotice" w:id="1">
    <w:p w14:paraId="0BE4A66D" w14:textId="77777777" w:rsidR="0043648C" w:rsidRDefault="0043648C">
      <w:pPr>
        <w:spacing w:after="0" w:line="240" w:lineRule="auto"/>
      </w:pPr>
    </w:p>
    <w:p w14:paraId="5DD14C48" w14:textId="77777777" w:rsidR="0043648C" w:rsidRDefault="0043648C"/>
  </w:footnote>
  <w:footnote w:id="2">
    <w:p w14:paraId="2331ABF9" w14:textId="37A3A794" w:rsidR="00E10C95" w:rsidRPr="009402FA" w:rsidRDefault="00E10C95">
      <w:pPr>
        <w:pStyle w:val="FootnoteText"/>
        <w:rPr>
          <w:sz w:val="18"/>
          <w:szCs w:val="18"/>
        </w:rPr>
      </w:pPr>
      <w:r w:rsidRPr="009402FA">
        <w:rPr>
          <w:rStyle w:val="FootnoteReference"/>
          <w:sz w:val="18"/>
          <w:szCs w:val="18"/>
        </w:rPr>
        <w:footnoteRef/>
      </w:r>
      <w:r w:rsidRPr="009402FA">
        <w:rPr>
          <w:sz w:val="18"/>
          <w:szCs w:val="18"/>
        </w:rPr>
        <w:t xml:space="preserve"> Joyce Eldoret, bénéficiaire de KRCS, reçoit une allocation en espèces de 3 000 KES dans le cadre d'un programme de transferts monétaires dans le cadre de la réponse à la sécheresse, par le biais de l'argent mobile avec </w:t>
      </w:r>
      <w:proofErr w:type="spellStart"/>
      <w:r w:rsidRPr="009402FA">
        <w:rPr>
          <w:sz w:val="18"/>
          <w:szCs w:val="18"/>
        </w:rPr>
        <w:t>MPesa</w:t>
      </w:r>
      <w:proofErr w:type="spellEnd"/>
      <w:r w:rsidRPr="009402FA">
        <w:rPr>
          <w:sz w:val="18"/>
          <w:szCs w:val="18"/>
        </w:rPr>
        <w:t xml:space="preserve">. </w:t>
      </w:r>
      <w:proofErr w:type="spellStart"/>
      <w:r w:rsidRPr="009402FA">
        <w:rPr>
          <w:sz w:val="18"/>
          <w:szCs w:val="18"/>
        </w:rPr>
        <w:t>Lokori</w:t>
      </w:r>
      <w:proofErr w:type="spellEnd"/>
      <w:r w:rsidRPr="009402FA">
        <w:rPr>
          <w:sz w:val="18"/>
          <w:szCs w:val="18"/>
        </w:rPr>
        <w:t>, Comté de Turkana, Kenya</w:t>
      </w:r>
    </w:p>
  </w:footnote>
  <w:footnote w:id="3">
    <w:p w14:paraId="2EE319FF" w14:textId="55B760DB" w:rsidR="00424360" w:rsidRPr="009402FA" w:rsidRDefault="00424360">
      <w:pPr>
        <w:pStyle w:val="FootnoteText"/>
        <w:rPr>
          <w:sz w:val="18"/>
          <w:szCs w:val="18"/>
        </w:rPr>
      </w:pPr>
      <w:r w:rsidRPr="009402FA">
        <w:rPr>
          <w:rStyle w:val="FootnoteReference"/>
          <w:sz w:val="18"/>
          <w:szCs w:val="18"/>
        </w:rPr>
        <w:footnoteRef/>
      </w:r>
      <w:r w:rsidRPr="009402FA">
        <w:rPr>
          <w:sz w:val="18"/>
          <w:szCs w:val="18"/>
        </w:rPr>
        <w:t xml:space="preserve"> Il est donc recommandé que les SN engagent toujours une procédure conforme à la FICR pour l'acquisition des PSF, qui peuvent ensuite être utilisés dans tous les programmes des SN, y compris ceux soutenus par d'autres partenaires.</w:t>
      </w:r>
    </w:p>
  </w:footnote>
  <w:footnote w:id="4">
    <w:p w14:paraId="544B9C16" w14:textId="77EFC4B2" w:rsidR="00F0368D" w:rsidRPr="009402FA" w:rsidRDefault="00B45A21">
      <w:pPr>
        <w:pStyle w:val="FootnoteText"/>
        <w:rPr>
          <w:sz w:val="18"/>
          <w:szCs w:val="18"/>
        </w:rPr>
      </w:pPr>
      <w:r w:rsidRPr="009402FA">
        <w:rPr>
          <w:rStyle w:val="FootnoteReference"/>
          <w:sz w:val="18"/>
          <w:szCs w:val="18"/>
        </w:rPr>
        <w:footnoteRef/>
      </w:r>
      <w:r w:rsidRPr="009402FA">
        <w:rPr>
          <w:sz w:val="18"/>
          <w:szCs w:val="18"/>
        </w:rPr>
        <w:t xml:space="preserve"> Certaines SN peuvent avoir mis en place un contrat de service avec des PSF valable pour un seul projet, alors qu'un accord-cadre est un contrat destiné à être utilisé pour des situations répétées.</w:t>
      </w:r>
    </w:p>
  </w:footnote>
  <w:footnote w:id="5">
    <w:p w14:paraId="1C9F2799" w14:textId="77777777" w:rsidR="005B6522" w:rsidRPr="009402FA" w:rsidRDefault="005B6522" w:rsidP="005B6522">
      <w:pPr>
        <w:pStyle w:val="FootnoteText"/>
        <w:rPr>
          <w:sz w:val="18"/>
          <w:szCs w:val="18"/>
        </w:rPr>
      </w:pPr>
      <w:r w:rsidRPr="009402FA">
        <w:rPr>
          <w:rStyle w:val="FootnoteReference"/>
          <w:sz w:val="18"/>
          <w:szCs w:val="18"/>
        </w:rPr>
        <w:footnoteRef/>
      </w:r>
      <w:r w:rsidRPr="009402FA">
        <w:rPr>
          <w:sz w:val="18"/>
          <w:szCs w:val="18"/>
        </w:rPr>
        <w:t xml:space="preserve"> Adopté de l'Africa LPSCM - </w:t>
      </w:r>
      <w:proofErr w:type="spellStart"/>
      <w:r w:rsidRPr="009402FA">
        <w:rPr>
          <w:sz w:val="18"/>
          <w:szCs w:val="18"/>
        </w:rPr>
        <w:t>Procurement</w:t>
      </w:r>
      <w:proofErr w:type="spellEnd"/>
      <w:r w:rsidRPr="009402FA">
        <w:rPr>
          <w:sz w:val="18"/>
          <w:szCs w:val="18"/>
        </w:rPr>
        <w:t xml:space="preserve"> Guideline</w:t>
      </w:r>
    </w:p>
  </w:footnote>
  <w:footnote w:id="6">
    <w:p w14:paraId="6EBC1B6E" w14:textId="7AB538C1" w:rsidR="00496316" w:rsidRPr="009402FA" w:rsidRDefault="00496316" w:rsidP="001F24BD">
      <w:pPr>
        <w:spacing w:after="0"/>
        <w:rPr>
          <w:sz w:val="18"/>
          <w:szCs w:val="18"/>
        </w:rPr>
      </w:pPr>
      <w:r w:rsidRPr="009402FA">
        <w:rPr>
          <w:rStyle w:val="FootnoteReference"/>
          <w:sz w:val="18"/>
          <w:szCs w:val="18"/>
        </w:rPr>
        <w:footnoteRef/>
      </w:r>
      <w:r w:rsidRPr="009402FA">
        <w:rPr>
          <w:sz w:val="18"/>
          <w:szCs w:val="18"/>
        </w:rPr>
        <w:t xml:space="preserve"> </w:t>
      </w:r>
      <w:r w:rsidRPr="009402FA">
        <w:rPr>
          <w:rStyle w:val="FootnoteTextChar"/>
          <w:b/>
          <w:sz w:val="18"/>
          <w:szCs w:val="18"/>
        </w:rPr>
        <w:t>Réunion de lancement :</w:t>
      </w:r>
      <w:r w:rsidRPr="009402FA">
        <w:rPr>
          <w:rStyle w:val="FootnoteTextChar"/>
          <w:sz w:val="18"/>
          <w:szCs w:val="18"/>
        </w:rPr>
        <w:t xml:space="preserve"> Les programmes dirigés par les points focaux des TM des SN et des Clusters doivent organiser une série de réunions avec les services Logistique, Finances et TIC (et éventuellement le service juridique) avant d'entamer le processus de passation de marchés et de discuter : du processus de passation de marchés et des exigences de conformité, des détails du programme (c'est-à-dire de ce qui est nécessaire pour distribuer des fonds dans les zones opérationnelles des SN), de la cartographie et de l'identification des PSF (effectuées lors de l'étude de faisabilité), et des exigences en matière de services financiers, y compris la protection des données.</w:t>
      </w:r>
      <w:r w:rsidRPr="009402FA">
        <w:rPr>
          <w:sz w:val="18"/>
          <w:szCs w:val="18"/>
        </w:rPr>
        <w:t xml:space="preserve"> </w:t>
      </w:r>
    </w:p>
  </w:footnote>
  <w:footnote w:id="7">
    <w:p w14:paraId="54EB1571" w14:textId="36CB6BEE" w:rsidR="000B405A" w:rsidRPr="009402FA" w:rsidRDefault="000B405A" w:rsidP="000B405A">
      <w:pPr>
        <w:pStyle w:val="FootnoteText"/>
        <w:rPr>
          <w:sz w:val="18"/>
          <w:szCs w:val="18"/>
        </w:rPr>
      </w:pPr>
      <w:r w:rsidRPr="009402FA">
        <w:rPr>
          <w:rStyle w:val="FootnoteReference"/>
          <w:sz w:val="18"/>
          <w:szCs w:val="18"/>
        </w:rPr>
        <w:footnoteRef/>
      </w:r>
      <w:r w:rsidRPr="009402FA">
        <w:rPr>
          <w:sz w:val="18"/>
          <w:szCs w:val="18"/>
        </w:rPr>
        <w:t xml:space="preserve"> </w:t>
      </w:r>
      <w:hyperlink r:id="rId1" w:history="1">
        <w:r w:rsidRPr="009402FA">
          <w:rPr>
            <w:rStyle w:val="Hyperlink"/>
            <w:sz w:val="18"/>
            <w:szCs w:val="18"/>
          </w:rPr>
          <w:t>https://www.calpnetwork.org/resources/glossary-of-terms/</w:t>
        </w:r>
      </w:hyperlink>
      <w:r w:rsidRPr="009402FA">
        <w:rPr>
          <w:sz w:val="18"/>
          <w:szCs w:val="18"/>
        </w:rPr>
        <w:t xml:space="preserve"> et le manuel de passation des marchés de la FICR </w:t>
      </w:r>
      <w:hyperlink r:id="rId2" w:history="1">
        <w:r w:rsidRPr="009402FA">
          <w:rPr>
            <w:rStyle w:val="Hyperlink"/>
            <w:sz w:val="18"/>
            <w:szCs w:val="18"/>
          </w:rPr>
          <w:t>https://cash-hub.org/resource/ifrc-procurement-manual/</w:t>
        </w:r>
      </w:hyperlink>
      <w:r w:rsidRPr="009402FA">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AAD9" w14:textId="70FFD341" w:rsidR="008D38A9" w:rsidRDefault="008D38A9" w:rsidP="00841458">
    <w:pPr>
      <w:pStyle w:val="Header"/>
      <w:jc w:val="center"/>
    </w:pPr>
    <w:r>
      <w:rPr>
        <w:noProof/>
      </w:rPr>
      <w:drawing>
        <wp:inline distT="0" distB="0" distL="0" distR="0" wp14:anchorId="21585190" wp14:editId="7F0D4A76">
          <wp:extent cx="1760960" cy="575567"/>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2275" t="19205" r="10778" b="25165"/>
                  <a:stretch/>
                </pic:blipFill>
                <pic:spPr bwMode="auto">
                  <a:xfrm>
                    <a:off x="0" y="0"/>
                    <a:ext cx="1767122" cy="57758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C14"/>
    <w:multiLevelType w:val="hybridMultilevel"/>
    <w:tmpl w:val="B78AD51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C1FB8"/>
    <w:multiLevelType w:val="hybridMultilevel"/>
    <w:tmpl w:val="389ADDF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C536C62"/>
    <w:multiLevelType w:val="hybridMultilevel"/>
    <w:tmpl w:val="6B1EB71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E14F51"/>
    <w:multiLevelType w:val="hybridMultilevel"/>
    <w:tmpl w:val="309C60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9E759B6"/>
    <w:multiLevelType w:val="hybridMultilevel"/>
    <w:tmpl w:val="F75418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B0D0390"/>
    <w:multiLevelType w:val="hybridMultilevel"/>
    <w:tmpl w:val="94A63E3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F80225F"/>
    <w:multiLevelType w:val="hybridMultilevel"/>
    <w:tmpl w:val="84A076A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2B3535E"/>
    <w:multiLevelType w:val="hybridMultilevel"/>
    <w:tmpl w:val="E5847EF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5613F02"/>
    <w:multiLevelType w:val="multilevel"/>
    <w:tmpl w:val="D78C98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945076C"/>
    <w:multiLevelType w:val="hybridMultilevel"/>
    <w:tmpl w:val="BF5E03F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8A26ECC"/>
    <w:multiLevelType w:val="multilevel"/>
    <w:tmpl w:val="3FE2469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8A84D18"/>
    <w:multiLevelType w:val="hybridMultilevel"/>
    <w:tmpl w:val="9FF4F33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39801DF0"/>
    <w:multiLevelType w:val="hybridMultilevel"/>
    <w:tmpl w:val="46CA39F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A0C2F2D"/>
    <w:multiLevelType w:val="hybridMultilevel"/>
    <w:tmpl w:val="474CBE12"/>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CB112CA"/>
    <w:multiLevelType w:val="hybridMultilevel"/>
    <w:tmpl w:val="F9AA7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12B420B"/>
    <w:multiLevelType w:val="hybridMultilevel"/>
    <w:tmpl w:val="A2CC0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3EC67C6"/>
    <w:multiLevelType w:val="hybridMultilevel"/>
    <w:tmpl w:val="B0FA001E"/>
    <w:lvl w:ilvl="0" w:tplc="F99ED3C0">
      <w:start w:val="1"/>
      <w:numFmt w:val="lowerLetter"/>
      <w:lvlText w:val="%1."/>
      <w:lvlJc w:val="left"/>
      <w:pPr>
        <w:ind w:left="720" w:hanging="360"/>
      </w:pPr>
    </w:lvl>
    <w:lvl w:ilvl="1" w:tplc="19A2DA3C">
      <w:start w:val="1"/>
      <w:numFmt w:val="lowerLetter"/>
      <w:lvlText w:val="%2."/>
      <w:lvlJc w:val="left"/>
      <w:pPr>
        <w:ind w:left="1440" w:hanging="360"/>
      </w:pPr>
    </w:lvl>
    <w:lvl w:ilvl="2" w:tplc="AF144978">
      <w:start w:val="1"/>
      <w:numFmt w:val="lowerRoman"/>
      <w:lvlText w:val="%3."/>
      <w:lvlJc w:val="right"/>
      <w:pPr>
        <w:ind w:left="2160" w:hanging="180"/>
      </w:pPr>
    </w:lvl>
    <w:lvl w:ilvl="3" w:tplc="08121A42">
      <w:start w:val="1"/>
      <w:numFmt w:val="decimal"/>
      <w:lvlText w:val="%4."/>
      <w:lvlJc w:val="left"/>
      <w:pPr>
        <w:ind w:left="2880" w:hanging="360"/>
      </w:pPr>
    </w:lvl>
    <w:lvl w:ilvl="4" w:tplc="CE66A702">
      <w:start w:val="1"/>
      <w:numFmt w:val="lowerLetter"/>
      <w:lvlText w:val="%5."/>
      <w:lvlJc w:val="left"/>
      <w:pPr>
        <w:ind w:left="3600" w:hanging="360"/>
      </w:pPr>
    </w:lvl>
    <w:lvl w:ilvl="5" w:tplc="9AF05192">
      <w:start w:val="1"/>
      <w:numFmt w:val="lowerRoman"/>
      <w:lvlText w:val="%6."/>
      <w:lvlJc w:val="right"/>
      <w:pPr>
        <w:ind w:left="4320" w:hanging="180"/>
      </w:pPr>
    </w:lvl>
    <w:lvl w:ilvl="6" w:tplc="B2A29EB6">
      <w:start w:val="1"/>
      <w:numFmt w:val="decimal"/>
      <w:lvlText w:val="%7."/>
      <w:lvlJc w:val="left"/>
      <w:pPr>
        <w:ind w:left="5040" w:hanging="360"/>
      </w:pPr>
    </w:lvl>
    <w:lvl w:ilvl="7" w:tplc="13C02CFC">
      <w:start w:val="1"/>
      <w:numFmt w:val="lowerLetter"/>
      <w:lvlText w:val="%8."/>
      <w:lvlJc w:val="left"/>
      <w:pPr>
        <w:ind w:left="5760" w:hanging="360"/>
      </w:pPr>
    </w:lvl>
    <w:lvl w:ilvl="8" w:tplc="431E5116">
      <w:start w:val="1"/>
      <w:numFmt w:val="lowerRoman"/>
      <w:lvlText w:val="%9."/>
      <w:lvlJc w:val="right"/>
      <w:pPr>
        <w:ind w:left="6480" w:hanging="180"/>
      </w:pPr>
    </w:lvl>
  </w:abstractNum>
  <w:abstractNum w:abstractNumId="17" w15:restartNumberingAfterBreak="0">
    <w:nsid w:val="54EA5CC0"/>
    <w:multiLevelType w:val="hybridMultilevel"/>
    <w:tmpl w:val="DE2E0A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7726CBA"/>
    <w:multiLevelType w:val="hybridMultilevel"/>
    <w:tmpl w:val="F50C5684"/>
    <w:lvl w:ilvl="0" w:tplc="0406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93656C"/>
    <w:multiLevelType w:val="hybridMultilevel"/>
    <w:tmpl w:val="50703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69F3405"/>
    <w:multiLevelType w:val="hybridMultilevel"/>
    <w:tmpl w:val="A03EEB0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6E6E443F"/>
    <w:multiLevelType w:val="hybridMultilevel"/>
    <w:tmpl w:val="B532D270"/>
    <w:lvl w:ilvl="0" w:tplc="040C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F056EB7"/>
    <w:multiLevelType w:val="hybridMultilevel"/>
    <w:tmpl w:val="20A6E5F4"/>
    <w:lvl w:ilvl="0" w:tplc="D1D08DD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45542"/>
    <w:multiLevelType w:val="hybridMultilevel"/>
    <w:tmpl w:val="C9DA694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D394F1B"/>
    <w:multiLevelType w:val="hybridMultilevel"/>
    <w:tmpl w:val="4FD87EDA"/>
    <w:lvl w:ilvl="0" w:tplc="540A9A7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16"/>
  </w:num>
  <w:num w:numId="2">
    <w:abstractNumId w:val="25"/>
  </w:num>
  <w:num w:numId="3">
    <w:abstractNumId w:val="19"/>
  </w:num>
  <w:num w:numId="4">
    <w:abstractNumId w:val="14"/>
  </w:num>
  <w:num w:numId="5">
    <w:abstractNumId w:val="10"/>
  </w:num>
  <w:num w:numId="6">
    <w:abstractNumId w:val="22"/>
  </w:num>
  <w:num w:numId="7">
    <w:abstractNumId w:val="18"/>
  </w:num>
  <w:num w:numId="8">
    <w:abstractNumId w:val="21"/>
  </w:num>
  <w:num w:numId="9">
    <w:abstractNumId w:val="6"/>
  </w:num>
  <w:num w:numId="10">
    <w:abstractNumId w:val="11"/>
  </w:num>
  <w:num w:numId="11">
    <w:abstractNumId w:val="1"/>
  </w:num>
  <w:num w:numId="12">
    <w:abstractNumId w:val="13"/>
  </w:num>
  <w:num w:numId="13">
    <w:abstractNumId w:val="8"/>
  </w:num>
  <w:num w:numId="14">
    <w:abstractNumId w:val="15"/>
  </w:num>
  <w:num w:numId="15">
    <w:abstractNumId w:val="23"/>
  </w:num>
  <w:num w:numId="16">
    <w:abstractNumId w:val="20"/>
  </w:num>
  <w:num w:numId="17">
    <w:abstractNumId w:val="5"/>
  </w:num>
  <w:num w:numId="18">
    <w:abstractNumId w:val="0"/>
  </w:num>
  <w:num w:numId="19">
    <w:abstractNumId w:val="12"/>
  </w:num>
  <w:num w:numId="20">
    <w:abstractNumId w:val="4"/>
  </w:num>
  <w:num w:numId="21">
    <w:abstractNumId w:val="24"/>
  </w:num>
  <w:num w:numId="22">
    <w:abstractNumId w:val="3"/>
  </w:num>
  <w:num w:numId="23">
    <w:abstractNumId w:val="2"/>
  </w:num>
  <w:num w:numId="24">
    <w:abstractNumId w:val="3"/>
  </w:num>
  <w:num w:numId="25">
    <w:abstractNumId w:val="3"/>
  </w:num>
  <w:num w:numId="26">
    <w:abstractNumId w:val="3"/>
  </w:num>
  <w:num w:numId="27">
    <w:abstractNumId w:val="17"/>
  </w:num>
  <w:num w:numId="28">
    <w:abstractNumId w:val="9"/>
  </w:num>
  <w:num w:numId="2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B22"/>
    <w:rsid w:val="000002A0"/>
    <w:rsid w:val="000008BB"/>
    <w:rsid w:val="00001465"/>
    <w:rsid w:val="000032D6"/>
    <w:rsid w:val="00006868"/>
    <w:rsid w:val="000068A9"/>
    <w:rsid w:val="00007DB7"/>
    <w:rsid w:val="00011314"/>
    <w:rsid w:val="000123F4"/>
    <w:rsid w:val="00023019"/>
    <w:rsid w:val="00023E38"/>
    <w:rsid w:val="000300FF"/>
    <w:rsid w:val="00031383"/>
    <w:rsid w:val="00042441"/>
    <w:rsid w:val="00046F09"/>
    <w:rsid w:val="00050169"/>
    <w:rsid w:val="00064235"/>
    <w:rsid w:val="0006550B"/>
    <w:rsid w:val="00081DCF"/>
    <w:rsid w:val="00084572"/>
    <w:rsid w:val="00094182"/>
    <w:rsid w:val="00096719"/>
    <w:rsid w:val="00097FFD"/>
    <w:rsid w:val="000A0435"/>
    <w:rsid w:val="000A132E"/>
    <w:rsid w:val="000A26B5"/>
    <w:rsid w:val="000A39C2"/>
    <w:rsid w:val="000A3EF8"/>
    <w:rsid w:val="000A5A9D"/>
    <w:rsid w:val="000A7DB7"/>
    <w:rsid w:val="000B405A"/>
    <w:rsid w:val="000B569B"/>
    <w:rsid w:val="000B6975"/>
    <w:rsid w:val="000B6C4E"/>
    <w:rsid w:val="000B784A"/>
    <w:rsid w:val="000C0037"/>
    <w:rsid w:val="000C1232"/>
    <w:rsid w:val="000C3390"/>
    <w:rsid w:val="000C653F"/>
    <w:rsid w:val="000D4CC9"/>
    <w:rsid w:val="000D6379"/>
    <w:rsid w:val="000D6771"/>
    <w:rsid w:val="000D6D1A"/>
    <w:rsid w:val="000D704A"/>
    <w:rsid w:val="000E11E6"/>
    <w:rsid w:val="000E6240"/>
    <w:rsid w:val="000F398B"/>
    <w:rsid w:val="000F467A"/>
    <w:rsid w:val="000F4852"/>
    <w:rsid w:val="000F6EAF"/>
    <w:rsid w:val="0010204D"/>
    <w:rsid w:val="001101AF"/>
    <w:rsid w:val="001133F3"/>
    <w:rsid w:val="00113C0C"/>
    <w:rsid w:val="001153B1"/>
    <w:rsid w:val="00116001"/>
    <w:rsid w:val="001169E5"/>
    <w:rsid w:val="00117209"/>
    <w:rsid w:val="00121BFE"/>
    <w:rsid w:val="00125214"/>
    <w:rsid w:val="00126396"/>
    <w:rsid w:val="00132C38"/>
    <w:rsid w:val="001332D8"/>
    <w:rsid w:val="00134E53"/>
    <w:rsid w:val="00134EBF"/>
    <w:rsid w:val="0013552E"/>
    <w:rsid w:val="00137C99"/>
    <w:rsid w:val="00141E1D"/>
    <w:rsid w:val="0014452D"/>
    <w:rsid w:val="00145CB0"/>
    <w:rsid w:val="0014797F"/>
    <w:rsid w:val="00152F73"/>
    <w:rsid w:val="00155E48"/>
    <w:rsid w:val="00157E6E"/>
    <w:rsid w:val="0016272A"/>
    <w:rsid w:val="00163DCE"/>
    <w:rsid w:val="00171BEF"/>
    <w:rsid w:val="00171BF0"/>
    <w:rsid w:val="001721EE"/>
    <w:rsid w:val="001736B5"/>
    <w:rsid w:val="00173CA3"/>
    <w:rsid w:val="00174F1A"/>
    <w:rsid w:val="00175D15"/>
    <w:rsid w:val="001769AE"/>
    <w:rsid w:val="00177673"/>
    <w:rsid w:val="00180D87"/>
    <w:rsid w:val="0018711D"/>
    <w:rsid w:val="00190A3F"/>
    <w:rsid w:val="00190E04"/>
    <w:rsid w:val="00191E8F"/>
    <w:rsid w:val="00192DE5"/>
    <w:rsid w:val="001946E1"/>
    <w:rsid w:val="00195211"/>
    <w:rsid w:val="001A1FDB"/>
    <w:rsid w:val="001A241F"/>
    <w:rsid w:val="001A272F"/>
    <w:rsid w:val="001B1948"/>
    <w:rsid w:val="001B4714"/>
    <w:rsid w:val="001B53DF"/>
    <w:rsid w:val="001B5AE9"/>
    <w:rsid w:val="001B687D"/>
    <w:rsid w:val="001C09DE"/>
    <w:rsid w:val="001C472E"/>
    <w:rsid w:val="001C6634"/>
    <w:rsid w:val="001D11F7"/>
    <w:rsid w:val="001D46C9"/>
    <w:rsid w:val="001D4A65"/>
    <w:rsid w:val="001D5B6C"/>
    <w:rsid w:val="001D7DB4"/>
    <w:rsid w:val="001E032A"/>
    <w:rsid w:val="001E14FE"/>
    <w:rsid w:val="001E7A43"/>
    <w:rsid w:val="001F042E"/>
    <w:rsid w:val="001F24BD"/>
    <w:rsid w:val="001F24D4"/>
    <w:rsid w:val="001F2B4A"/>
    <w:rsid w:val="001F2FB1"/>
    <w:rsid w:val="001F302F"/>
    <w:rsid w:val="001F4597"/>
    <w:rsid w:val="001F5077"/>
    <w:rsid w:val="00201E58"/>
    <w:rsid w:val="00203CC3"/>
    <w:rsid w:val="0021047A"/>
    <w:rsid w:val="0021231B"/>
    <w:rsid w:val="002134A2"/>
    <w:rsid w:val="0021616D"/>
    <w:rsid w:val="00227303"/>
    <w:rsid w:val="00227B33"/>
    <w:rsid w:val="00227EE8"/>
    <w:rsid w:val="00230190"/>
    <w:rsid w:val="00235FA9"/>
    <w:rsid w:val="00240CB0"/>
    <w:rsid w:val="002427FB"/>
    <w:rsid w:val="00244C5A"/>
    <w:rsid w:val="00245B43"/>
    <w:rsid w:val="002473C7"/>
    <w:rsid w:val="00247BC6"/>
    <w:rsid w:val="00247DB0"/>
    <w:rsid w:val="00250946"/>
    <w:rsid w:val="0025164F"/>
    <w:rsid w:val="00252330"/>
    <w:rsid w:val="0025385A"/>
    <w:rsid w:val="00254134"/>
    <w:rsid w:val="00257CFA"/>
    <w:rsid w:val="00263FB4"/>
    <w:rsid w:val="00265358"/>
    <w:rsid w:val="00270170"/>
    <w:rsid w:val="00272286"/>
    <w:rsid w:val="00272C59"/>
    <w:rsid w:val="00274D3B"/>
    <w:rsid w:val="002800A9"/>
    <w:rsid w:val="00280944"/>
    <w:rsid w:val="00280E83"/>
    <w:rsid w:val="002815DF"/>
    <w:rsid w:val="002839E7"/>
    <w:rsid w:val="00284950"/>
    <w:rsid w:val="00286194"/>
    <w:rsid w:val="00286D96"/>
    <w:rsid w:val="0029157B"/>
    <w:rsid w:val="0029348E"/>
    <w:rsid w:val="00293CC5"/>
    <w:rsid w:val="002945CB"/>
    <w:rsid w:val="002951D2"/>
    <w:rsid w:val="0029568D"/>
    <w:rsid w:val="00295B50"/>
    <w:rsid w:val="00295E1C"/>
    <w:rsid w:val="002A00B6"/>
    <w:rsid w:val="002A0141"/>
    <w:rsid w:val="002A0F00"/>
    <w:rsid w:val="002A18F2"/>
    <w:rsid w:val="002A6E9A"/>
    <w:rsid w:val="002B0153"/>
    <w:rsid w:val="002B58F4"/>
    <w:rsid w:val="002B6B06"/>
    <w:rsid w:val="002C220A"/>
    <w:rsid w:val="002C7D7D"/>
    <w:rsid w:val="002D1638"/>
    <w:rsid w:val="002D2D4B"/>
    <w:rsid w:val="002D5E3A"/>
    <w:rsid w:val="002D773C"/>
    <w:rsid w:val="002E013F"/>
    <w:rsid w:val="002E0DD5"/>
    <w:rsid w:val="002E0EBA"/>
    <w:rsid w:val="002E249A"/>
    <w:rsid w:val="002F19C2"/>
    <w:rsid w:val="002F2876"/>
    <w:rsid w:val="002F5328"/>
    <w:rsid w:val="00300FE0"/>
    <w:rsid w:val="003054FD"/>
    <w:rsid w:val="003072F4"/>
    <w:rsid w:val="003102EA"/>
    <w:rsid w:val="00327F08"/>
    <w:rsid w:val="00330454"/>
    <w:rsid w:val="0033243B"/>
    <w:rsid w:val="00334DCE"/>
    <w:rsid w:val="003365E0"/>
    <w:rsid w:val="0034245D"/>
    <w:rsid w:val="00343249"/>
    <w:rsid w:val="00343AE2"/>
    <w:rsid w:val="00344D9E"/>
    <w:rsid w:val="00347E24"/>
    <w:rsid w:val="00351EF2"/>
    <w:rsid w:val="0036238E"/>
    <w:rsid w:val="00362B10"/>
    <w:rsid w:val="003643E6"/>
    <w:rsid w:val="0036575B"/>
    <w:rsid w:val="00370BF9"/>
    <w:rsid w:val="00371B64"/>
    <w:rsid w:val="00371F9F"/>
    <w:rsid w:val="003726E6"/>
    <w:rsid w:val="00373EF5"/>
    <w:rsid w:val="00375568"/>
    <w:rsid w:val="003765F6"/>
    <w:rsid w:val="00377276"/>
    <w:rsid w:val="003807E0"/>
    <w:rsid w:val="00387C57"/>
    <w:rsid w:val="0039334B"/>
    <w:rsid w:val="003944DE"/>
    <w:rsid w:val="00394C81"/>
    <w:rsid w:val="003A0F9A"/>
    <w:rsid w:val="003A26B6"/>
    <w:rsid w:val="003A285C"/>
    <w:rsid w:val="003A4331"/>
    <w:rsid w:val="003B033D"/>
    <w:rsid w:val="003B0EB6"/>
    <w:rsid w:val="003B1EC3"/>
    <w:rsid w:val="003B3C57"/>
    <w:rsid w:val="003B4A90"/>
    <w:rsid w:val="003B4FA1"/>
    <w:rsid w:val="003C0522"/>
    <w:rsid w:val="003C074D"/>
    <w:rsid w:val="003C32A5"/>
    <w:rsid w:val="003C5777"/>
    <w:rsid w:val="003C725C"/>
    <w:rsid w:val="003D1070"/>
    <w:rsid w:val="003D1E4E"/>
    <w:rsid w:val="003D2BAB"/>
    <w:rsid w:val="003D3931"/>
    <w:rsid w:val="003E1FF6"/>
    <w:rsid w:val="003E6090"/>
    <w:rsid w:val="003E62CB"/>
    <w:rsid w:val="003E64CE"/>
    <w:rsid w:val="003F0AA7"/>
    <w:rsid w:val="003F1C3E"/>
    <w:rsid w:val="003F3914"/>
    <w:rsid w:val="003F4328"/>
    <w:rsid w:val="003F595E"/>
    <w:rsid w:val="003F72A2"/>
    <w:rsid w:val="004038C3"/>
    <w:rsid w:val="0040445A"/>
    <w:rsid w:val="00406DA1"/>
    <w:rsid w:val="00407120"/>
    <w:rsid w:val="00407C50"/>
    <w:rsid w:val="00410C0E"/>
    <w:rsid w:val="00413DED"/>
    <w:rsid w:val="00420BA6"/>
    <w:rsid w:val="00421769"/>
    <w:rsid w:val="00421F73"/>
    <w:rsid w:val="00423C31"/>
    <w:rsid w:val="00423F75"/>
    <w:rsid w:val="00424360"/>
    <w:rsid w:val="00424D7C"/>
    <w:rsid w:val="00431454"/>
    <w:rsid w:val="0043373D"/>
    <w:rsid w:val="00434529"/>
    <w:rsid w:val="004355DE"/>
    <w:rsid w:val="0043648C"/>
    <w:rsid w:val="004371A6"/>
    <w:rsid w:val="004469ED"/>
    <w:rsid w:val="00452846"/>
    <w:rsid w:val="00453CEB"/>
    <w:rsid w:val="00455D7D"/>
    <w:rsid w:val="00456C9F"/>
    <w:rsid w:val="004570BE"/>
    <w:rsid w:val="00457471"/>
    <w:rsid w:val="00460138"/>
    <w:rsid w:val="00461C78"/>
    <w:rsid w:val="00462C3A"/>
    <w:rsid w:val="00464419"/>
    <w:rsid w:val="00470D3E"/>
    <w:rsid w:val="00470FD0"/>
    <w:rsid w:val="004755F8"/>
    <w:rsid w:val="004765F0"/>
    <w:rsid w:val="00476AA4"/>
    <w:rsid w:val="00476BA0"/>
    <w:rsid w:val="0048087E"/>
    <w:rsid w:val="004820F1"/>
    <w:rsid w:val="0048493B"/>
    <w:rsid w:val="004905A3"/>
    <w:rsid w:val="00490C65"/>
    <w:rsid w:val="00493372"/>
    <w:rsid w:val="00496316"/>
    <w:rsid w:val="0049664E"/>
    <w:rsid w:val="004A13A3"/>
    <w:rsid w:val="004A74D1"/>
    <w:rsid w:val="004B1A1B"/>
    <w:rsid w:val="004B25BF"/>
    <w:rsid w:val="004B4A59"/>
    <w:rsid w:val="004B4C03"/>
    <w:rsid w:val="004B7125"/>
    <w:rsid w:val="004C27CC"/>
    <w:rsid w:val="004C534A"/>
    <w:rsid w:val="004D1D18"/>
    <w:rsid w:val="004E0C60"/>
    <w:rsid w:val="004E4217"/>
    <w:rsid w:val="004F1627"/>
    <w:rsid w:val="004F3947"/>
    <w:rsid w:val="004F749E"/>
    <w:rsid w:val="0050320A"/>
    <w:rsid w:val="005040A8"/>
    <w:rsid w:val="0050780E"/>
    <w:rsid w:val="0051325A"/>
    <w:rsid w:val="00513EDD"/>
    <w:rsid w:val="0051462B"/>
    <w:rsid w:val="00514C7E"/>
    <w:rsid w:val="00514E2E"/>
    <w:rsid w:val="00515EF6"/>
    <w:rsid w:val="00520D7E"/>
    <w:rsid w:val="005226F1"/>
    <w:rsid w:val="005243A4"/>
    <w:rsid w:val="00525024"/>
    <w:rsid w:val="00525556"/>
    <w:rsid w:val="005313BF"/>
    <w:rsid w:val="00535826"/>
    <w:rsid w:val="005367F5"/>
    <w:rsid w:val="00540F8F"/>
    <w:rsid w:val="005418D5"/>
    <w:rsid w:val="005445BE"/>
    <w:rsid w:val="00547EE4"/>
    <w:rsid w:val="005515B6"/>
    <w:rsid w:val="0055571F"/>
    <w:rsid w:val="00556275"/>
    <w:rsid w:val="00564EE1"/>
    <w:rsid w:val="00566792"/>
    <w:rsid w:val="00566914"/>
    <w:rsid w:val="005673AA"/>
    <w:rsid w:val="00570AA7"/>
    <w:rsid w:val="00571F58"/>
    <w:rsid w:val="005738C5"/>
    <w:rsid w:val="0057479A"/>
    <w:rsid w:val="00583282"/>
    <w:rsid w:val="005900E2"/>
    <w:rsid w:val="00590752"/>
    <w:rsid w:val="005952BE"/>
    <w:rsid w:val="00596202"/>
    <w:rsid w:val="00597D7D"/>
    <w:rsid w:val="005B01F4"/>
    <w:rsid w:val="005B24E9"/>
    <w:rsid w:val="005B3F18"/>
    <w:rsid w:val="005B4500"/>
    <w:rsid w:val="005B6522"/>
    <w:rsid w:val="005B718A"/>
    <w:rsid w:val="005C38AA"/>
    <w:rsid w:val="005C40FC"/>
    <w:rsid w:val="005C4D16"/>
    <w:rsid w:val="005C7610"/>
    <w:rsid w:val="005D26B8"/>
    <w:rsid w:val="005D41FB"/>
    <w:rsid w:val="005D4F3B"/>
    <w:rsid w:val="005D7C02"/>
    <w:rsid w:val="005E182C"/>
    <w:rsid w:val="005E287C"/>
    <w:rsid w:val="005E5B81"/>
    <w:rsid w:val="005E7235"/>
    <w:rsid w:val="005E7578"/>
    <w:rsid w:val="005F18F1"/>
    <w:rsid w:val="005F3037"/>
    <w:rsid w:val="005F42DD"/>
    <w:rsid w:val="005F7F2A"/>
    <w:rsid w:val="006020A8"/>
    <w:rsid w:val="006030F6"/>
    <w:rsid w:val="006045A4"/>
    <w:rsid w:val="006045BA"/>
    <w:rsid w:val="0060C9B5"/>
    <w:rsid w:val="00611F38"/>
    <w:rsid w:val="00613BB0"/>
    <w:rsid w:val="006168E3"/>
    <w:rsid w:val="00617A26"/>
    <w:rsid w:val="00621370"/>
    <w:rsid w:val="00623587"/>
    <w:rsid w:val="00632ADF"/>
    <w:rsid w:val="0063548D"/>
    <w:rsid w:val="006362F2"/>
    <w:rsid w:val="00636BB1"/>
    <w:rsid w:val="00641861"/>
    <w:rsid w:val="0064303E"/>
    <w:rsid w:val="0064569E"/>
    <w:rsid w:val="0064719B"/>
    <w:rsid w:val="006474C2"/>
    <w:rsid w:val="00650AFF"/>
    <w:rsid w:val="00653360"/>
    <w:rsid w:val="00655055"/>
    <w:rsid w:val="006555F6"/>
    <w:rsid w:val="006556DF"/>
    <w:rsid w:val="006556FD"/>
    <w:rsid w:val="0065708C"/>
    <w:rsid w:val="0066620C"/>
    <w:rsid w:val="006669FD"/>
    <w:rsid w:val="00666FE4"/>
    <w:rsid w:val="00667E5E"/>
    <w:rsid w:val="00674102"/>
    <w:rsid w:val="006806FE"/>
    <w:rsid w:val="00683A59"/>
    <w:rsid w:val="0068408F"/>
    <w:rsid w:val="00684E86"/>
    <w:rsid w:val="00687CFB"/>
    <w:rsid w:val="006942E3"/>
    <w:rsid w:val="006958B6"/>
    <w:rsid w:val="00697D64"/>
    <w:rsid w:val="006A29EA"/>
    <w:rsid w:val="006A3C8B"/>
    <w:rsid w:val="006B0443"/>
    <w:rsid w:val="006B3BE4"/>
    <w:rsid w:val="006B4276"/>
    <w:rsid w:val="006B5E3E"/>
    <w:rsid w:val="006B62A9"/>
    <w:rsid w:val="006C08EB"/>
    <w:rsid w:val="006C0DF2"/>
    <w:rsid w:val="006C3A15"/>
    <w:rsid w:val="006C63DE"/>
    <w:rsid w:val="006D0630"/>
    <w:rsid w:val="006D5160"/>
    <w:rsid w:val="006D7AB8"/>
    <w:rsid w:val="006E1A6F"/>
    <w:rsid w:val="006E1AA5"/>
    <w:rsid w:val="006E5C59"/>
    <w:rsid w:val="006E7C4C"/>
    <w:rsid w:val="006F0862"/>
    <w:rsid w:val="006F3E40"/>
    <w:rsid w:val="006F5173"/>
    <w:rsid w:val="00703E94"/>
    <w:rsid w:val="0070587E"/>
    <w:rsid w:val="00707273"/>
    <w:rsid w:val="007101A8"/>
    <w:rsid w:val="00722334"/>
    <w:rsid w:val="007251CF"/>
    <w:rsid w:val="00725F0B"/>
    <w:rsid w:val="0072700D"/>
    <w:rsid w:val="00730241"/>
    <w:rsid w:val="007306D5"/>
    <w:rsid w:val="007311BE"/>
    <w:rsid w:val="00732B17"/>
    <w:rsid w:val="0073519E"/>
    <w:rsid w:val="00741296"/>
    <w:rsid w:val="00743669"/>
    <w:rsid w:val="00743E6D"/>
    <w:rsid w:val="00745172"/>
    <w:rsid w:val="00747A8A"/>
    <w:rsid w:val="00750DAB"/>
    <w:rsid w:val="00755152"/>
    <w:rsid w:val="00761BE6"/>
    <w:rsid w:val="00763785"/>
    <w:rsid w:val="0076407C"/>
    <w:rsid w:val="0076414C"/>
    <w:rsid w:val="00765239"/>
    <w:rsid w:val="00773B63"/>
    <w:rsid w:val="007774BC"/>
    <w:rsid w:val="007779B0"/>
    <w:rsid w:val="00783A95"/>
    <w:rsid w:val="0078419D"/>
    <w:rsid w:val="00784F85"/>
    <w:rsid w:val="0078510A"/>
    <w:rsid w:val="00790EC0"/>
    <w:rsid w:val="00791AE1"/>
    <w:rsid w:val="00792ACA"/>
    <w:rsid w:val="00793A39"/>
    <w:rsid w:val="007A19B6"/>
    <w:rsid w:val="007A4169"/>
    <w:rsid w:val="007A6635"/>
    <w:rsid w:val="007A6A5A"/>
    <w:rsid w:val="007A70FE"/>
    <w:rsid w:val="007B1298"/>
    <w:rsid w:val="007B2462"/>
    <w:rsid w:val="007B2F2C"/>
    <w:rsid w:val="007B44C6"/>
    <w:rsid w:val="007B79C8"/>
    <w:rsid w:val="007C27C4"/>
    <w:rsid w:val="007C55F7"/>
    <w:rsid w:val="007D0F6D"/>
    <w:rsid w:val="007D264F"/>
    <w:rsid w:val="007D280C"/>
    <w:rsid w:val="007E0A70"/>
    <w:rsid w:val="007E1D00"/>
    <w:rsid w:val="007E3547"/>
    <w:rsid w:val="007E4052"/>
    <w:rsid w:val="007F02EB"/>
    <w:rsid w:val="007F1664"/>
    <w:rsid w:val="007F5320"/>
    <w:rsid w:val="007F5703"/>
    <w:rsid w:val="00801EE0"/>
    <w:rsid w:val="00801F21"/>
    <w:rsid w:val="00803D94"/>
    <w:rsid w:val="008044AD"/>
    <w:rsid w:val="008057C4"/>
    <w:rsid w:val="00807BEF"/>
    <w:rsid w:val="00812CC0"/>
    <w:rsid w:val="00825EB4"/>
    <w:rsid w:val="00832622"/>
    <w:rsid w:val="0083354F"/>
    <w:rsid w:val="00840513"/>
    <w:rsid w:val="00841458"/>
    <w:rsid w:val="008425AD"/>
    <w:rsid w:val="00842EFF"/>
    <w:rsid w:val="00847730"/>
    <w:rsid w:val="0085074A"/>
    <w:rsid w:val="00856D0B"/>
    <w:rsid w:val="00861621"/>
    <w:rsid w:val="0087083B"/>
    <w:rsid w:val="00883D54"/>
    <w:rsid w:val="00886951"/>
    <w:rsid w:val="00887748"/>
    <w:rsid w:val="00887DC6"/>
    <w:rsid w:val="00890C7B"/>
    <w:rsid w:val="008910E0"/>
    <w:rsid w:val="00891974"/>
    <w:rsid w:val="00895DEA"/>
    <w:rsid w:val="008A2754"/>
    <w:rsid w:val="008A2D4C"/>
    <w:rsid w:val="008A3BC2"/>
    <w:rsid w:val="008A6855"/>
    <w:rsid w:val="008A7541"/>
    <w:rsid w:val="008B21E5"/>
    <w:rsid w:val="008B2BD3"/>
    <w:rsid w:val="008B3B41"/>
    <w:rsid w:val="008B5001"/>
    <w:rsid w:val="008B5380"/>
    <w:rsid w:val="008B6FFD"/>
    <w:rsid w:val="008C1297"/>
    <w:rsid w:val="008C1345"/>
    <w:rsid w:val="008C27F6"/>
    <w:rsid w:val="008C6A0D"/>
    <w:rsid w:val="008D38A9"/>
    <w:rsid w:val="008D4FB5"/>
    <w:rsid w:val="008D69E5"/>
    <w:rsid w:val="008E5A5D"/>
    <w:rsid w:val="008E6BEC"/>
    <w:rsid w:val="008E7997"/>
    <w:rsid w:val="008F0B34"/>
    <w:rsid w:val="008F56BD"/>
    <w:rsid w:val="008F6C33"/>
    <w:rsid w:val="008F6F6A"/>
    <w:rsid w:val="00900217"/>
    <w:rsid w:val="00900A05"/>
    <w:rsid w:val="00901CAE"/>
    <w:rsid w:val="00905484"/>
    <w:rsid w:val="00912E2B"/>
    <w:rsid w:val="009211CA"/>
    <w:rsid w:val="0093037D"/>
    <w:rsid w:val="00932E25"/>
    <w:rsid w:val="0093421E"/>
    <w:rsid w:val="00935149"/>
    <w:rsid w:val="00935DA2"/>
    <w:rsid w:val="009402FA"/>
    <w:rsid w:val="00943919"/>
    <w:rsid w:val="00943F7B"/>
    <w:rsid w:val="009455D7"/>
    <w:rsid w:val="009476A3"/>
    <w:rsid w:val="00952336"/>
    <w:rsid w:val="009549B3"/>
    <w:rsid w:val="00955268"/>
    <w:rsid w:val="0096066E"/>
    <w:rsid w:val="00961BFE"/>
    <w:rsid w:val="009623A0"/>
    <w:rsid w:val="009634E2"/>
    <w:rsid w:val="00966B77"/>
    <w:rsid w:val="009700E0"/>
    <w:rsid w:val="009709FB"/>
    <w:rsid w:val="009719E5"/>
    <w:rsid w:val="00980C98"/>
    <w:rsid w:val="00981C69"/>
    <w:rsid w:val="00981F2C"/>
    <w:rsid w:val="00983CCB"/>
    <w:rsid w:val="009844F2"/>
    <w:rsid w:val="00987FBB"/>
    <w:rsid w:val="00995B18"/>
    <w:rsid w:val="00996481"/>
    <w:rsid w:val="009A2730"/>
    <w:rsid w:val="009A5B59"/>
    <w:rsid w:val="009A6615"/>
    <w:rsid w:val="009A6E82"/>
    <w:rsid w:val="009A7ACB"/>
    <w:rsid w:val="009A7D81"/>
    <w:rsid w:val="009B7558"/>
    <w:rsid w:val="009C258E"/>
    <w:rsid w:val="009D09CC"/>
    <w:rsid w:val="009D7152"/>
    <w:rsid w:val="009E03A9"/>
    <w:rsid w:val="009E03E0"/>
    <w:rsid w:val="009E2C4C"/>
    <w:rsid w:val="009E4285"/>
    <w:rsid w:val="009E796C"/>
    <w:rsid w:val="009F3932"/>
    <w:rsid w:val="009F5118"/>
    <w:rsid w:val="009F55A7"/>
    <w:rsid w:val="00A05692"/>
    <w:rsid w:val="00A07B9E"/>
    <w:rsid w:val="00A11A38"/>
    <w:rsid w:val="00A13FE0"/>
    <w:rsid w:val="00A17CC6"/>
    <w:rsid w:val="00A21266"/>
    <w:rsid w:val="00A24011"/>
    <w:rsid w:val="00A25C0F"/>
    <w:rsid w:val="00A27080"/>
    <w:rsid w:val="00A27BE9"/>
    <w:rsid w:val="00A30005"/>
    <w:rsid w:val="00A32974"/>
    <w:rsid w:val="00A34906"/>
    <w:rsid w:val="00A41A80"/>
    <w:rsid w:val="00A4362C"/>
    <w:rsid w:val="00A4394C"/>
    <w:rsid w:val="00A43E72"/>
    <w:rsid w:val="00A45B22"/>
    <w:rsid w:val="00A462FA"/>
    <w:rsid w:val="00A528FA"/>
    <w:rsid w:val="00A52A7A"/>
    <w:rsid w:val="00A5444B"/>
    <w:rsid w:val="00A54BD9"/>
    <w:rsid w:val="00A62336"/>
    <w:rsid w:val="00A62431"/>
    <w:rsid w:val="00A643BD"/>
    <w:rsid w:val="00A65340"/>
    <w:rsid w:val="00A65A18"/>
    <w:rsid w:val="00A65EC0"/>
    <w:rsid w:val="00A813CD"/>
    <w:rsid w:val="00A82E66"/>
    <w:rsid w:val="00A83D1A"/>
    <w:rsid w:val="00A8648E"/>
    <w:rsid w:val="00A945F1"/>
    <w:rsid w:val="00AA0AA4"/>
    <w:rsid w:val="00AA56A2"/>
    <w:rsid w:val="00AA5725"/>
    <w:rsid w:val="00AA5F47"/>
    <w:rsid w:val="00AA6331"/>
    <w:rsid w:val="00AB0424"/>
    <w:rsid w:val="00AB08FA"/>
    <w:rsid w:val="00AB482D"/>
    <w:rsid w:val="00AB6A9F"/>
    <w:rsid w:val="00AC24B0"/>
    <w:rsid w:val="00AC52AD"/>
    <w:rsid w:val="00AC6E5C"/>
    <w:rsid w:val="00AC773F"/>
    <w:rsid w:val="00AD0980"/>
    <w:rsid w:val="00AD40B2"/>
    <w:rsid w:val="00AD7584"/>
    <w:rsid w:val="00AD7F8F"/>
    <w:rsid w:val="00AE0464"/>
    <w:rsid w:val="00AE05EC"/>
    <w:rsid w:val="00AE17F7"/>
    <w:rsid w:val="00AE3CD0"/>
    <w:rsid w:val="00AE4E7B"/>
    <w:rsid w:val="00AE6AD3"/>
    <w:rsid w:val="00AF081B"/>
    <w:rsid w:val="00AF2B1F"/>
    <w:rsid w:val="00AF7423"/>
    <w:rsid w:val="00AF7D51"/>
    <w:rsid w:val="00B05C9D"/>
    <w:rsid w:val="00B06B37"/>
    <w:rsid w:val="00B14BD9"/>
    <w:rsid w:val="00B1501D"/>
    <w:rsid w:val="00B1611F"/>
    <w:rsid w:val="00B20319"/>
    <w:rsid w:val="00B22F42"/>
    <w:rsid w:val="00B239A5"/>
    <w:rsid w:val="00B24DFC"/>
    <w:rsid w:val="00B25B24"/>
    <w:rsid w:val="00B2618C"/>
    <w:rsid w:val="00B3059C"/>
    <w:rsid w:val="00B30A7B"/>
    <w:rsid w:val="00B35A57"/>
    <w:rsid w:val="00B36869"/>
    <w:rsid w:val="00B373CF"/>
    <w:rsid w:val="00B4116C"/>
    <w:rsid w:val="00B432E3"/>
    <w:rsid w:val="00B45A21"/>
    <w:rsid w:val="00B51E31"/>
    <w:rsid w:val="00B56AEE"/>
    <w:rsid w:val="00B56DA1"/>
    <w:rsid w:val="00B5732A"/>
    <w:rsid w:val="00B57F2F"/>
    <w:rsid w:val="00B60D90"/>
    <w:rsid w:val="00B61AD4"/>
    <w:rsid w:val="00B653C5"/>
    <w:rsid w:val="00B7032B"/>
    <w:rsid w:val="00B757C5"/>
    <w:rsid w:val="00B80542"/>
    <w:rsid w:val="00B80D96"/>
    <w:rsid w:val="00B821C2"/>
    <w:rsid w:val="00B82424"/>
    <w:rsid w:val="00B914EA"/>
    <w:rsid w:val="00B92A33"/>
    <w:rsid w:val="00B9424D"/>
    <w:rsid w:val="00B9437F"/>
    <w:rsid w:val="00B9450F"/>
    <w:rsid w:val="00BA7AB4"/>
    <w:rsid w:val="00BA7C65"/>
    <w:rsid w:val="00BB0894"/>
    <w:rsid w:val="00BB1B4C"/>
    <w:rsid w:val="00BB1D87"/>
    <w:rsid w:val="00BB2021"/>
    <w:rsid w:val="00BB3242"/>
    <w:rsid w:val="00BB4100"/>
    <w:rsid w:val="00BB7DEF"/>
    <w:rsid w:val="00BC00B9"/>
    <w:rsid w:val="00BC3C26"/>
    <w:rsid w:val="00BC4039"/>
    <w:rsid w:val="00BC52BC"/>
    <w:rsid w:val="00BC5C41"/>
    <w:rsid w:val="00BD5C97"/>
    <w:rsid w:val="00BD6567"/>
    <w:rsid w:val="00BD734A"/>
    <w:rsid w:val="00BD793F"/>
    <w:rsid w:val="00BE0DE9"/>
    <w:rsid w:val="00BE179F"/>
    <w:rsid w:val="00BE1CAC"/>
    <w:rsid w:val="00BE20DD"/>
    <w:rsid w:val="00BE6648"/>
    <w:rsid w:val="00BF19CF"/>
    <w:rsid w:val="00BF3890"/>
    <w:rsid w:val="00BF502C"/>
    <w:rsid w:val="00BF5467"/>
    <w:rsid w:val="00BF5DA3"/>
    <w:rsid w:val="00BF7804"/>
    <w:rsid w:val="00C014B3"/>
    <w:rsid w:val="00C04077"/>
    <w:rsid w:val="00C041F3"/>
    <w:rsid w:val="00C067B3"/>
    <w:rsid w:val="00C0739C"/>
    <w:rsid w:val="00C07DBF"/>
    <w:rsid w:val="00C11DD6"/>
    <w:rsid w:val="00C16BCC"/>
    <w:rsid w:val="00C16C8C"/>
    <w:rsid w:val="00C22484"/>
    <w:rsid w:val="00C23DB8"/>
    <w:rsid w:val="00C256C8"/>
    <w:rsid w:val="00C2726A"/>
    <w:rsid w:val="00C27781"/>
    <w:rsid w:val="00C27C0B"/>
    <w:rsid w:val="00C3075B"/>
    <w:rsid w:val="00C30F5D"/>
    <w:rsid w:val="00C3106B"/>
    <w:rsid w:val="00C33165"/>
    <w:rsid w:val="00C33893"/>
    <w:rsid w:val="00C355EF"/>
    <w:rsid w:val="00C45FD5"/>
    <w:rsid w:val="00C46A0A"/>
    <w:rsid w:val="00C5569D"/>
    <w:rsid w:val="00C60FFF"/>
    <w:rsid w:val="00C633EE"/>
    <w:rsid w:val="00C6638D"/>
    <w:rsid w:val="00C66F64"/>
    <w:rsid w:val="00C7148B"/>
    <w:rsid w:val="00C73127"/>
    <w:rsid w:val="00C7490C"/>
    <w:rsid w:val="00C8267D"/>
    <w:rsid w:val="00C83073"/>
    <w:rsid w:val="00C85130"/>
    <w:rsid w:val="00C9062C"/>
    <w:rsid w:val="00C9303C"/>
    <w:rsid w:val="00C93EE6"/>
    <w:rsid w:val="00C95F35"/>
    <w:rsid w:val="00C97B54"/>
    <w:rsid w:val="00C97EC0"/>
    <w:rsid w:val="00CA3FC9"/>
    <w:rsid w:val="00CA53C6"/>
    <w:rsid w:val="00CA5648"/>
    <w:rsid w:val="00CA5B43"/>
    <w:rsid w:val="00CB0E8E"/>
    <w:rsid w:val="00CB15DC"/>
    <w:rsid w:val="00CB2107"/>
    <w:rsid w:val="00CB23BE"/>
    <w:rsid w:val="00CB2A52"/>
    <w:rsid w:val="00CB4755"/>
    <w:rsid w:val="00CB6BE8"/>
    <w:rsid w:val="00CC16B8"/>
    <w:rsid w:val="00CC60C5"/>
    <w:rsid w:val="00CD1E38"/>
    <w:rsid w:val="00CD4A53"/>
    <w:rsid w:val="00CD7A9F"/>
    <w:rsid w:val="00CD7C15"/>
    <w:rsid w:val="00CE1BCD"/>
    <w:rsid w:val="00CE5DF8"/>
    <w:rsid w:val="00CF017D"/>
    <w:rsid w:val="00CF2AD2"/>
    <w:rsid w:val="00CF3A4B"/>
    <w:rsid w:val="00CF56B3"/>
    <w:rsid w:val="00CF6150"/>
    <w:rsid w:val="00CF6CE9"/>
    <w:rsid w:val="00CF7016"/>
    <w:rsid w:val="00D04681"/>
    <w:rsid w:val="00D06546"/>
    <w:rsid w:val="00D11C5E"/>
    <w:rsid w:val="00D14C2D"/>
    <w:rsid w:val="00D20C20"/>
    <w:rsid w:val="00D269A8"/>
    <w:rsid w:val="00D26DE9"/>
    <w:rsid w:val="00D30C6D"/>
    <w:rsid w:val="00D32184"/>
    <w:rsid w:val="00D332CD"/>
    <w:rsid w:val="00D33BFB"/>
    <w:rsid w:val="00D35B7A"/>
    <w:rsid w:val="00D361D6"/>
    <w:rsid w:val="00D37638"/>
    <w:rsid w:val="00D37AB4"/>
    <w:rsid w:val="00D4048E"/>
    <w:rsid w:val="00D4262A"/>
    <w:rsid w:val="00D4371C"/>
    <w:rsid w:val="00D43B20"/>
    <w:rsid w:val="00D4496D"/>
    <w:rsid w:val="00D4500C"/>
    <w:rsid w:val="00D479B0"/>
    <w:rsid w:val="00D47E2B"/>
    <w:rsid w:val="00D50D06"/>
    <w:rsid w:val="00D52428"/>
    <w:rsid w:val="00D54EEC"/>
    <w:rsid w:val="00D54F50"/>
    <w:rsid w:val="00D5513C"/>
    <w:rsid w:val="00D61590"/>
    <w:rsid w:val="00D6231B"/>
    <w:rsid w:val="00D62874"/>
    <w:rsid w:val="00D705BD"/>
    <w:rsid w:val="00D70FE2"/>
    <w:rsid w:val="00D72B0D"/>
    <w:rsid w:val="00D75BAF"/>
    <w:rsid w:val="00D7723B"/>
    <w:rsid w:val="00D8076C"/>
    <w:rsid w:val="00D80B29"/>
    <w:rsid w:val="00D84B17"/>
    <w:rsid w:val="00D84F63"/>
    <w:rsid w:val="00D85705"/>
    <w:rsid w:val="00D93A14"/>
    <w:rsid w:val="00D97A6C"/>
    <w:rsid w:val="00DB2825"/>
    <w:rsid w:val="00DB4413"/>
    <w:rsid w:val="00DB4E1F"/>
    <w:rsid w:val="00DB5FEA"/>
    <w:rsid w:val="00DB6AC2"/>
    <w:rsid w:val="00DB7B2C"/>
    <w:rsid w:val="00DC13D8"/>
    <w:rsid w:val="00DC2E06"/>
    <w:rsid w:val="00DC678A"/>
    <w:rsid w:val="00DD472C"/>
    <w:rsid w:val="00DD6D5F"/>
    <w:rsid w:val="00DE30A6"/>
    <w:rsid w:val="00DE3FE7"/>
    <w:rsid w:val="00DE6710"/>
    <w:rsid w:val="00DF0EDD"/>
    <w:rsid w:val="00DF28B7"/>
    <w:rsid w:val="00DF6AD1"/>
    <w:rsid w:val="00E00F13"/>
    <w:rsid w:val="00E040C5"/>
    <w:rsid w:val="00E04CB8"/>
    <w:rsid w:val="00E06DBC"/>
    <w:rsid w:val="00E107F8"/>
    <w:rsid w:val="00E10C95"/>
    <w:rsid w:val="00E12FDD"/>
    <w:rsid w:val="00E149EC"/>
    <w:rsid w:val="00E21715"/>
    <w:rsid w:val="00E21DE1"/>
    <w:rsid w:val="00E228DF"/>
    <w:rsid w:val="00E2330B"/>
    <w:rsid w:val="00E2515F"/>
    <w:rsid w:val="00E32CD7"/>
    <w:rsid w:val="00E35B75"/>
    <w:rsid w:val="00E40AAD"/>
    <w:rsid w:val="00E50A7A"/>
    <w:rsid w:val="00E53547"/>
    <w:rsid w:val="00E5539C"/>
    <w:rsid w:val="00E5725E"/>
    <w:rsid w:val="00E62622"/>
    <w:rsid w:val="00E64141"/>
    <w:rsid w:val="00E67DD8"/>
    <w:rsid w:val="00E75B8C"/>
    <w:rsid w:val="00E771AC"/>
    <w:rsid w:val="00E77458"/>
    <w:rsid w:val="00E85EA7"/>
    <w:rsid w:val="00E87BF0"/>
    <w:rsid w:val="00E919D9"/>
    <w:rsid w:val="00E94CB0"/>
    <w:rsid w:val="00E94D1E"/>
    <w:rsid w:val="00E97C8B"/>
    <w:rsid w:val="00EA212E"/>
    <w:rsid w:val="00EA3BB1"/>
    <w:rsid w:val="00EA419A"/>
    <w:rsid w:val="00EA4284"/>
    <w:rsid w:val="00EA51CC"/>
    <w:rsid w:val="00EA72FB"/>
    <w:rsid w:val="00EB27E0"/>
    <w:rsid w:val="00EB42FD"/>
    <w:rsid w:val="00EB487E"/>
    <w:rsid w:val="00EB4FFD"/>
    <w:rsid w:val="00EB6FD2"/>
    <w:rsid w:val="00EC1A29"/>
    <w:rsid w:val="00EC23DA"/>
    <w:rsid w:val="00EC2EB6"/>
    <w:rsid w:val="00EC3582"/>
    <w:rsid w:val="00EC72FB"/>
    <w:rsid w:val="00ED1074"/>
    <w:rsid w:val="00ED16BE"/>
    <w:rsid w:val="00ED1C3E"/>
    <w:rsid w:val="00ED29B3"/>
    <w:rsid w:val="00ED2B59"/>
    <w:rsid w:val="00ED59DA"/>
    <w:rsid w:val="00ED5A57"/>
    <w:rsid w:val="00ED74B4"/>
    <w:rsid w:val="00EE216F"/>
    <w:rsid w:val="00EE26CC"/>
    <w:rsid w:val="00EF220A"/>
    <w:rsid w:val="00EF225A"/>
    <w:rsid w:val="00EF24DB"/>
    <w:rsid w:val="00EF2C7B"/>
    <w:rsid w:val="00F01205"/>
    <w:rsid w:val="00F0141F"/>
    <w:rsid w:val="00F029EC"/>
    <w:rsid w:val="00F031D4"/>
    <w:rsid w:val="00F0368D"/>
    <w:rsid w:val="00F076B0"/>
    <w:rsid w:val="00F12FF4"/>
    <w:rsid w:val="00F1331C"/>
    <w:rsid w:val="00F1447B"/>
    <w:rsid w:val="00F1584F"/>
    <w:rsid w:val="00F15F2E"/>
    <w:rsid w:val="00F16B4C"/>
    <w:rsid w:val="00F17D83"/>
    <w:rsid w:val="00F20C12"/>
    <w:rsid w:val="00F246DF"/>
    <w:rsid w:val="00F258C7"/>
    <w:rsid w:val="00F2607C"/>
    <w:rsid w:val="00F270E6"/>
    <w:rsid w:val="00F2767E"/>
    <w:rsid w:val="00F31180"/>
    <w:rsid w:val="00F328E5"/>
    <w:rsid w:val="00F35826"/>
    <w:rsid w:val="00F36430"/>
    <w:rsid w:val="00F43AB3"/>
    <w:rsid w:val="00F44A39"/>
    <w:rsid w:val="00F470ED"/>
    <w:rsid w:val="00F51541"/>
    <w:rsid w:val="00F52EFC"/>
    <w:rsid w:val="00F54E73"/>
    <w:rsid w:val="00F60794"/>
    <w:rsid w:val="00F6113C"/>
    <w:rsid w:val="00F63E5B"/>
    <w:rsid w:val="00F67B47"/>
    <w:rsid w:val="00F71BCB"/>
    <w:rsid w:val="00F72916"/>
    <w:rsid w:val="00F72ED2"/>
    <w:rsid w:val="00F7488C"/>
    <w:rsid w:val="00F7583C"/>
    <w:rsid w:val="00F7724D"/>
    <w:rsid w:val="00F7846E"/>
    <w:rsid w:val="00F8174D"/>
    <w:rsid w:val="00F817C0"/>
    <w:rsid w:val="00F86138"/>
    <w:rsid w:val="00F864C1"/>
    <w:rsid w:val="00F90ED3"/>
    <w:rsid w:val="00F93159"/>
    <w:rsid w:val="00F9402E"/>
    <w:rsid w:val="00F94EC0"/>
    <w:rsid w:val="00F95372"/>
    <w:rsid w:val="00FA3504"/>
    <w:rsid w:val="00FA3610"/>
    <w:rsid w:val="00FA41FB"/>
    <w:rsid w:val="00FA467A"/>
    <w:rsid w:val="00FA48EA"/>
    <w:rsid w:val="00FA4C60"/>
    <w:rsid w:val="00FB1CE8"/>
    <w:rsid w:val="00FB645D"/>
    <w:rsid w:val="00FC0D61"/>
    <w:rsid w:val="00FC2206"/>
    <w:rsid w:val="00FC4EFB"/>
    <w:rsid w:val="00FC5805"/>
    <w:rsid w:val="00FC735B"/>
    <w:rsid w:val="00FD0B71"/>
    <w:rsid w:val="00FD14F4"/>
    <w:rsid w:val="00FD28E9"/>
    <w:rsid w:val="00FD34FD"/>
    <w:rsid w:val="00FD5000"/>
    <w:rsid w:val="00FD5749"/>
    <w:rsid w:val="00FD63DA"/>
    <w:rsid w:val="00FE3185"/>
    <w:rsid w:val="00FE3BB6"/>
    <w:rsid w:val="00FE4B4B"/>
    <w:rsid w:val="00FE4D83"/>
    <w:rsid w:val="00FE63BF"/>
    <w:rsid w:val="00FF14ED"/>
    <w:rsid w:val="00FF5966"/>
    <w:rsid w:val="00FF62BF"/>
    <w:rsid w:val="00FF708D"/>
    <w:rsid w:val="00FF78BD"/>
    <w:rsid w:val="00FF79A1"/>
    <w:rsid w:val="0105FECD"/>
    <w:rsid w:val="048AB5DA"/>
    <w:rsid w:val="05FEC88C"/>
    <w:rsid w:val="0609D209"/>
    <w:rsid w:val="07FE333A"/>
    <w:rsid w:val="08B119CF"/>
    <w:rsid w:val="08E6A116"/>
    <w:rsid w:val="1274AC46"/>
    <w:rsid w:val="1546E380"/>
    <w:rsid w:val="1599661A"/>
    <w:rsid w:val="160493D4"/>
    <w:rsid w:val="1865FEB1"/>
    <w:rsid w:val="1B6E65D5"/>
    <w:rsid w:val="1B963220"/>
    <w:rsid w:val="1C0F0E37"/>
    <w:rsid w:val="1D8935A2"/>
    <w:rsid w:val="1EFFEC09"/>
    <w:rsid w:val="21029D5A"/>
    <w:rsid w:val="21A5745A"/>
    <w:rsid w:val="22EA53E3"/>
    <w:rsid w:val="248B31D6"/>
    <w:rsid w:val="25560530"/>
    <w:rsid w:val="281C42E8"/>
    <w:rsid w:val="29599567"/>
    <w:rsid w:val="2C4333BC"/>
    <w:rsid w:val="2DCFA255"/>
    <w:rsid w:val="2E17F73E"/>
    <w:rsid w:val="2FD2F896"/>
    <w:rsid w:val="309BA563"/>
    <w:rsid w:val="30FF4FEF"/>
    <w:rsid w:val="31F80B10"/>
    <w:rsid w:val="329B2050"/>
    <w:rsid w:val="348B5987"/>
    <w:rsid w:val="35AFF0F9"/>
    <w:rsid w:val="35DD2923"/>
    <w:rsid w:val="381E26C5"/>
    <w:rsid w:val="3A98F188"/>
    <w:rsid w:val="3B137718"/>
    <w:rsid w:val="3CB60514"/>
    <w:rsid w:val="3DC2F064"/>
    <w:rsid w:val="3EF9F524"/>
    <w:rsid w:val="3FEDA5D6"/>
    <w:rsid w:val="4034BB96"/>
    <w:rsid w:val="4075904D"/>
    <w:rsid w:val="41897637"/>
    <w:rsid w:val="41B02AC1"/>
    <w:rsid w:val="42AFE60B"/>
    <w:rsid w:val="44ABA743"/>
    <w:rsid w:val="44C116F9"/>
    <w:rsid w:val="465CE75A"/>
    <w:rsid w:val="473219E4"/>
    <w:rsid w:val="48AE80E4"/>
    <w:rsid w:val="4AF65028"/>
    <w:rsid w:val="4B38A4CA"/>
    <w:rsid w:val="4E67F93F"/>
    <w:rsid w:val="4E8D63A6"/>
    <w:rsid w:val="4EA460F4"/>
    <w:rsid w:val="4FD26031"/>
    <w:rsid w:val="5032DC62"/>
    <w:rsid w:val="55AB17BE"/>
    <w:rsid w:val="5614BD82"/>
    <w:rsid w:val="5A33E6F3"/>
    <w:rsid w:val="5AC4A389"/>
    <w:rsid w:val="5C2BDD02"/>
    <w:rsid w:val="5E46152C"/>
    <w:rsid w:val="5F0C8F8A"/>
    <w:rsid w:val="5FA7828B"/>
    <w:rsid w:val="61BDAB51"/>
    <w:rsid w:val="62BF43E5"/>
    <w:rsid w:val="65DA36A7"/>
    <w:rsid w:val="66D350DC"/>
    <w:rsid w:val="670DDA15"/>
    <w:rsid w:val="676C7EF7"/>
    <w:rsid w:val="6F6AAAB0"/>
    <w:rsid w:val="74F4F0F8"/>
    <w:rsid w:val="75535A8A"/>
    <w:rsid w:val="7630B7A7"/>
    <w:rsid w:val="7781DAD4"/>
    <w:rsid w:val="791DAB35"/>
    <w:rsid w:val="794BC469"/>
    <w:rsid w:val="7D84D722"/>
    <w:rsid w:val="7DF2AF55"/>
    <w:rsid w:val="7E7AE4E9"/>
    <w:rsid w:val="7E82B9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EC774"/>
  <w15:chartTrackingRefBased/>
  <w15:docId w15:val="{D8F2DDCF-AD75-4C0F-BBB0-D4FD8708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0B2"/>
  </w:style>
  <w:style w:type="paragraph" w:styleId="Heading1">
    <w:name w:val="heading 1"/>
    <w:basedOn w:val="Normal"/>
    <w:next w:val="Normal"/>
    <w:link w:val="Heading1Char"/>
    <w:uiPriority w:val="9"/>
    <w:qFormat/>
    <w:rsid w:val="00BB4100"/>
    <w:pPr>
      <w:keepNext/>
      <w:keepLines/>
      <w:numPr>
        <w:numId w:val="5"/>
      </w:numPr>
      <w:spacing w:before="360" w:after="120"/>
      <w:outlineLvl w:val="0"/>
    </w:pPr>
    <w:rPr>
      <w:rFonts w:asciiTheme="majorHAnsi" w:eastAsiaTheme="majorEastAsia" w:hAnsiTheme="majorHAnsi" w:cstheme="majorBidi"/>
      <w:color w:val="FF0000"/>
      <w:sz w:val="28"/>
      <w:szCs w:val="28"/>
    </w:rPr>
  </w:style>
  <w:style w:type="paragraph" w:styleId="Heading2">
    <w:name w:val="heading 2"/>
    <w:basedOn w:val="Normal"/>
    <w:next w:val="Normal"/>
    <w:link w:val="Heading2Char"/>
    <w:uiPriority w:val="9"/>
    <w:unhideWhenUsed/>
    <w:qFormat/>
    <w:rsid w:val="0006550B"/>
    <w:pPr>
      <w:keepNext/>
      <w:keepLines/>
      <w:numPr>
        <w:ilvl w:val="1"/>
        <w:numId w:val="5"/>
      </w:numPr>
      <w:spacing w:before="240" w:after="120"/>
      <w:jc w:val="both"/>
      <w:outlineLvl w:val="1"/>
    </w:pPr>
    <w:rPr>
      <w:rFonts w:asciiTheme="majorHAnsi" w:eastAsiaTheme="majorEastAsia" w:hAnsiTheme="majorHAnsi" w:cstheme="majorBidi"/>
      <w:color w:val="C00000"/>
      <w:sz w:val="24"/>
      <w:szCs w:val="24"/>
    </w:rPr>
  </w:style>
  <w:style w:type="paragraph" w:styleId="Heading3">
    <w:name w:val="heading 3"/>
    <w:basedOn w:val="Normal"/>
    <w:next w:val="Normal"/>
    <w:link w:val="Heading3Char"/>
    <w:uiPriority w:val="9"/>
    <w:unhideWhenUsed/>
    <w:qFormat/>
    <w:rsid w:val="00883D54"/>
    <w:pPr>
      <w:keepNext/>
      <w:keepLines/>
      <w:spacing w:before="40" w:after="0"/>
      <w:outlineLvl w:val="2"/>
    </w:pPr>
    <w:rPr>
      <w:rFonts w:asciiTheme="majorHAnsi" w:eastAsiaTheme="majorEastAsia" w:hAnsiTheme="majorHAnsi" w:cstheme="majorBidi"/>
      <w:color w:val="001B21"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45B22"/>
    <w:pPr>
      <w:ind w:left="720"/>
      <w:contextualSpacing/>
    </w:pPr>
  </w:style>
  <w:style w:type="character" w:styleId="CommentReference">
    <w:name w:val="annotation reference"/>
    <w:basedOn w:val="DefaultParagraphFont"/>
    <w:uiPriority w:val="99"/>
    <w:unhideWhenUsed/>
    <w:rsid w:val="00A65A18"/>
    <w:rPr>
      <w:sz w:val="16"/>
      <w:szCs w:val="16"/>
    </w:rPr>
  </w:style>
  <w:style w:type="paragraph" w:styleId="CommentText">
    <w:name w:val="annotation text"/>
    <w:basedOn w:val="Normal"/>
    <w:link w:val="CommentTextChar"/>
    <w:uiPriority w:val="99"/>
    <w:unhideWhenUsed/>
    <w:rsid w:val="00A65A18"/>
    <w:pPr>
      <w:spacing w:line="240" w:lineRule="auto"/>
    </w:pPr>
    <w:rPr>
      <w:sz w:val="20"/>
      <w:szCs w:val="20"/>
    </w:rPr>
  </w:style>
  <w:style w:type="character" w:customStyle="1" w:styleId="CommentTextChar">
    <w:name w:val="Comment Text Char"/>
    <w:basedOn w:val="DefaultParagraphFont"/>
    <w:link w:val="CommentText"/>
    <w:uiPriority w:val="99"/>
    <w:rsid w:val="00A65A18"/>
    <w:rPr>
      <w:sz w:val="20"/>
      <w:szCs w:val="20"/>
    </w:rPr>
  </w:style>
  <w:style w:type="paragraph" w:styleId="CommentSubject">
    <w:name w:val="annotation subject"/>
    <w:basedOn w:val="CommentText"/>
    <w:next w:val="CommentText"/>
    <w:link w:val="CommentSubjectChar"/>
    <w:uiPriority w:val="99"/>
    <w:semiHidden/>
    <w:unhideWhenUsed/>
    <w:rsid w:val="00A65A18"/>
    <w:rPr>
      <w:b/>
      <w:bCs/>
    </w:rPr>
  </w:style>
  <w:style w:type="character" w:customStyle="1" w:styleId="CommentSubjectChar">
    <w:name w:val="Comment Subject Char"/>
    <w:basedOn w:val="CommentTextChar"/>
    <w:link w:val="CommentSubject"/>
    <w:uiPriority w:val="99"/>
    <w:semiHidden/>
    <w:rsid w:val="00A65A18"/>
    <w:rPr>
      <w:b/>
      <w:bCs/>
      <w:sz w:val="20"/>
      <w:szCs w:val="20"/>
    </w:rPr>
  </w:style>
  <w:style w:type="paragraph" w:styleId="BalloonText">
    <w:name w:val="Balloon Text"/>
    <w:basedOn w:val="Normal"/>
    <w:link w:val="BalloonTextChar"/>
    <w:uiPriority w:val="99"/>
    <w:semiHidden/>
    <w:unhideWhenUsed/>
    <w:rsid w:val="00A65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A18"/>
    <w:rPr>
      <w:rFonts w:ascii="Segoe UI" w:hAnsi="Segoe UI" w:cs="Segoe UI"/>
      <w:sz w:val="18"/>
      <w:szCs w:val="18"/>
    </w:rPr>
  </w:style>
  <w:style w:type="table" w:styleId="GridTable2-Accent1">
    <w:name w:val="Grid Table 2 Accent 1"/>
    <w:basedOn w:val="TableNormal"/>
    <w:uiPriority w:val="47"/>
    <w:rsid w:val="006669FD"/>
    <w:pPr>
      <w:spacing w:after="0" w:line="240" w:lineRule="auto"/>
    </w:pPr>
    <w:tblPr>
      <w:tblStyleRowBandSize w:val="1"/>
      <w:tblStyleColBandSize w:val="1"/>
      <w:tblBorders>
        <w:top w:val="single" w:sz="2" w:space="0" w:color="00CBF4" w:themeColor="accent1" w:themeTint="99"/>
        <w:bottom w:val="single" w:sz="2" w:space="0" w:color="00CBF4" w:themeColor="accent1" w:themeTint="99"/>
        <w:insideH w:val="single" w:sz="2" w:space="0" w:color="00CBF4" w:themeColor="accent1" w:themeTint="99"/>
        <w:insideV w:val="single" w:sz="2" w:space="0" w:color="00CBF4" w:themeColor="accent1" w:themeTint="99"/>
      </w:tblBorders>
    </w:tblPr>
    <w:tblStylePr w:type="firstRow">
      <w:rPr>
        <w:b/>
        <w:bCs/>
      </w:rPr>
      <w:tblPr/>
      <w:tcPr>
        <w:tcBorders>
          <w:top w:val="nil"/>
          <w:bottom w:val="single" w:sz="12" w:space="0" w:color="00CBF4" w:themeColor="accent1" w:themeTint="99"/>
          <w:insideH w:val="nil"/>
          <w:insideV w:val="nil"/>
        </w:tcBorders>
        <w:shd w:val="clear" w:color="auto" w:fill="FFFFFF" w:themeFill="background1"/>
      </w:tcPr>
    </w:tblStylePr>
    <w:tblStylePr w:type="lastRow">
      <w:rPr>
        <w:b/>
        <w:bCs/>
      </w:rPr>
      <w:tblPr/>
      <w:tcPr>
        <w:tcBorders>
          <w:top w:val="double" w:sz="2" w:space="0" w:color="00CB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F0FF" w:themeFill="accent1" w:themeFillTint="33"/>
      </w:tcPr>
    </w:tblStylePr>
    <w:tblStylePr w:type="band1Horz">
      <w:tblPr/>
      <w:tcPr>
        <w:shd w:val="clear" w:color="auto" w:fill="A6F0FF" w:themeFill="accent1" w:themeFillTint="33"/>
      </w:tcPr>
    </w:tblStylePr>
  </w:style>
  <w:style w:type="table" w:styleId="GridTable2-Accent4">
    <w:name w:val="Grid Table 2 Accent 4"/>
    <w:basedOn w:val="TableNormal"/>
    <w:uiPriority w:val="47"/>
    <w:rsid w:val="006669FD"/>
    <w:pPr>
      <w:spacing w:after="0" w:line="240" w:lineRule="auto"/>
    </w:pPr>
    <w:tblPr>
      <w:tblStyleRowBandSize w:val="1"/>
      <w:tblStyleColBandSize w:val="1"/>
      <w:tblBorders>
        <w:top w:val="single" w:sz="2" w:space="0" w:color="F3D6A8" w:themeColor="accent4" w:themeTint="99"/>
        <w:bottom w:val="single" w:sz="2" w:space="0" w:color="F3D6A8" w:themeColor="accent4" w:themeTint="99"/>
        <w:insideH w:val="single" w:sz="2" w:space="0" w:color="F3D6A8" w:themeColor="accent4" w:themeTint="99"/>
        <w:insideV w:val="single" w:sz="2" w:space="0" w:color="F3D6A8" w:themeColor="accent4" w:themeTint="99"/>
      </w:tblBorders>
    </w:tblPr>
    <w:tblStylePr w:type="firstRow">
      <w:rPr>
        <w:b/>
        <w:bCs/>
      </w:rPr>
      <w:tblPr/>
      <w:tcPr>
        <w:tcBorders>
          <w:top w:val="nil"/>
          <w:bottom w:val="single" w:sz="12" w:space="0" w:color="F3D6A8" w:themeColor="accent4" w:themeTint="99"/>
          <w:insideH w:val="nil"/>
          <w:insideV w:val="nil"/>
        </w:tcBorders>
        <w:shd w:val="clear" w:color="auto" w:fill="FFFFFF" w:themeFill="background1"/>
      </w:tcPr>
    </w:tblStylePr>
    <w:tblStylePr w:type="lastRow">
      <w:rPr>
        <w:b/>
        <w:bCs/>
      </w:rPr>
      <w:tblPr/>
      <w:tcPr>
        <w:tcBorders>
          <w:top w:val="double" w:sz="2" w:space="0" w:color="F3D6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E2" w:themeFill="accent4" w:themeFillTint="33"/>
      </w:tcPr>
    </w:tblStylePr>
    <w:tblStylePr w:type="band1Horz">
      <w:tblPr/>
      <w:tcPr>
        <w:shd w:val="clear" w:color="auto" w:fill="FBF1E2" w:themeFill="accent4" w:themeFillTint="33"/>
      </w:tcPr>
    </w:tblStylePr>
  </w:style>
  <w:style w:type="paragraph" w:styleId="Header">
    <w:name w:val="header"/>
    <w:basedOn w:val="Normal"/>
    <w:link w:val="HeaderChar"/>
    <w:uiPriority w:val="99"/>
    <w:unhideWhenUsed/>
    <w:rsid w:val="00D77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3B"/>
  </w:style>
  <w:style w:type="paragraph" w:styleId="Footer">
    <w:name w:val="footer"/>
    <w:basedOn w:val="Normal"/>
    <w:link w:val="FooterChar"/>
    <w:uiPriority w:val="99"/>
    <w:unhideWhenUsed/>
    <w:rsid w:val="00D77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3B"/>
  </w:style>
  <w:style w:type="character" w:customStyle="1" w:styleId="Heading1Char">
    <w:name w:val="Heading 1 Char"/>
    <w:basedOn w:val="DefaultParagraphFont"/>
    <w:link w:val="Heading1"/>
    <w:uiPriority w:val="9"/>
    <w:rsid w:val="00BB4100"/>
    <w:rPr>
      <w:rFonts w:asciiTheme="majorHAnsi" w:eastAsiaTheme="majorEastAsia" w:hAnsiTheme="majorHAnsi" w:cstheme="majorBidi"/>
      <w:color w:val="FF0000"/>
      <w:sz w:val="28"/>
      <w:szCs w:val="28"/>
    </w:rPr>
  </w:style>
  <w:style w:type="paragraph" w:styleId="Title">
    <w:name w:val="Title"/>
    <w:basedOn w:val="Normal"/>
    <w:next w:val="Normal"/>
    <w:link w:val="TitleChar"/>
    <w:uiPriority w:val="10"/>
    <w:qFormat/>
    <w:rsid w:val="0055571F"/>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55571F"/>
    <w:rPr>
      <w:rFonts w:asciiTheme="majorHAnsi" w:eastAsiaTheme="majorEastAsia" w:hAnsiTheme="majorHAnsi" w:cstheme="majorBidi"/>
      <w:spacing w:val="-10"/>
      <w:kern w:val="28"/>
      <w:sz w:val="48"/>
      <w:szCs w:val="48"/>
    </w:rPr>
  </w:style>
  <w:style w:type="paragraph" w:styleId="Caption">
    <w:name w:val="caption"/>
    <w:basedOn w:val="Normal"/>
    <w:next w:val="Normal"/>
    <w:uiPriority w:val="35"/>
    <w:unhideWhenUsed/>
    <w:qFormat/>
    <w:rsid w:val="001C09DE"/>
    <w:pPr>
      <w:spacing w:after="200" w:line="240" w:lineRule="auto"/>
    </w:pPr>
    <w:rPr>
      <w:b/>
      <w:iCs/>
      <w:color w:val="003843" w:themeColor="text2"/>
      <w:sz w:val="20"/>
      <w:szCs w:val="18"/>
    </w:rPr>
  </w:style>
  <w:style w:type="character" w:customStyle="1" w:styleId="Heading2Char">
    <w:name w:val="Heading 2 Char"/>
    <w:basedOn w:val="DefaultParagraphFont"/>
    <w:link w:val="Heading2"/>
    <w:uiPriority w:val="9"/>
    <w:rsid w:val="0006550B"/>
    <w:rPr>
      <w:rFonts w:asciiTheme="majorHAnsi" w:eastAsiaTheme="majorEastAsia" w:hAnsiTheme="majorHAnsi" w:cstheme="majorBidi"/>
      <w:color w:val="C00000"/>
      <w:sz w:val="24"/>
      <w:szCs w:val="24"/>
    </w:rPr>
  </w:style>
  <w:style w:type="paragraph" w:styleId="FootnoteText">
    <w:name w:val="footnote text"/>
    <w:basedOn w:val="Normal"/>
    <w:link w:val="FootnoteTextChar"/>
    <w:uiPriority w:val="99"/>
    <w:unhideWhenUsed/>
    <w:rsid w:val="00883D54"/>
    <w:pPr>
      <w:spacing w:after="0" w:line="240" w:lineRule="auto"/>
    </w:pPr>
    <w:rPr>
      <w:sz w:val="20"/>
      <w:szCs w:val="20"/>
    </w:rPr>
  </w:style>
  <w:style w:type="character" w:customStyle="1" w:styleId="FootnoteTextChar">
    <w:name w:val="Footnote Text Char"/>
    <w:basedOn w:val="DefaultParagraphFont"/>
    <w:link w:val="FootnoteText"/>
    <w:uiPriority w:val="99"/>
    <w:rsid w:val="00883D54"/>
    <w:rPr>
      <w:sz w:val="20"/>
      <w:szCs w:val="20"/>
    </w:rPr>
  </w:style>
  <w:style w:type="character" w:styleId="FootnoteReference">
    <w:name w:val="footnote reference"/>
    <w:basedOn w:val="DefaultParagraphFont"/>
    <w:uiPriority w:val="99"/>
    <w:semiHidden/>
    <w:unhideWhenUsed/>
    <w:rsid w:val="00883D54"/>
    <w:rPr>
      <w:vertAlign w:val="superscript"/>
    </w:rPr>
  </w:style>
  <w:style w:type="character" w:customStyle="1" w:styleId="Heading3Char">
    <w:name w:val="Heading 3 Char"/>
    <w:basedOn w:val="DefaultParagraphFont"/>
    <w:link w:val="Heading3"/>
    <w:uiPriority w:val="9"/>
    <w:rsid w:val="00883D54"/>
    <w:rPr>
      <w:rFonts w:asciiTheme="majorHAnsi" w:eastAsiaTheme="majorEastAsia" w:hAnsiTheme="majorHAnsi" w:cstheme="majorBidi"/>
      <w:color w:val="001B21" w:themeColor="accent1" w:themeShade="7F"/>
      <w:sz w:val="24"/>
      <w:szCs w:val="24"/>
    </w:rPr>
  </w:style>
  <w:style w:type="paragraph" w:customStyle="1" w:styleId="c-glossaryterm-definition">
    <w:name w:val="c-glossary__term-definition"/>
    <w:basedOn w:val="Normal"/>
    <w:rsid w:val="00883D5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DefaultParagraphFont"/>
    <w:uiPriority w:val="99"/>
    <w:unhideWhenUsed/>
    <w:rsid w:val="008B3B41"/>
    <w:rPr>
      <w:color w:val="6EADB2" w:themeColor="hyperlink"/>
      <w:u w:val="single"/>
    </w:rPr>
  </w:style>
  <w:style w:type="character" w:styleId="UnresolvedMention">
    <w:name w:val="Unresolved Mention"/>
    <w:basedOn w:val="DefaultParagraphFont"/>
    <w:uiPriority w:val="99"/>
    <w:unhideWhenUsed/>
    <w:rsid w:val="008B3B41"/>
    <w:rPr>
      <w:color w:val="605E5C"/>
      <w:shd w:val="clear" w:color="auto" w:fill="E1DFDD"/>
    </w:rPr>
  </w:style>
  <w:style w:type="paragraph" w:styleId="TOCHeading">
    <w:name w:val="TOC Heading"/>
    <w:basedOn w:val="Heading1"/>
    <w:next w:val="Normal"/>
    <w:uiPriority w:val="39"/>
    <w:unhideWhenUsed/>
    <w:qFormat/>
    <w:rsid w:val="006C08EB"/>
    <w:pPr>
      <w:outlineLvl w:val="9"/>
    </w:pPr>
    <w:rPr>
      <w:color w:val="002932" w:themeColor="accent1" w:themeShade="BF"/>
    </w:rPr>
  </w:style>
  <w:style w:type="paragraph" w:styleId="TOC1">
    <w:name w:val="toc 1"/>
    <w:basedOn w:val="Normal"/>
    <w:next w:val="Normal"/>
    <w:autoRedefine/>
    <w:uiPriority w:val="39"/>
    <w:unhideWhenUsed/>
    <w:rsid w:val="006C08EB"/>
    <w:pPr>
      <w:spacing w:after="100"/>
    </w:pPr>
  </w:style>
  <w:style w:type="paragraph" w:styleId="TOC2">
    <w:name w:val="toc 2"/>
    <w:basedOn w:val="Normal"/>
    <w:next w:val="Normal"/>
    <w:autoRedefine/>
    <w:uiPriority w:val="39"/>
    <w:unhideWhenUsed/>
    <w:rsid w:val="006C08EB"/>
    <w:pPr>
      <w:spacing w:after="100"/>
      <w:ind w:left="220"/>
    </w:pPr>
  </w:style>
  <w:style w:type="paragraph" w:customStyle="1" w:styleId="Bullet2">
    <w:name w:val="Bullet 2"/>
    <w:basedOn w:val="ListParagraph"/>
    <w:rsid w:val="00134EBF"/>
    <w:pPr>
      <w:numPr>
        <w:numId w:val="3"/>
      </w:numPr>
      <w:tabs>
        <w:tab w:val="left" w:pos="7230"/>
      </w:tabs>
      <w:spacing w:before="240" w:after="240" w:line="240" w:lineRule="auto"/>
      <w:jc w:val="both"/>
    </w:pPr>
    <w:rPr>
      <w:rFonts w:ascii="Arial" w:hAnsi="Arial" w:cs="Arial"/>
      <w:sz w:val="20"/>
    </w:rPr>
  </w:style>
  <w:style w:type="table" w:styleId="GridTable2-Accent6">
    <w:name w:val="Grid Table 2 Accent 6"/>
    <w:basedOn w:val="TableNormal"/>
    <w:uiPriority w:val="47"/>
    <w:rsid w:val="00257CFA"/>
    <w:pPr>
      <w:spacing w:after="0" w:line="240" w:lineRule="auto"/>
    </w:pPr>
    <w:tblPr>
      <w:tblStyleRowBandSize w:val="1"/>
      <w:tblStyleColBandSize w:val="1"/>
      <w:tblBorders>
        <w:top w:val="single" w:sz="2" w:space="0" w:color="E4A8B8" w:themeColor="accent6" w:themeTint="99"/>
        <w:bottom w:val="single" w:sz="2" w:space="0" w:color="E4A8B8" w:themeColor="accent6" w:themeTint="99"/>
        <w:insideH w:val="single" w:sz="2" w:space="0" w:color="E4A8B8" w:themeColor="accent6" w:themeTint="99"/>
        <w:insideV w:val="single" w:sz="2" w:space="0" w:color="E4A8B8" w:themeColor="accent6" w:themeTint="99"/>
      </w:tblBorders>
    </w:tblPr>
    <w:tblStylePr w:type="firstRow">
      <w:rPr>
        <w:b/>
        <w:bCs/>
      </w:rPr>
      <w:tblPr/>
      <w:tcPr>
        <w:tcBorders>
          <w:top w:val="nil"/>
          <w:bottom w:val="single" w:sz="12" w:space="0" w:color="E4A8B8" w:themeColor="accent6" w:themeTint="99"/>
          <w:insideH w:val="nil"/>
          <w:insideV w:val="nil"/>
        </w:tcBorders>
        <w:shd w:val="clear" w:color="auto" w:fill="FFFFFF" w:themeFill="background1"/>
      </w:tcPr>
    </w:tblStylePr>
    <w:tblStylePr w:type="lastRow">
      <w:rPr>
        <w:b/>
        <w:bCs/>
      </w:rPr>
      <w:tblPr/>
      <w:tcPr>
        <w:tcBorders>
          <w:top w:val="double" w:sz="2" w:space="0" w:color="E4A8B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2E7" w:themeFill="accent6" w:themeFillTint="33"/>
      </w:tcPr>
    </w:tblStylePr>
    <w:tblStylePr w:type="band1Horz">
      <w:tblPr/>
      <w:tcPr>
        <w:shd w:val="clear" w:color="auto" w:fill="F6E2E7" w:themeFill="accent6" w:themeFillTint="33"/>
      </w:tcPr>
    </w:tblStylePr>
  </w:style>
  <w:style w:type="table" w:styleId="GridTable2-Accent5">
    <w:name w:val="Grid Table 2 Accent 5"/>
    <w:basedOn w:val="TableNormal"/>
    <w:uiPriority w:val="47"/>
    <w:rsid w:val="00257CFA"/>
    <w:pPr>
      <w:spacing w:after="0" w:line="240" w:lineRule="auto"/>
    </w:pPr>
    <w:tblPr>
      <w:tblStyleRowBandSize w:val="1"/>
      <w:tblStyleColBandSize w:val="1"/>
      <w:tblBorders>
        <w:top w:val="single" w:sz="2" w:space="0" w:color="E4ADA3" w:themeColor="accent5" w:themeTint="99"/>
        <w:bottom w:val="single" w:sz="2" w:space="0" w:color="E4ADA3" w:themeColor="accent5" w:themeTint="99"/>
        <w:insideH w:val="single" w:sz="2" w:space="0" w:color="E4ADA3" w:themeColor="accent5" w:themeTint="99"/>
        <w:insideV w:val="single" w:sz="2" w:space="0" w:color="E4ADA3" w:themeColor="accent5" w:themeTint="99"/>
      </w:tblBorders>
    </w:tblPr>
    <w:tblStylePr w:type="firstRow">
      <w:rPr>
        <w:b/>
        <w:bCs/>
      </w:rPr>
      <w:tblPr/>
      <w:tcPr>
        <w:tcBorders>
          <w:top w:val="nil"/>
          <w:bottom w:val="single" w:sz="12" w:space="0" w:color="E4ADA3" w:themeColor="accent5" w:themeTint="99"/>
          <w:insideH w:val="nil"/>
          <w:insideV w:val="nil"/>
        </w:tcBorders>
        <w:shd w:val="clear" w:color="auto" w:fill="FFFFFF" w:themeFill="background1"/>
      </w:tcPr>
    </w:tblStylePr>
    <w:tblStylePr w:type="lastRow">
      <w:rPr>
        <w:b/>
        <w:bCs/>
      </w:rPr>
      <w:tblPr/>
      <w:tcPr>
        <w:tcBorders>
          <w:top w:val="double" w:sz="2" w:space="0" w:color="E4AD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3E0" w:themeFill="accent5" w:themeFillTint="33"/>
      </w:tcPr>
    </w:tblStylePr>
    <w:tblStylePr w:type="band1Horz">
      <w:tblPr/>
      <w:tcPr>
        <w:shd w:val="clear" w:color="auto" w:fill="F6E3E0" w:themeFill="accent5" w:themeFillTint="33"/>
      </w:tcPr>
    </w:tblStylePr>
  </w:style>
  <w:style w:type="character" w:styleId="FollowedHyperlink">
    <w:name w:val="FollowedHyperlink"/>
    <w:basedOn w:val="DefaultParagraphFont"/>
    <w:uiPriority w:val="99"/>
    <w:semiHidden/>
    <w:unhideWhenUsed/>
    <w:rsid w:val="00AC24B0"/>
    <w:rPr>
      <w:color w:val="6EADB2" w:themeColor="followedHyperlink"/>
      <w:u w:val="single"/>
    </w:rPr>
  </w:style>
  <w:style w:type="character" w:styleId="Mention">
    <w:name w:val="Mention"/>
    <w:basedOn w:val="DefaultParagraphFont"/>
    <w:uiPriority w:val="99"/>
    <w:unhideWhenUsed/>
    <w:rsid w:val="003A0F9A"/>
    <w:rPr>
      <w:color w:val="2B579A"/>
      <w:shd w:val="clear" w:color="auto" w:fill="E1DFDD"/>
    </w:rPr>
  </w:style>
  <w:style w:type="paragraph" w:styleId="Revision">
    <w:name w:val="Revision"/>
    <w:hidden/>
    <w:uiPriority w:val="99"/>
    <w:semiHidden/>
    <w:rsid w:val="00D33BFB"/>
    <w:pPr>
      <w:spacing w:after="0" w:line="240" w:lineRule="auto"/>
    </w:pPr>
  </w:style>
  <w:style w:type="character" w:customStyle="1" w:styleId="ListParagraphChar">
    <w:name w:val="List Paragraph Char"/>
    <w:link w:val="ListParagraph"/>
    <w:uiPriority w:val="34"/>
    <w:rsid w:val="00FA4C60"/>
  </w:style>
  <w:style w:type="paragraph" w:styleId="TOC3">
    <w:name w:val="toc 3"/>
    <w:basedOn w:val="Normal"/>
    <w:next w:val="Normal"/>
    <w:autoRedefine/>
    <w:uiPriority w:val="39"/>
    <w:unhideWhenUsed/>
    <w:rsid w:val="00240C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58541">
      <w:bodyDiv w:val="1"/>
      <w:marLeft w:val="0"/>
      <w:marRight w:val="0"/>
      <w:marTop w:val="0"/>
      <w:marBottom w:val="0"/>
      <w:divBdr>
        <w:top w:val="none" w:sz="0" w:space="0" w:color="auto"/>
        <w:left w:val="none" w:sz="0" w:space="0" w:color="auto"/>
        <w:bottom w:val="none" w:sz="0" w:space="0" w:color="auto"/>
        <w:right w:val="none" w:sz="0" w:space="0" w:color="auto"/>
      </w:divBdr>
    </w:div>
    <w:div w:id="585840432">
      <w:bodyDiv w:val="1"/>
      <w:marLeft w:val="0"/>
      <w:marRight w:val="0"/>
      <w:marTop w:val="0"/>
      <w:marBottom w:val="0"/>
      <w:divBdr>
        <w:top w:val="none" w:sz="0" w:space="0" w:color="auto"/>
        <w:left w:val="none" w:sz="0" w:space="0" w:color="auto"/>
        <w:bottom w:val="none" w:sz="0" w:space="0" w:color="auto"/>
        <w:right w:val="none" w:sz="0" w:space="0" w:color="auto"/>
      </w:divBdr>
    </w:div>
    <w:div w:id="880828550">
      <w:bodyDiv w:val="1"/>
      <w:marLeft w:val="0"/>
      <w:marRight w:val="0"/>
      <w:marTop w:val="0"/>
      <w:marBottom w:val="0"/>
      <w:divBdr>
        <w:top w:val="none" w:sz="0" w:space="0" w:color="auto"/>
        <w:left w:val="none" w:sz="0" w:space="0" w:color="auto"/>
        <w:bottom w:val="none" w:sz="0" w:space="0" w:color="auto"/>
        <w:right w:val="none" w:sz="0" w:space="0" w:color="auto"/>
      </w:divBdr>
    </w:div>
    <w:div w:id="1000155924">
      <w:bodyDiv w:val="1"/>
      <w:marLeft w:val="0"/>
      <w:marRight w:val="0"/>
      <w:marTop w:val="0"/>
      <w:marBottom w:val="0"/>
      <w:divBdr>
        <w:top w:val="none" w:sz="0" w:space="0" w:color="auto"/>
        <w:left w:val="none" w:sz="0" w:space="0" w:color="auto"/>
        <w:bottom w:val="none" w:sz="0" w:space="0" w:color="auto"/>
        <w:right w:val="none" w:sz="0" w:space="0" w:color="auto"/>
      </w:divBdr>
    </w:div>
    <w:div w:id="1040667206">
      <w:bodyDiv w:val="1"/>
      <w:marLeft w:val="0"/>
      <w:marRight w:val="0"/>
      <w:marTop w:val="0"/>
      <w:marBottom w:val="0"/>
      <w:divBdr>
        <w:top w:val="none" w:sz="0" w:space="0" w:color="auto"/>
        <w:left w:val="none" w:sz="0" w:space="0" w:color="auto"/>
        <w:bottom w:val="none" w:sz="0" w:space="0" w:color="auto"/>
        <w:right w:val="none" w:sz="0" w:space="0" w:color="auto"/>
      </w:divBdr>
    </w:div>
    <w:div w:id="1140153573">
      <w:bodyDiv w:val="1"/>
      <w:marLeft w:val="0"/>
      <w:marRight w:val="0"/>
      <w:marTop w:val="0"/>
      <w:marBottom w:val="0"/>
      <w:divBdr>
        <w:top w:val="none" w:sz="0" w:space="0" w:color="auto"/>
        <w:left w:val="none" w:sz="0" w:space="0" w:color="auto"/>
        <w:bottom w:val="none" w:sz="0" w:space="0" w:color="auto"/>
        <w:right w:val="none" w:sz="0" w:space="0" w:color="auto"/>
      </w:divBdr>
    </w:div>
    <w:div w:id="1542549462">
      <w:bodyDiv w:val="1"/>
      <w:marLeft w:val="0"/>
      <w:marRight w:val="0"/>
      <w:marTop w:val="0"/>
      <w:marBottom w:val="0"/>
      <w:divBdr>
        <w:top w:val="none" w:sz="0" w:space="0" w:color="auto"/>
        <w:left w:val="none" w:sz="0" w:space="0" w:color="auto"/>
        <w:bottom w:val="none" w:sz="0" w:space="0" w:color="auto"/>
        <w:right w:val="none" w:sz="0" w:space="0" w:color="auto"/>
      </w:divBdr>
    </w:div>
    <w:div w:id="1651250668">
      <w:bodyDiv w:val="1"/>
      <w:marLeft w:val="0"/>
      <w:marRight w:val="0"/>
      <w:marTop w:val="0"/>
      <w:marBottom w:val="0"/>
      <w:divBdr>
        <w:top w:val="none" w:sz="0" w:space="0" w:color="auto"/>
        <w:left w:val="none" w:sz="0" w:space="0" w:color="auto"/>
        <w:bottom w:val="none" w:sz="0" w:space="0" w:color="auto"/>
        <w:right w:val="none" w:sz="0" w:space="0" w:color="auto"/>
      </w:divBdr>
    </w:div>
    <w:div w:id="21360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gio.Fernandes@ifrc.org" TargetMode="External"/><Relationship Id="rId18" Type="http://schemas.openxmlformats.org/officeDocument/2006/relationships/hyperlink" Target="https://cash-hub.org/fr/" TargetMode="External"/><Relationship Id="rId26" Type="http://schemas.openxmlformats.org/officeDocument/2006/relationships/image" Target="media/image4.emf"/><Relationship Id="rId21" Type="http://schemas.openxmlformats.org/officeDocument/2006/relationships/hyperlink" Target="https://fednet.ifrc.org/FedNet/Our%20IFRC/Procedures%20Database/Procedures/092_e_v300_Procurement%20Manual.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aja.Tonning@ifrc.org" TargetMode="External"/><Relationship Id="rId17" Type="http://schemas.openxmlformats.org/officeDocument/2006/relationships/hyperlink" Target="https://cash-hub.org/fr/instructions-et-outils/guides-programmatiques/" TargetMode="External"/><Relationship Id="rId25" Type="http://schemas.openxmlformats.org/officeDocument/2006/relationships/package" Target="embeddings/Microsoft_Word_Document.docx"/><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cmcash.org/fr/boite-a-outils/" TargetMode="External"/><Relationship Id="rId20" Type="http://schemas.openxmlformats.org/officeDocument/2006/relationships/hyperlink" Target="https://cash-hub.org/wp-content/uploads/sites/3/2021/07/CVA-Data-Protection-Guidance-final-French.pdf" TargetMode="External"/><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sh-hub.org/resources/africa-cash-community-of-practice/africa-cop-key-documents-and-tools/" TargetMode="External"/><Relationship Id="rId23" Type="http://schemas.openxmlformats.org/officeDocument/2006/relationships/hyperlink" Target="https://ifrc.csod.com/ui/lms-learning-details/app/curriculum/e095751e-53d5-4e26-9f66-ee1db2c65e5d" TargetMode="External"/><Relationship Id="rId28" Type="http://schemas.openxmlformats.org/officeDocument/2006/relationships/image" Target="media/image5.e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cash-hub.org/wp-content/uploads/sites/3/2021/12/FSP-Procurement-Package-in-French.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ren.OYAYO@ifrc.org" TargetMode="External"/><Relationship Id="rId22" Type="http://schemas.openxmlformats.org/officeDocument/2006/relationships/hyperlink" Target="https://ifrc.csod.com/ui/lms-learning-details/app/curriculum/e095751e-53d5-4e26-9f66-ee1db2c65e5d" TargetMode="External"/><Relationship Id="rId27" Type="http://schemas.openxmlformats.org/officeDocument/2006/relationships/package" Target="embeddings/Microsoft_Word_Document1.docx"/><Relationship Id="rId30" Type="http://schemas.openxmlformats.org/officeDocument/2006/relationships/hyperlink" Target="https://cash-hub.org/resources/africa-cash-community-of-practice/africa-cop-key-documents-and-tool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cash-hub.org/resource/ifrc-procurement-manual/" TargetMode="External"/><Relationship Id="rId1" Type="http://schemas.openxmlformats.org/officeDocument/2006/relationships/hyperlink" Target="https://www.calpnetwork.org/resources/glossary-of-te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eme_KAC">
  <a:themeElements>
    <a:clrScheme name="Custom 6">
      <a:dk1>
        <a:sysClr val="windowText" lastClr="000000"/>
      </a:dk1>
      <a:lt1>
        <a:srgbClr val="FFFFFF"/>
      </a:lt1>
      <a:dk2>
        <a:srgbClr val="003843"/>
      </a:dk2>
      <a:lt2>
        <a:srgbClr val="503249"/>
      </a:lt2>
      <a:accent1>
        <a:srgbClr val="003843"/>
      </a:accent1>
      <a:accent2>
        <a:srgbClr val="003843"/>
      </a:accent2>
      <a:accent3>
        <a:srgbClr val="EBEF78"/>
      </a:accent3>
      <a:accent4>
        <a:srgbClr val="EBBB6F"/>
      </a:accent4>
      <a:accent5>
        <a:srgbClr val="D27867"/>
      </a:accent5>
      <a:accent6>
        <a:srgbClr val="D26F8A"/>
      </a:accent6>
      <a:hlink>
        <a:srgbClr val="6EADB2"/>
      </a:hlink>
      <a:folHlink>
        <a:srgbClr val="6EADB2"/>
      </a:folHlink>
    </a:clrScheme>
    <a:fontScheme name="Personnalisé 1">
      <a:majorFont>
        <a:latin typeface="Segoe UI Semilight"/>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FFFF"/>
          </a:solidFill>
        </a:ln>
      </a:spPr>
      <a:bodyPr rtlCol="0" anchor="ctr"/>
      <a:lstStyle>
        <a:defPPr algn="ctr">
          <a:defRPr baseline="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ème_keyaidconsulting_2" id="{4C419016-16C7-4099-9A26-78942E8D6CF3}" vid="{7BA6B3CD-089D-4490-890F-F363DC8000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66E3CD12EA64C9FEB9FA03E6376F3" ma:contentTypeVersion="4" ma:contentTypeDescription="Create a new document." ma:contentTypeScope="" ma:versionID="5815471ff850a6212cfb9e86b10c2302">
  <xsd:schema xmlns:xsd="http://www.w3.org/2001/XMLSchema" xmlns:xs="http://www.w3.org/2001/XMLSchema" xmlns:p="http://schemas.microsoft.com/office/2006/metadata/properties" xmlns:ns2="b5bd965e-0135-45dc-98f4-b0678046be6c" targetNamespace="http://schemas.microsoft.com/office/2006/metadata/properties" ma:root="true" ma:fieldsID="fc5029999429f8ad2dfa23773dbbc72a" ns2:_="">
    <xsd:import namespace="b5bd965e-0135-45dc-98f4-b0678046b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965e-0135-45dc-98f4-b0678046b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F0C8-E675-4EC7-AB01-B05FDDFF33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3AEC0B-F373-4A2F-B149-33DFFB6DF947}">
  <ds:schemaRefs>
    <ds:schemaRef ds:uri="http://schemas.microsoft.com/sharepoint/v3/contenttype/forms"/>
  </ds:schemaRefs>
</ds:datastoreItem>
</file>

<file path=customXml/itemProps3.xml><?xml version="1.0" encoding="utf-8"?>
<ds:datastoreItem xmlns:ds="http://schemas.openxmlformats.org/officeDocument/2006/customXml" ds:itemID="{7B5D32F7-604A-4E14-B601-CA78CE26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d965e-0135-45dc-98f4-b0678046b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B9D2D1-6754-42C5-A087-6C75398FF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24</Pages>
  <Words>7524</Words>
  <Characters>45902</Characters>
  <Application>Microsoft Office Word</Application>
  <DocSecurity>0</DocSecurity>
  <Lines>382</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53320</CharactersWithSpaces>
  <SharedDoc>false</SharedDoc>
  <HLinks>
    <vt:vector size="234" baseType="variant">
      <vt:variant>
        <vt:i4>6553669</vt:i4>
      </vt:variant>
      <vt:variant>
        <vt:i4>180</vt:i4>
      </vt:variant>
      <vt:variant>
        <vt:i4>0</vt:i4>
      </vt:variant>
      <vt:variant>
        <vt:i4>5</vt:i4>
      </vt:variant>
      <vt:variant>
        <vt:lpwstr>https://euc-word-edit.officeapps.live.com/we/wordeditorframe.aspx?ui=en%2DUS&amp;rs=en%2DUS&amp;actnavid=eyJjIjo2MjQ5MDU1Mzd9&amp;wopisrc=https%3A%2F%2Fifrcorg.sharepoint.com%2Fsites%2FCash-logs-FSPprocurement%2F_vti_bin%2Fwopi.ashx%2Ffiles%2F5e4db8ef3e1d4fd582443942b060bfbc&amp;wdenableroaming=1&amp;mscc=1&amp;hid=6DF403A0-A002-3000-71FC-8C214A00F236&amp;wdorigin=AuthPrompt&amp;jsapi=1&amp;jsapiver=v1&amp;newsession=1&amp;corrid=b66f4d8c-1e00-83ac-504a-cb7977e670c6&amp;usid=b66f4d8c-1e00-83ac-504a-cb7977e670c6&amp;sftc=1&amp;mtf=1&amp;sfp=1&amp;instantedit=1&amp;wopicomplete=1&amp;wdredirectionreason=Unified_SingleFlush&amp;preseededsessionkey=860e1764-18f8-f5ff-b5cd-1bf38e5d3541&amp;preseededwacsessionid=b66f4d8c-1e00-83ac-504a-cb7977e670c6&amp;rct=Medium&amp;ctp=LeastProtected</vt:lpwstr>
      </vt:variant>
      <vt:variant>
        <vt:lpwstr>_ftn1</vt:lpwstr>
      </vt:variant>
      <vt:variant>
        <vt:i4>917557</vt:i4>
      </vt:variant>
      <vt:variant>
        <vt:i4>165</vt:i4>
      </vt:variant>
      <vt:variant>
        <vt:i4>0</vt:i4>
      </vt:variant>
      <vt:variant>
        <vt:i4>5</vt:i4>
      </vt:variant>
      <vt:variant>
        <vt:lpwstr/>
      </vt:variant>
      <vt:variant>
        <vt:lpwstr>_Annex_2:_Checklist</vt:lpwstr>
      </vt:variant>
      <vt:variant>
        <vt:i4>131099</vt:i4>
      </vt:variant>
      <vt:variant>
        <vt:i4>162</vt:i4>
      </vt:variant>
      <vt:variant>
        <vt:i4>0</vt:i4>
      </vt:variant>
      <vt:variant>
        <vt:i4>5</vt:i4>
      </vt:variant>
      <vt:variant>
        <vt:lpwstr>https://ifrc.csod.com/ui/lms-learning-details/app/curriculum/e095751e-53d5-4e26-9f66-ee1db2c65e5d</vt:lpwstr>
      </vt:variant>
      <vt:variant>
        <vt:lpwstr/>
      </vt:variant>
      <vt:variant>
        <vt:i4>131099</vt:i4>
      </vt:variant>
      <vt:variant>
        <vt:i4>159</vt:i4>
      </vt:variant>
      <vt:variant>
        <vt:i4>0</vt:i4>
      </vt:variant>
      <vt:variant>
        <vt:i4>5</vt:i4>
      </vt:variant>
      <vt:variant>
        <vt:lpwstr>https://ifrc.csod.com/ui/lms-learning-details/app/curriculum/e095751e-53d5-4e26-9f66-ee1db2c65e5d</vt:lpwstr>
      </vt:variant>
      <vt:variant>
        <vt:lpwstr/>
      </vt:variant>
      <vt:variant>
        <vt:i4>3014683</vt:i4>
      </vt:variant>
      <vt:variant>
        <vt:i4>156</vt:i4>
      </vt:variant>
      <vt:variant>
        <vt:i4>0</vt:i4>
      </vt:variant>
      <vt:variant>
        <vt:i4>5</vt:i4>
      </vt:variant>
      <vt:variant>
        <vt:lpwstr>https://fednet.ifrc.org/FedNet/Our IFRC/Procedures Database/Procedures/092_e_v300_Procurement Manual.pdf</vt:lpwstr>
      </vt:variant>
      <vt:variant>
        <vt:lpwstr/>
      </vt:variant>
      <vt:variant>
        <vt:i4>2031646</vt:i4>
      </vt:variant>
      <vt:variant>
        <vt:i4>153</vt:i4>
      </vt:variant>
      <vt:variant>
        <vt:i4>0</vt:i4>
      </vt:variant>
      <vt:variant>
        <vt:i4>5</vt:i4>
      </vt:variant>
      <vt:variant>
        <vt:lpwstr>https://cash-hub.org/wp-content/uploads/sites/3/2021/07/CVA-Data-Protection-Guidance-final-French.pdf</vt:lpwstr>
      </vt:variant>
      <vt:variant>
        <vt:lpwstr/>
      </vt:variant>
      <vt:variant>
        <vt:i4>2293883</vt:i4>
      </vt:variant>
      <vt:variant>
        <vt:i4>150</vt:i4>
      </vt:variant>
      <vt:variant>
        <vt:i4>0</vt:i4>
      </vt:variant>
      <vt:variant>
        <vt:i4>5</vt:i4>
      </vt:variant>
      <vt:variant>
        <vt:lpwstr>https://cash-hub.org/wp-content/uploads/sites/3/2021/01/CVA-Data-Protection-Guidance-final.pdf</vt:lpwstr>
      </vt:variant>
      <vt:variant>
        <vt:lpwstr/>
      </vt:variant>
      <vt:variant>
        <vt:i4>7864395</vt:i4>
      </vt:variant>
      <vt:variant>
        <vt:i4>144</vt:i4>
      </vt:variant>
      <vt:variant>
        <vt:i4>0</vt:i4>
      </vt:variant>
      <vt:variant>
        <vt:i4>5</vt:i4>
      </vt:variant>
      <vt:variant>
        <vt:lpwstr/>
      </vt:variant>
      <vt:variant>
        <vt:lpwstr>_Annex_2:_Process</vt:lpwstr>
      </vt:variant>
      <vt:variant>
        <vt:i4>6291485</vt:i4>
      </vt:variant>
      <vt:variant>
        <vt:i4>141</vt:i4>
      </vt:variant>
      <vt:variant>
        <vt:i4>0</vt:i4>
      </vt:variant>
      <vt:variant>
        <vt:i4>5</vt:i4>
      </vt:variant>
      <vt:variant>
        <vt:lpwstr>https://cash-hub.org/wp-content/uploads/sites/3/2020/11/2_4_2-IFRC-CBP-SOPs_EN-2.docx</vt:lpwstr>
      </vt:variant>
      <vt:variant>
        <vt:lpwstr/>
      </vt:variant>
      <vt:variant>
        <vt:i4>5439497</vt:i4>
      </vt:variant>
      <vt:variant>
        <vt:i4>138</vt:i4>
      </vt:variant>
      <vt:variant>
        <vt:i4>0</vt:i4>
      </vt:variant>
      <vt:variant>
        <vt:i4>5</vt:i4>
      </vt:variant>
      <vt:variant>
        <vt:lpwstr>https://cash-hub.org/fr/</vt:lpwstr>
      </vt:variant>
      <vt:variant>
        <vt:lpwstr/>
      </vt:variant>
      <vt:variant>
        <vt:i4>1704020</vt:i4>
      </vt:variant>
      <vt:variant>
        <vt:i4>135</vt:i4>
      </vt:variant>
      <vt:variant>
        <vt:i4>0</vt:i4>
      </vt:variant>
      <vt:variant>
        <vt:i4>5</vt:i4>
      </vt:variant>
      <vt:variant>
        <vt:lpwstr>https://cash-hub.org/</vt:lpwstr>
      </vt:variant>
      <vt:variant>
        <vt:lpwstr/>
      </vt:variant>
      <vt:variant>
        <vt:i4>7995493</vt:i4>
      </vt:variant>
      <vt:variant>
        <vt:i4>132</vt:i4>
      </vt:variant>
      <vt:variant>
        <vt:i4>0</vt:i4>
      </vt:variant>
      <vt:variant>
        <vt:i4>5</vt:i4>
      </vt:variant>
      <vt:variant>
        <vt:lpwstr>https://cash-hub.org/guidance-and-tools/programme-guidance/</vt:lpwstr>
      </vt:variant>
      <vt:variant>
        <vt:lpwstr/>
      </vt:variant>
      <vt:variant>
        <vt:i4>3407971</vt:i4>
      </vt:variant>
      <vt:variant>
        <vt:i4>129</vt:i4>
      </vt:variant>
      <vt:variant>
        <vt:i4>0</vt:i4>
      </vt:variant>
      <vt:variant>
        <vt:i4>5</vt:i4>
      </vt:variant>
      <vt:variant>
        <vt:lpwstr>https://rcmcash.org/fr/boite-a-outils/</vt:lpwstr>
      </vt:variant>
      <vt:variant>
        <vt:lpwstr/>
      </vt:variant>
      <vt:variant>
        <vt:i4>1114206</vt:i4>
      </vt:variant>
      <vt:variant>
        <vt:i4>126</vt:i4>
      </vt:variant>
      <vt:variant>
        <vt:i4>0</vt:i4>
      </vt:variant>
      <vt:variant>
        <vt:i4>5</vt:i4>
      </vt:variant>
      <vt:variant>
        <vt:lpwstr>https://rcmcash.org/</vt:lpwstr>
      </vt:variant>
      <vt:variant>
        <vt:lpwstr/>
      </vt:variant>
      <vt:variant>
        <vt:i4>1835064</vt:i4>
      </vt:variant>
      <vt:variant>
        <vt:i4>123</vt:i4>
      </vt:variant>
      <vt:variant>
        <vt:i4>0</vt:i4>
      </vt:variant>
      <vt:variant>
        <vt:i4>5</vt:i4>
      </vt:variant>
      <vt:variant>
        <vt:lpwstr/>
      </vt:variant>
      <vt:variant>
        <vt:lpwstr>_Annex_3:_Glossary</vt:lpwstr>
      </vt:variant>
      <vt:variant>
        <vt:i4>1638460</vt:i4>
      </vt:variant>
      <vt:variant>
        <vt:i4>116</vt:i4>
      </vt:variant>
      <vt:variant>
        <vt:i4>0</vt:i4>
      </vt:variant>
      <vt:variant>
        <vt:i4>5</vt:i4>
      </vt:variant>
      <vt:variant>
        <vt:lpwstr/>
      </vt:variant>
      <vt:variant>
        <vt:lpwstr>_Toc88041153</vt:lpwstr>
      </vt:variant>
      <vt:variant>
        <vt:i4>1572924</vt:i4>
      </vt:variant>
      <vt:variant>
        <vt:i4>110</vt:i4>
      </vt:variant>
      <vt:variant>
        <vt:i4>0</vt:i4>
      </vt:variant>
      <vt:variant>
        <vt:i4>5</vt:i4>
      </vt:variant>
      <vt:variant>
        <vt:lpwstr/>
      </vt:variant>
      <vt:variant>
        <vt:lpwstr>_Toc88041152</vt:lpwstr>
      </vt:variant>
      <vt:variant>
        <vt:i4>1769532</vt:i4>
      </vt:variant>
      <vt:variant>
        <vt:i4>104</vt:i4>
      </vt:variant>
      <vt:variant>
        <vt:i4>0</vt:i4>
      </vt:variant>
      <vt:variant>
        <vt:i4>5</vt:i4>
      </vt:variant>
      <vt:variant>
        <vt:lpwstr/>
      </vt:variant>
      <vt:variant>
        <vt:lpwstr>_Toc88041151</vt:lpwstr>
      </vt:variant>
      <vt:variant>
        <vt:i4>1703996</vt:i4>
      </vt:variant>
      <vt:variant>
        <vt:i4>98</vt:i4>
      </vt:variant>
      <vt:variant>
        <vt:i4>0</vt:i4>
      </vt:variant>
      <vt:variant>
        <vt:i4>5</vt:i4>
      </vt:variant>
      <vt:variant>
        <vt:lpwstr/>
      </vt:variant>
      <vt:variant>
        <vt:lpwstr>_Toc88041150</vt:lpwstr>
      </vt:variant>
      <vt:variant>
        <vt:i4>1245245</vt:i4>
      </vt:variant>
      <vt:variant>
        <vt:i4>92</vt:i4>
      </vt:variant>
      <vt:variant>
        <vt:i4>0</vt:i4>
      </vt:variant>
      <vt:variant>
        <vt:i4>5</vt:i4>
      </vt:variant>
      <vt:variant>
        <vt:lpwstr/>
      </vt:variant>
      <vt:variant>
        <vt:lpwstr>_Toc88041149</vt:lpwstr>
      </vt:variant>
      <vt:variant>
        <vt:i4>1179709</vt:i4>
      </vt:variant>
      <vt:variant>
        <vt:i4>86</vt:i4>
      </vt:variant>
      <vt:variant>
        <vt:i4>0</vt:i4>
      </vt:variant>
      <vt:variant>
        <vt:i4>5</vt:i4>
      </vt:variant>
      <vt:variant>
        <vt:lpwstr/>
      </vt:variant>
      <vt:variant>
        <vt:lpwstr>_Toc88041148</vt:lpwstr>
      </vt:variant>
      <vt:variant>
        <vt:i4>1900605</vt:i4>
      </vt:variant>
      <vt:variant>
        <vt:i4>80</vt:i4>
      </vt:variant>
      <vt:variant>
        <vt:i4>0</vt:i4>
      </vt:variant>
      <vt:variant>
        <vt:i4>5</vt:i4>
      </vt:variant>
      <vt:variant>
        <vt:lpwstr/>
      </vt:variant>
      <vt:variant>
        <vt:lpwstr>_Toc88041147</vt:lpwstr>
      </vt:variant>
      <vt:variant>
        <vt:i4>1835069</vt:i4>
      </vt:variant>
      <vt:variant>
        <vt:i4>74</vt:i4>
      </vt:variant>
      <vt:variant>
        <vt:i4>0</vt:i4>
      </vt:variant>
      <vt:variant>
        <vt:i4>5</vt:i4>
      </vt:variant>
      <vt:variant>
        <vt:lpwstr/>
      </vt:variant>
      <vt:variant>
        <vt:lpwstr>_Toc88041146</vt:lpwstr>
      </vt:variant>
      <vt:variant>
        <vt:i4>2031677</vt:i4>
      </vt:variant>
      <vt:variant>
        <vt:i4>68</vt:i4>
      </vt:variant>
      <vt:variant>
        <vt:i4>0</vt:i4>
      </vt:variant>
      <vt:variant>
        <vt:i4>5</vt:i4>
      </vt:variant>
      <vt:variant>
        <vt:lpwstr/>
      </vt:variant>
      <vt:variant>
        <vt:lpwstr>_Toc88041145</vt:lpwstr>
      </vt:variant>
      <vt:variant>
        <vt:i4>1966141</vt:i4>
      </vt:variant>
      <vt:variant>
        <vt:i4>62</vt:i4>
      </vt:variant>
      <vt:variant>
        <vt:i4>0</vt:i4>
      </vt:variant>
      <vt:variant>
        <vt:i4>5</vt:i4>
      </vt:variant>
      <vt:variant>
        <vt:lpwstr/>
      </vt:variant>
      <vt:variant>
        <vt:lpwstr>_Toc88041144</vt:lpwstr>
      </vt:variant>
      <vt:variant>
        <vt:i4>1638461</vt:i4>
      </vt:variant>
      <vt:variant>
        <vt:i4>56</vt:i4>
      </vt:variant>
      <vt:variant>
        <vt:i4>0</vt:i4>
      </vt:variant>
      <vt:variant>
        <vt:i4>5</vt:i4>
      </vt:variant>
      <vt:variant>
        <vt:lpwstr/>
      </vt:variant>
      <vt:variant>
        <vt:lpwstr>_Toc88041143</vt:lpwstr>
      </vt:variant>
      <vt:variant>
        <vt:i4>1572925</vt:i4>
      </vt:variant>
      <vt:variant>
        <vt:i4>50</vt:i4>
      </vt:variant>
      <vt:variant>
        <vt:i4>0</vt:i4>
      </vt:variant>
      <vt:variant>
        <vt:i4>5</vt:i4>
      </vt:variant>
      <vt:variant>
        <vt:lpwstr/>
      </vt:variant>
      <vt:variant>
        <vt:lpwstr>_Toc88041142</vt:lpwstr>
      </vt:variant>
      <vt:variant>
        <vt:i4>1769533</vt:i4>
      </vt:variant>
      <vt:variant>
        <vt:i4>44</vt:i4>
      </vt:variant>
      <vt:variant>
        <vt:i4>0</vt:i4>
      </vt:variant>
      <vt:variant>
        <vt:i4>5</vt:i4>
      </vt:variant>
      <vt:variant>
        <vt:lpwstr/>
      </vt:variant>
      <vt:variant>
        <vt:lpwstr>_Toc88041141</vt:lpwstr>
      </vt:variant>
      <vt:variant>
        <vt:i4>1703997</vt:i4>
      </vt:variant>
      <vt:variant>
        <vt:i4>38</vt:i4>
      </vt:variant>
      <vt:variant>
        <vt:i4>0</vt:i4>
      </vt:variant>
      <vt:variant>
        <vt:i4>5</vt:i4>
      </vt:variant>
      <vt:variant>
        <vt:lpwstr/>
      </vt:variant>
      <vt:variant>
        <vt:lpwstr>_Toc88041140</vt:lpwstr>
      </vt:variant>
      <vt:variant>
        <vt:i4>1245242</vt:i4>
      </vt:variant>
      <vt:variant>
        <vt:i4>32</vt:i4>
      </vt:variant>
      <vt:variant>
        <vt:i4>0</vt:i4>
      </vt:variant>
      <vt:variant>
        <vt:i4>5</vt:i4>
      </vt:variant>
      <vt:variant>
        <vt:lpwstr/>
      </vt:variant>
      <vt:variant>
        <vt:lpwstr>_Toc88041139</vt:lpwstr>
      </vt:variant>
      <vt:variant>
        <vt:i4>1179706</vt:i4>
      </vt:variant>
      <vt:variant>
        <vt:i4>26</vt:i4>
      </vt:variant>
      <vt:variant>
        <vt:i4>0</vt:i4>
      </vt:variant>
      <vt:variant>
        <vt:i4>5</vt:i4>
      </vt:variant>
      <vt:variant>
        <vt:lpwstr/>
      </vt:variant>
      <vt:variant>
        <vt:lpwstr>_Toc88041138</vt:lpwstr>
      </vt:variant>
      <vt:variant>
        <vt:i4>1900602</vt:i4>
      </vt:variant>
      <vt:variant>
        <vt:i4>20</vt:i4>
      </vt:variant>
      <vt:variant>
        <vt:i4>0</vt:i4>
      </vt:variant>
      <vt:variant>
        <vt:i4>5</vt:i4>
      </vt:variant>
      <vt:variant>
        <vt:lpwstr/>
      </vt:variant>
      <vt:variant>
        <vt:lpwstr>_Toc88041137</vt:lpwstr>
      </vt:variant>
      <vt:variant>
        <vt:i4>1835066</vt:i4>
      </vt:variant>
      <vt:variant>
        <vt:i4>14</vt:i4>
      </vt:variant>
      <vt:variant>
        <vt:i4>0</vt:i4>
      </vt:variant>
      <vt:variant>
        <vt:i4>5</vt:i4>
      </vt:variant>
      <vt:variant>
        <vt:lpwstr/>
      </vt:variant>
      <vt:variant>
        <vt:lpwstr>_Toc88041136</vt:lpwstr>
      </vt:variant>
      <vt:variant>
        <vt:i4>7667729</vt:i4>
      </vt:variant>
      <vt:variant>
        <vt:i4>9</vt:i4>
      </vt:variant>
      <vt:variant>
        <vt:i4>0</vt:i4>
      </vt:variant>
      <vt:variant>
        <vt:i4>5</vt:i4>
      </vt:variant>
      <vt:variant>
        <vt:lpwstr>mailto:Carren.OYAYO@ifrc.org</vt:lpwstr>
      </vt:variant>
      <vt:variant>
        <vt:lpwstr/>
      </vt:variant>
      <vt:variant>
        <vt:i4>6881282</vt:i4>
      </vt:variant>
      <vt:variant>
        <vt:i4>6</vt:i4>
      </vt:variant>
      <vt:variant>
        <vt:i4>0</vt:i4>
      </vt:variant>
      <vt:variant>
        <vt:i4>5</vt:i4>
      </vt:variant>
      <vt:variant>
        <vt:lpwstr>mailto:Sergio.Fernandes@ifrc.org</vt:lpwstr>
      </vt:variant>
      <vt:variant>
        <vt:lpwstr/>
      </vt:variant>
      <vt:variant>
        <vt:i4>6881305</vt:i4>
      </vt:variant>
      <vt:variant>
        <vt:i4>3</vt:i4>
      </vt:variant>
      <vt:variant>
        <vt:i4>0</vt:i4>
      </vt:variant>
      <vt:variant>
        <vt:i4>5</vt:i4>
      </vt:variant>
      <vt:variant>
        <vt:lpwstr>mailto:Maja.Tonning@ifrc.org</vt:lpwstr>
      </vt:variant>
      <vt:variant>
        <vt:lpwstr/>
      </vt:variant>
      <vt:variant>
        <vt:i4>7602277</vt:i4>
      </vt:variant>
      <vt:variant>
        <vt:i4>3</vt:i4>
      </vt:variant>
      <vt:variant>
        <vt:i4>0</vt:i4>
      </vt:variant>
      <vt:variant>
        <vt:i4>5</vt:i4>
      </vt:variant>
      <vt:variant>
        <vt:lpwstr>https://cash-hub.org/resource/ifrc-procurement-manual/</vt:lpwstr>
      </vt:variant>
      <vt:variant>
        <vt:lpwstr/>
      </vt:variant>
      <vt:variant>
        <vt:i4>1703946</vt:i4>
      </vt:variant>
      <vt:variant>
        <vt:i4>0</vt:i4>
      </vt:variant>
      <vt:variant>
        <vt:i4>0</vt:i4>
      </vt:variant>
      <vt:variant>
        <vt:i4>5</vt:i4>
      </vt:variant>
      <vt:variant>
        <vt:lpwstr>https://www.calpnetwork.org/resources/glossary-of-terms/</vt:lpwstr>
      </vt:variant>
      <vt:variant>
        <vt:lpwstr/>
      </vt:variant>
      <vt:variant>
        <vt:i4>7667729</vt:i4>
      </vt:variant>
      <vt:variant>
        <vt:i4>0</vt:i4>
      </vt:variant>
      <vt:variant>
        <vt:i4>0</vt:i4>
      </vt:variant>
      <vt:variant>
        <vt:i4>5</vt:i4>
      </vt:variant>
      <vt:variant>
        <vt:lpwstr>mailto:Carren.OYAYO@ifrc.org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DURHAM</dc:creator>
  <cp:keywords/>
  <dc:description/>
  <cp:lastModifiedBy>Maja Tonning</cp:lastModifiedBy>
  <cp:revision>56</cp:revision>
  <cp:lastPrinted>2022-02-28T07:29:00Z</cp:lastPrinted>
  <dcterms:created xsi:type="dcterms:W3CDTF">2022-02-28T06:47:00Z</dcterms:created>
  <dcterms:modified xsi:type="dcterms:W3CDTF">2022-02-28T07:30:00Z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0x010100C1A66E3CD12EA64C9FEB9FA03E6376F3</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2021-05-27T15:48:03Z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49f4e93f-6fbd-44d6-aad3-37540d566a3b</vt:lpwstr>
  </property>
  <property fmtid="{D5CDD505-2E9C-101B-9397-08002B2CF9AE}" pid="12" name="MSIP_Label_caf3f7fd-5cd4-4287-9002-aceb9af13c42_ContentBits">
    <vt:lpwstr>2</vt:lpwstr>
  </property>
</Properties>
</file>