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2DE2" w14:textId="7C840663" w:rsidR="00930A25" w:rsidRDefault="00AD37E5" w:rsidP="00AD37E5">
      <w:pPr>
        <w:pStyle w:val="NormalWeb"/>
        <w:rPr>
          <w:rFonts w:ascii="Segoe UI" w:hAnsi="Segoe UI" w:cs="Segoe UI"/>
          <w:b/>
          <w:bCs/>
          <w:sz w:val="21"/>
          <w:szCs w:val="21"/>
          <w:u w:val="single"/>
        </w:rPr>
      </w:pPr>
      <w:r w:rsidRPr="0048645A">
        <w:rPr>
          <w:rFonts w:ascii="Segoe UI" w:hAnsi="Segoe UI" w:cs="Segoe UI"/>
          <w:b/>
          <w:bCs/>
          <w:sz w:val="21"/>
          <w:szCs w:val="21"/>
          <w:u w:val="single"/>
        </w:rPr>
        <w:t>Questions</w:t>
      </w:r>
      <w:r w:rsidR="00976FE2">
        <w:rPr>
          <w:rFonts w:ascii="Segoe UI" w:hAnsi="Segoe UI" w:cs="Segoe UI"/>
          <w:b/>
          <w:bCs/>
          <w:sz w:val="21"/>
          <w:szCs w:val="21"/>
          <w:u w:val="single"/>
        </w:rPr>
        <w:t xml:space="preserve"> and Answers</w:t>
      </w:r>
      <w:r w:rsidR="006F6412">
        <w:rPr>
          <w:rFonts w:ascii="Segoe UI" w:hAnsi="Segoe UI" w:cs="Segoe UI"/>
          <w:b/>
          <w:bCs/>
          <w:sz w:val="21"/>
          <w:szCs w:val="21"/>
          <w:u w:val="single"/>
        </w:rPr>
        <w:t>: High</w:t>
      </w:r>
      <w:r w:rsidR="005E0D0F">
        <w:rPr>
          <w:rFonts w:ascii="Segoe UI" w:hAnsi="Segoe UI" w:cs="Segoe UI"/>
          <w:b/>
          <w:bCs/>
          <w:sz w:val="21"/>
          <w:szCs w:val="21"/>
          <w:u w:val="single"/>
        </w:rPr>
        <w:t>-</w:t>
      </w:r>
      <w:r w:rsidR="006F6412">
        <w:rPr>
          <w:rFonts w:ascii="Segoe UI" w:hAnsi="Segoe UI" w:cs="Segoe UI"/>
          <w:b/>
          <w:bCs/>
          <w:sz w:val="21"/>
          <w:szCs w:val="21"/>
          <w:u w:val="single"/>
        </w:rPr>
        <w:t>Level Dialogue</w:t>
      </w:r>
    </w:p>
    <w:tbl>
      <w:tblPr>
        <w:tblStyle w:val="TableGrid"/>
        <w:tblW w:w="0" w:type="auto"/>
        <w:tblLook w:val="04A0" w:firstRow="1" w:lastRow="0" w:firstColumn="1" w:lastColumn="0" w:noHBand="0" w:noVBand="1"/>
      </w:tblPr>
      <w:tblGrid>
        <w:gridCol w:w="5386"/>
        <w:gridCol w:w="7574"/>
      </w:tblGrid>
      <w:tr w:rsidR="004B6D04" w14:paraId="60186197" w14:textId="77777777" w:rsidTr="34DDCB98">
        <w:tc>
          <w:tcPr>
            <w:tcW w:w="5386" w:type="dxa"/>
          </w:tcPr>
          <w:p w14:paraId="3FE81995" w14:textId="42DD7CD8" w:rsidR="004B6D04" w:rsidRPr="00930A25" w:rsidRDefault="004B6D04" w:rsidP="00AD37E5">
            <w:pPr>
              <w:pStyle w:val="NormalWeb"/>
              <w:rPr>
                <w:rFonts w:ascii="Segoe UI" w:hAnsi="Segoe UI" w:cs="Segoe UI"/>
                <w:b/>
                <w:bCs/>
                <w:sz w:val="21"/>
                <w:szCs w:val="21"/>
              </w:rPr>
            </w:pPr>
            <w:r>
              <w:rPr>
                <w:rFonts w:ascii="Segoe UI" w:hAnsi="Segoe UI" w:cs="Segoe UI"/>
                <w:b/>
                <w:bCs/>
                <w:sz w:val="21"/>
                <w:szCs w:val="21"/>
              </w:rPr>
              <w:t>Questions</w:t>
            </w:r>
          </w:p>
        </w:tc>
        <w:tc>
          <w:tcPr>
            <w:tcW w:w="7574" w:type="dxa"/>
          </w:tcPr>
          <w:p w14:paraId="462A4EA8" w14:textId="3E8D6429" w:rsidR="004B6D04" w:rsidRPr="00930A25" w:rsidRDefault="004B6D04" w:rsidP="00AD37E5">
            <w:pPr>
              <w:pStyle w:val="NormalWeb"/>
              <w:rPr>
                <w:rFonts w:ascii="Segoe UI" w:hAnsi="Segoe UI" w:cs="Segoe UI"/>
                <w:b/>
                <w:bCs/>
                <w:sz w:val="21"/>
                <w:szCs w:val="21"/>
              </w:rPr>
            </w:pPr>
            <w:r>
              <w:rPr>
                <w:rFonts w:ascii="Segoe UI" w:hAnsi="Segoe UI" w:cs="Segoe UI"/>
                <w:b/>
                <w:bCs/>
                <w:sz w:val="21"/>
                <w:szCs w:val="21"/>
              </w:rPr>
              <w:t>Responses</w:t>
            </w:r>
          </w:p>
        </w:tc>
      </w:tr>
      <w:tr w:rsidR="004B6D04" w14:paraId="768ADA00" w14:textId="77777777" w:rsidTr="34DDCB98">
        <w:tc>
          <w:tcPr>
            <w:tcW w:w="5386" w:type="dxa"/>
          </w:tcPr>
          <w:p w14:paraId="32BBA17D" w14:textId="7FA6624A" w:rsidR="004B6D04" w:rsidRDefault="004B6D04" w:rsidP="00C175AC">
            <w:pPr>
              <w:pStyle w:val="NormalWeb"/>
              <w:rPr>
                <w:rFonts w:ascii="Segoe UI" w:hAnsi="Segoe UI" w:cs="Segoe UI"/>
                <w:sz w:val="22"/>
                <w:szCs w:val="22"/>
              </w:rPr>
            </w:pPr>
            <w:r w:rsidRPr="34DDCB98">
              <w:rPr>
                <w:rFonts w:ascii="Segoe UI" w:hAnsi="Segoe UI" w:cs="Segoe UI"/>
                <w:sz w:val="21"/>
                <w:szCs w:val="21"/>
              </w:rPr>
              <w:t xml:space="preserve">Cash support is very reliable, timely, </w:t>
            </w:r>
            <w:r>
              <w:rPr>
                <w:rFonts w:ascii="Segoe UI" w:hAnsi="Segoe UI" w:cs="Segoe UI"/>
                <w:sz w:val="21"/>
                <w:szCs w:val="21"/>
              </w:rPr>
              <w:t>cost-efficient</w:t>
            </w:r>
            <w:r w:rsidRPr="34DDCB98">
              <w:rPr>
                <w:rFonts w:ascii="Segoe UI" w:hAnsi="Segoe UI" w:cs="Segoe UI"/>
                <w:sz w:val="21"/>
                <w:szCs w:val="21"/>
              </w:rPr>
              <w:t>, and manageable. How do we ensure the availability of funds to deliver cash by the NS when it is required? Is there robust back up support from IFRC &amp; partners?</w:t>
            </w:r>
            <w:r w:rsidRPr="34DDCB98">
              <w:rPr>
                <w:rFonts w:ascii="Segoe UI" w:hAnsi="Segoe UI" w:cs="Segoe UI"/>
                <w:sz w:val="22"/>
                <w:szCs w:val="22"/>
              </w:rPr>
              <w:t xml:space="preserve"> </w:t>
            </w:r>
          </w:p>
          <w:p w14:paraId="0E3B2A14" w14:textId="51C7170B" w:rsidR="004B6D04" w:rsidRDefault="004B6D04" w:rsidP="00C175AC">
            <w:pPr>
              <w:pStyle w:val="NormalWeb"/>
              <w:rPr>
                <w:rFonts w:ascii="Segoe UI" w:hAnsi="Segoe UI" w:cs="Segoe UI"/>
                <w:sz w:val="21"/>
                <w:szCs w:val="21"/>
              </w:rPr>
            </w:pPr>
            <w:r w:rsidRPr="34DDCB98">
              <w:rPr>
                <w:rFonts w:ascii="Segoe UI" w:hAnsi="Segoe UI" w:cs="Segoe UI"/>
                <w:sz w:val="21"/>
                <w:szCs w:val="21"/>
              </w:rPr>
              <w:t xml:space="preserve">For National Societies (NS) who are interested in CVA </w:t>
            </w:r>
            <w:r>
              <w:rPr>
                <w:rFonts w:ascii="Segoe UI" w:hAnsi="Segoe UI" w:cs="Segoe UI"/>
                <w:sz w:val="21"/>
                <w:szCs w:val="21"/>
              </w:rPr>
              <w:t>and want to build their ability to be cash ready, how can this be done and what options for support are available?</w:t>
            </w:r>
          </w:p>
        </w:tc>
        <w:tc>
          <w:tcPr>
            <w:tcW w:w="7574" w:type="dxa"/>
          </w:tcPr>
          <w:p w14:paraId="5F8C1893" w14:textId="77777777" w:rsidR="004B6D04" w:rsidRDefault="004B6D04" w:rsidP="00C175AC">
            <w:pPr>
              <w:pStyle w:val="NormalWeb"/>
              <w:rPr>
                <w:rFonts w:ascii="Segoe UI" w:eastAsia="Segoe UI" w:hAnsi="Segoe UI" w:cs="Segoe UI"/>
                <w:sz w:val="21"/>
                <w:szCs w:val="21"/>
              </w:rPr>
            </w:pPr>
            <w:r>
              <w:rPr>
                <w:rFonts w:ascii="Segoe UI" w:eastAsia="Segoe UI" w:hAnsi="Segoe UI" w:cs="Segoe UI"/>
                <w:sz w:val="21"/>
                <w:szCs w:val="21"/>
              </w:rPr>
              <w:t>Having funds available to mount a cash-based intervention is critical and operational learning has shown that this is a major reason for a delay in providing cash to crisis-affected people. Work to ensure that finance systems are cash ready, including how to draw down on resources, how disbursements are approved and reconciled and how to ensure local liquidity is one aspect focused on during cash</w:t>
            </w:r>
            <w:r w:rsidRPr="34DDCB98">
              <w:rPr>
                <w:rFonts w:ascii="Segoe UI" w:eastAsia="Segoe UI" w:hAnsi="Segoe UI" w:cs="Segoe UI"/>
                <w:sz w:val="21"/>
                <w:szCs w:val="21"/>
              </w:rPr>
              <w:t xml:space="preserve"> preparedness. </w:t>
            </w:r>
            <w:r>
              <w:rPr>
                <w:rFonts w:ascii="Segoe UI" w:eastAsia="Segoe UI" w:hAnsi="Segoe UI" w:cs="Segoe UI"/>
                <w:sz w:val="21"/>
                <w:szCs w:val="21"/>
              </w:rPr>
              <w:t xml:space="preserve">This has to be done ahead of time and tested to ensure that finance systems can facilitate the delivery of cash as well as meet the required standards and compliance requirements. </w:t>
            </w:r>
          </w:p>
          <w:p w14:paraId="54DA01EB" w14:textId="77777777" w:rsidR="004B6D04" w:rsidRDefault="004B6D04" w:rsidP="00C175AC">
            <w:pPr>
              <w:pStyle w:val="NormalWeb"/>
              <w:rPr>
                <w:rFonts w:ascii="Segoe UI" w:eastAsia="Segoe UI" w:hAnsi="Segoe UI" w:cs="Segoe UI"/>
                <w:sz w:val="21"/>
                <w:szCs w:val="21"/>
              </w:rPr>
            </w:pPr>
            <w:r w:rsidRPr="34DDCB98">
              <w:rPr>
                <w:rFonts w:ascii="Segoe UI" w:eastAsia="Segoe UI" w:hAnsi="Segoe UI" w:cs="Segoe UI"/>
                <w:sz w:val="21"/>
                <w:szCs w:val="21"/>
              </w:rPr>
              <w:t xml:space="preserve">In terms of </w:t>
            </w:r>
            <w:r>
              <w:rPr>
                <w:rFonts w:ascii="Segoe UI" w:eastAsia="Segoe UI" w:hAnsi="Segoe UI" w:cs="Segoe UI"/>
                <w:sz w:val="21"/>
                <w:szCs w:val="21"/>
              </w:rPr>
              <w:t xml:space="preserve">the availability of </w:t>
            </w:r>
            <w:r w:rsidRPr="34DDCB98">
              <w:rPr>
                <w:rFonts w:ascii="Segoe UI" w:eastAsia="Segoe UI" w:hAnsi="Segoe UI" w:cs="Segoe UI"/>
                <w:sz w:val="21"/>
                <w:szCs w:val="21"/>
              </w:rPr>
              <w:t>resources</w:t>
            </w:r>
            <w:r>
              <w:rPr>
                <w:rFonts w:ascii="Segoe UI" w:eastAsia="Segoe UI" w:hAnsi="Segoe UI" w:cs="Segoe UI"/>
                <w:sz w:val="21"/>
                <w:szCs w:val="21"/>
              </w:rPr>
              <w:t>,</w:t>
            </w:r>
            <w:r w:rsidRPr="34DDCB98">
              <w:rPr>
                <w:rFonts w:ascii="Segoe UI" w:eastAsia="Segoe UI" w:hAnsi="Segoe UI" w:cs="Segoe UI"/>
                <w:sz w:val="21"/>
                <w:szCs w:val="21"/>
              </w:rPr>
              <w:t xml:space="preserve"> </w:t>
            </w:r>
            <w:r>
              <w:rPr>
                <w:rFonts w:ascii="Segoe UI" w:eastAsia="Segoe UI" w:hAnsi="Segoe UI" w:cs="Segoe UI"/>
                <w:sz w:val="21"/>
                <w:szCs w:val="21"/>
              </w:rPr>
              <w:t xml:space="preserve">embedding cash into resource mobilisation strategies is another key component of preparedness as well as </w:t>
            </w:r>
            <w:r w:rsidRPr="34DDCB98">
              <w:rPr>
                <w:rFonts w:ascii="Segoe UI" w:eastAsia="Segoe UI" w:hAnsi="Segoe UI" w:cs="Segoe UI"/>
                <w:sz w:val="21"/>
                <w:szCs w:val="21"/>
              </w:rPr>
              <w:t xml:space="preserve">support </w:t>
            </w:r>
            <w:r>
              <w:rPr>
                <w:rFonts w:ascii="Segoe UI" w:eastAsia="Segoe UI" w:hAnsi="Segoe UI" w:cs="Segoe UI"/>
                <w:sz w:val="21"/>
                <w:szCs w:val="21"/>
              </w:rPr>
              <w:t xml:space="preserve">being </w:t>
            </w:r>
            <w:r w:rsidRPr="34DDCB98">
              <w:rPr>
                <w:rFonts w:ascii="Segoe UI" w:eastAsia="Segoe UI" w:hAnsi="Segoe UI" w:cs="Segoe UI"/>
                <w:sz w:val="21"/>
                <w:szCs w:val="21"/>
              </w:rPr>
              <w:t xml:space="preserve">available from the IFRC and other Movement partners in a range of ways (such as through the </w:t>
            </w:r>
            <w:hyperlink r:id="rId10">
              <w:r w:rsidRPr="34DDCB98">
                <w:rPr>
                  <w:rStyle w:val="Hyperlink"/>
                  <w:rFonts w:ascii="Segoe UI" w:eastAsia="Segoe UI" w:hAnsi="Segoe UI" w:cs="Segoe UI"/>
                  <w:sz w:val="21"/>
                  <w:szCs w:val="21"/>
                </w:rPr>
                <w:t>DREF mechanism</w:t>
              </w:r>
            </w:hyperlink>
            <w:r w:rsidRPr="34DDCB98">
              <w:rPr>
                <w:rFonts w:ascii="Segoe UI" w:eastAsia="Segoe UI" w:hAnsi="Segoe UI" w:cs="Segoe UI"/>
                <w:sz w:val="21"/>
                <w:szCs w:val="21"/>
              </w:rPr>
              <w:t xml:space="preserve">). </w:t>
            </w:r>
          </w:p>
          <w:p w14:paraId="6AB785A9" w14:textId="202F7180" w:rsidR="004B6D04" w:rsidRDefault="007B565E" w:rsidP="00334C2D">
            <w:pPr>
              <w:pStyle w:val="NormalWeb"/>
              <w:rPr>
                <w:rFonts w:ascii="Segoe UI" w:eastAsia="Segoe UI" w:hAnsi="Segoe UI" w:cs="Segoe UI"/>
                <w:sz w:val="21"/>
                <w:szCs w:val="21"/>
              </w:rPr>
            </w:pPr>
            <w:r>
              <w:rPr>
                <w:rFonts w:ascii="Segoe UI" w:eastAsia="Segoe UI" w:hAnsi="Segoe UI" w:cs="Segoe UI"/>
                <w:sz w:val="21"/>
                <w:szCs w:val="21"/>
              </w:rPr>
              <w:t>Regarding</w:t>
            </w:r>
            <w:r w:rsidR="004B6D04">
              <w:rPr>
                <w:rFonts w:ascii="Segoe UI" w:eastAsia="Segoe UI" w:hAnsi="Segoe UI" w:cs="Segoe UI"/>
                <w:sz w:val="21"/>
                <w:szCs w:val="21"/>
              </w:rPr>
              <w:t xml:space="preserve"> options for support, a good place to start is to talk to your peer National Societies and those around you who have both delivered CVA and built their capacity through preparedness to be increasingly cash ready. You can see which N</w:t>
            </w:r>
            <w:r w:rsidR="006D397B">
              <w:rPr>
                <w:rFonts w:ascii="Segoe UI" w:eastAsia="Segoe UI" w:hAnsi="Segoe UI" w:cs="Segoe UI"/>
                <w:sz w:val="21"/>
                <w:szCs w:val="21"/>
              </w:rPr>
              <w:t xml:space="preserve">ational </w:t>
            </w:r>
            <w:r w:rsidR="004B6D04">
              <w:rPr>
                <w:rFonts w:ascii="Segoe UI" w:eastAsia="Segoe UI" w:hAnsi="Segoe UI" w:cs="Segoe UI"/>
                <w:sz w:val="21"/>
                <w:szCs w:val="21"/>
              </w:rPr>
              <w:t>S</w:t>
            </w:r>
            <w:r w:rsidR="006D397B">
              <w:rPr>
                <w:rFonts w:ascii="Segoe UI" w:eastAsia="Segoe UI" w:hAnsi="Segoe UI" w:cs="Segoe UI"/>
                <w:sz w:val="21"/>
                <w:szCs w:val="21"/>
              </w:rPr>
              <w:t>ocieties</w:t>
            </w:r>
            <w:r w:rsidR="004B6D04">
              <w:rPr>
                <w:rFonts w:ascii="Segoe UI" w:eastAsia="Segoe UI" w:hAnsi="Segoe UI" w:cs="Segoe UI"/>
                <w:sz w:val="21"/>
                <w:szCs w:val="21"/>
              </w:rPr>
              <w:t xml:space="preserve"> are already delivering CVA in your locality from the </w:t>
            </w:r>
            <w:hyperlink r:id="rId11" w:history="1">
              <w:r w:rsidR="004B6D04" w:rsidRPr="001A31A5">
                <w:rPr>
                  <w:rStyle w:val="Hyperlink"/>
                  <w:rFonts w:ascii="Segoe UI" w:eastAsia="Segoe UI" w:hAnsi="Segoe UI" w:cs="Segoe UI"/>
                  <w:sz w:val="21"/>
                  <w:szCs w:val="21"/>
                </w:rPr>
                <w:t>Cash Maps</w:t>
              </w:r>
            </w:hyperlink>
            <w:r w:rsidR="004B6D04">
              <w:rPr>
                <w:rFonts w:ascii="Segoe UI" w:eastAsia="Segoe UI" w:hAnsi="Segoe UI" w:cs="Segoe UI"/>
                <w:sz w:val="21"/>
                <w:szCs w:val="21"/>
              </w:rPr>
              <w:t>. It can</w:t>
            </w:r>
            <w:r>
              <w:rPr>
                <w:rFonts w:ascii="Segoe UI" w:eastAsia="Segoe UI" w:hAnsi="Segoe UI" w:cs="Segoe UI"/>
                <w:sz w:val="21"/>
                <w:szCs w:val="21"/>
              </w:rPr>
              <w:t xml:space="preserve"> also</w:t>
            </w:r>
            <w:r w:rsidR="004B6D04">
              <w:rPr>
                <w:rFonts w:ascii="Segoe UI" w:eastAsia="Segoe UI" w:hAnsi="Segoe UI" w:cs="Segoe UI"/>
                <w:sz w:val="21"/>
                <w:szCs w:val="21"/>
              </w:rPr>
              <w:t xml:space="preserve"> be </w:t>
            </w:r>
            <w:proofErr w:type="gramStart"/>
            <w:r w:rsidR="004B6D04">
              <w:rPr>
                <w:rFonts w:ascii="Segoe UI" w:eastAsia="Segoe UI" w:hAnsi="Segoe UI" w:cs="Segoe UI"/>
                <w:sz w:val="21"/>
                <w:szCs w:val="21"/>
              </w:rPr>
              <w:t>really useful</w:t>
            </w:r>
            <w:proofErr w:type="gramEnd"/>
            <w:r w:rsidR="004B6D04">
              <w:rPr>
                <w:rFonts w:ascii="Segoe UI" w:eastAsia="Segoe UI" w:hAnsi="Segoe UI" w:cs="Segoe UI"/>
                <w:sz w:val="21"/>
                <w:szCs w:val="21"/>
              </w:rPr>
              <w:t xml:space="preserve"> to attend a CVA training in your region to learn more or do an exchange visit with a peer National Society to gain exposure to cash and see delivery in action. </w:t>
            </w:r>
          </w:p>
          <w:p w14:paraId="0ECA00BC" w14:textId="4217E172" w:rsidR="004B6D04" w:rsidRDefault="004B6D04" w:rsidP="00D63F99">
            <w:pPr>
              <w:pStyle w:val="NormalWeb"/>
              <w:rPr>
                <w:rFonts w:ascii="Segoe UI" w:eastAsia="Segoe UI" w:hAnsi="Segoe UI" w:cs="Segoe UI"/>
                <w:sz w:val="21"/>
                <w:szCs w:val="21"/>
              </w:rPr>
            </w:pPr>
            <w:r w:rsidRPr="34DDCB98">
              <w:rPr>
                <w:rFonts w:ascii="Segoe UI" w:eastAsia="Segoe UI" w:hAnsi="Segoe UI" w:cs="Segoe UI"/>
                <w:sz w:val="21"/>
                <w:szCs w:val="21"/>
              </w:rPr>
              <w:t>The IFRC and its partners are committed to support National Societies to scale up their ability to deliver cash in emergencies and during preparedness</w:t>
            </w:r>
            <w:r>
              <w:rPr>
                <w:rFonts w:ascii="Segoe UI" w:eastAsia="Segoe UI" w:hAnsi="Segoe UI" w:cs="Segoe UI"/>
                <w:sz w:val="21"/>
                <w:szCs w:val="21"/>
              </w:rPr>
              <w:t xml:space="preserve"> and its country, cluster and regional delegations, can extend support and help to connect you to others within the IFRC network. Technical support can often be supported by your </w:t>
            </w:r>
            <w:r w:rsidRPr="34DDCB98">
              <w:rPr>
                <w:rFonts w:ascii="Segoe UI" w:eastAsia="Segoe UI" w:hAnsi="Segoe UI" w:cs="Segoe UI"/>
                <w:sz w:val="21"/>
                <w:szCs w:val="21"/>
              </w:rPr>
              <w:t>IFRC Regional Cash Coordinator a</w:t>
            </w:r>
            <w:r>
              <w:rPr>
                <w:rFonts w:ascii="Segoe UI" w:eastAsia="Segoe UI" w:hAnsi="Segoe UI" w:cs="Segoe UI"/>
                <w:sz w:val="21"/>
                <w:szCs w:val="21"/>
              </w:rPr>
              <w:t>s well as t</w:t>
            </w:r>
            <w:r w:rsidRPr="34DDCB98">
              <w:rPr>
                <w:rFonts w:ascii="Segoe UI" w:eastAsia="Segoe UI" w:hAnsi="Segoe UI" w:cs="Segoe UI"/>
                <w:sz w:val="21"/>
                <w:szCs w:val="21"/>
              </w:rPr>
              <w:t xml:space="preserve">he </w:t>
            </w:r>
            <w:hyperlink r:id="rId12">
              <w:r w:rsidRPr="34DDCB98">
                <w:rPr>
                  <w:rStyle w:val="Hyperlink"/>
                  <w:rFonts w:ascii="Segoe UI" w:eastAsia="Segoe UI" w:hAnsi="Segoe UI" w:cs="Segoe UI"/>
                  <w:sz w:val="21"/>
                  <w:szCs w:val="21"/>
                </w:rPr>
                <w:t>Cash Hub Helpdesk</w:t>
              </w:r>
            </w:hyperlink>
            <w:r w:rsidRPr="34DDCB98">
              <w:rPr>
                <w:rFonts w:ascii="Segoe UI" w:eastAsia="Segoe UI" w:hAnsi="Segoe UI" w:cs="Segoe UI"/>
                <w:sz w:val="21"/>
                <w:szCs w:val="21"/>
              </w:rPr>
              <w:t xml:space="preserve"> who can signpost other N</w:t>
            </w:r>
            <w:r w:rsidR="006D397B">
              <w:rPr>
                <w:rFonts w:ascii="Segoe UI" w:eastAsia="Segoe UI" w:hAnsi="Segoe UI" w:cs="Segoe UI"/>
                <w:sz w:val="21"/>
                <w:szCs w:val="21"/>
              </w:rPr>
              <w:t xml:space="preserve">ational </w:t>
            </w:r>
            <w:r w:rsidRPr="34DDCB98">
              <w:rPr>
                <w:rFonts w:ascii="Segoe UI" w:eastAsia="Segoe UI" w:hAnsi="Segoe UI" w:cs="Segoe UI"/>
                <w:sz w:val="21"/>
                <w:szCs w:val="21"/>
              </w:rPr>
              <w:t>S</w:t>
            </w:r>
            <w:r w:rsidR="006D397B">
              <w:rPr>
                <w:rFonts w:ascii="Segoe UI" w:eastAsia="Segoe UI" w:hAnsi="Segoe UI" w:cs="Segoe UI"/>
                <w:sz w:val="21"/>
                <w:szCs w:val="21"/>
              </w:rPr>
              <w:t>ocieties</w:t>
            </w:r>
            <w:r w:rsidRPr="34DDCB98">
              <w:rPr>
                <w:rFonts w:ascii="Segoe UI" w:eastAsia="Segoe UI" w:hAnsi="Segoe UI" w:cs="Segoe UI"/>
                <w:sz w:val="21"/>
                <w:szCs w:val="21"/>
              </w:rPr>
              <w:t xml:space="preserve"> and </w:t>
            </w:r>
            <w:r>
              <w:rPr>
                <w:rFonts w:ascii="Segoe UI" w:eastAsia="Segoe UI" w:hAnsi="Segoe UI" w:cs="Segoe UI"/>
                <w:sz w:val="21"/>
                <w:szCs w:val="21"/>
              </w:rPr>
              <w:t xml:space="preserve">resources. </w:t>
            </w:r>
          </w:p>
        </w:tc>
      </w:tr>
      <w:tr w:rsidR="004B6D04" w14:paraId="23634BD4" w14:textId="77777777" w:rsidTr="34DDCB98">
        <w:tc>
          <w:tcPr>
            <w:tcW w:w="5386" w:type="dxa"/>
          </w:tcPr>
          <w:p w14:paraId="38F83C1A" w14:textId="77777777" w:rsidR="004B6D04" w:rsidRDefault="004B6D04" w:rsidP="00AD37E5">
            <w:pPr>
              <w:pStyle w:val="NormalWeb"/>
              <w:rPr>
                <w:rFonts w:ascii="Segoe UI" w:hAnsi="Segoe UI" w:cs="Segoe UI"/>
                <w:sz w:val="21"/>
                <w:szCs w:val="21"/>
              </w:rPr>
            </w:pPr>
            <w:r>
              <w:rPr>
                <w:rFonts w:ascii="Segoe UI" w:hAnsi="Segoe UI" w:cs="Segoe UI"/>
                <w:sz w:val="21"/>
                <w:szCs w:val="21"/>
              </w:rPr>
              <w:lastRenderedPageBreak/>
              <w:t xml:space="preserve">For the National Societies who did not test yet CVA or are still reluctant to scale up, what would be your key message to encourage them? </w:t>
            </w:r>
          </w:p>
          <w:p w14:paraId="179F93D5" w14:textId="7A21C296" w:rsidR="004B6D04" w:rsidRDefault="004B6D04" w:rsidP="00AD37E5">
            <w:pPr>
              <w:pStyle w:val="NormalWeb"/>
              <w:rPr>
                <w:rFonts w:ascii="Segoe UI" w:hAnsi="Segoe UI" w:cs="Segoe UI"/>
                <w:sz w:val="21"/>
                <w:szCs w:val="21"/>
              </w:rPr>
            </w:pPr>
            <w:r w:rsidRPr="34DDCB98">
              <w:rPr>
                <w:rFonts w:ascii="Segoe UI" w:hAnsi="Segoe UI" w:cs="Segoe UI"/>
                <w:sz w:val="21"/>
                <w:szCs w:val="21"/>
              </w:rPr>
              <w:t>It is clear that CVA preparedness is key. What would leadership advise those NS or ICRC delegations that may be hesitant or haven't yet tried CVA. What would be the most impactful support in making that first step?</w:t>
            </w:r>
          </w:p>
        </w:tc>
        <w:tc>
          <w:tcPr>
            <w:tcW w:w="7574" w:type="dxa"/>
          </w:tcPr>
          <w:p w14:paraId="6F5F5073" w14:textId="5721EFCD" w:rsidR="004B6D04" w:rsidRDefault="004B6D04" w:rsidP="34DDCB98">
            <w:pPr>
              <w:spacing w:line="259" w:lineRule="auto"/>
              <w:rPr>
                <w:rFonts w:ascii="Segoe UI" w:eastAsia="Segoe UI" w:hAnsi="Segoe UI" w:cs="Segoe UI"/>
                <w:sz w:val="21"/>
                <w:szCs w:val="21"/>
              </w:rPr>
            </w:pPr>
            <w:r w:rsidRPr="34DDCB98">
              <w:rPr>
                <w:rFonts w:ascii="Segoe UI" w:eastAsia="Segoe UI" w:hAnsi="Segoe UI" w:cs="Segoe UI"/>
                <w:color w:val="000000" w:themeColor="text1"/>
                <w:sz w:val="21"/>
                <w:szCs w:val="21"/>
              </w:rPr>
              <w:t>F</w:t>
            </w:r>
            <w:r w:rsidRPr="34DDCB98">
              <w:rPr>
                <w:rFonts w:ascii="Segoe UI" w:eastAsia="Segoe UI" w:hAnsi="Segoe UI" w:cs="Segoe UI"/>
                <w:sz w:val="21"/>
                <w:szCs w:val="21"/>
              </w:rPr>
              <w:t>or N</w:t>
            </w:r>
            <w:r w:rsidR="006D397B">
              <w:rPr>
                <w:rFonts w:ascii="Segoe UI" w:eastAsia="Segoe UI" w:hAnsi="Segoe UI" w:cs="Segoe UI"/>
                <w:sz w:val="21"/>
                <w:szCs w:val="21"/>
              </w:rPr>
              <w:t xml:space="preserve">ational </w:t>
            </w:r>
            <w:r w:rsidRPr="34DDCB98">
              <w:rPr>
                <w:rFonts w:ascii="Segoe UI" w:eastAsia="Segoe UI" w:hAnsi="Segoe UI" w:cs="Segoe UI"/>
                <w:sz w:val="21"/>
                <w:szCs w:val="21"/>
              </w:rPr>
              <w:t>S</w:t>
            </w:r>
            <w:r w:rsidR="006D397B">
              <w:rPr>
                <w:rFonts w:ascii="Segoe UI" w:eastAsia="Segoe UI" w:hAnsi="Segoe UI" w:cs="Segoe UI"/>
                <w:sz w:val="21"/>
                <w:szCs w:val="21"/>
              </w:rPr>
              <w:t>ocieties</w:t>
            </w:r>
            <w:r w:rsidRPr="34DDCB98">
              <w:rPr>
                <w:rFonts w:ascii="Segoe UI" w:eastAsia="Segoe UI" w:hAnsi="Segoe UI" w:cs="Segoe UI"/>
                <w:sz w:val="21"/>
                <w:szCs w:val="21"/>
              </w:rPr>
              <w:t xml:space="preserve"> who have not undertaken CVA previously</w:t>
            </w:r>
            <w:r>
              <w:rPr>
                <w:rFonts w:ascii="Segoe UI" w:eastAsia="Segoe UI" w:hAnsi="Segoe UI" w:cs="Segoe UI"/>
                <w:sz w:val="21"/>
                <w:szCs w:val="21"/>
              </w:rPr>
              <w:t xml:space="preserve">, </w:t>
            </w:r>
            <w:r w:rsidR="000C6304">
              <w:rPr>
                <w:rFonts w:ascii="Segoe UI" w:eastAsia="Segoe UI" w:hAnsi="Segoe UI" w:cs="Segoe UI"/>
                <w:sz w:val="21"/>
                <w:szCs w:val="21"/>
              </w:rPr>
              <w:t xml:space="preserve">it is </w:t>
            </w:r>
            <w:proofErr w:type="gramStart"/>
            <w:r w:rsidR="000C6304">
              <w:rPr>
                <w:rFonts w:ascii="Segoe UI" w:eastAsia="Segoe UI" w:hAnsi="Segoe UI" w:cs="Segoe UI"/>
                <w:sz w:val="21"/>
                <w:szCs w:val="21"/>
              </w:rPr>
              <w:t>really helpful</w:t>
            </w:r>
            <w:proofErr w:type="gramEnd"/>
            <w:r w:rsidR="000C6304">
              <w:rPr>
                <w:rFonts w:ascii="Segoe UI" w:eastAsia="Segoe UI" w:hAnsi="Segoe UI" w:cs="Segoe UI"/>
                <w:sz w:val="21"/>
                <w:szCs w:val="21"/>
              </w:rPr>
              <w:t xml:space="preserve"> to t</w:t>
            </w:r>
            <w:r>
              <w:rPr>
                <w:rFonts w:ascii="Segoe UI" w:eastAsia="Segoe UI" w:hAnsi="Segoe UI" w:cs="Segoe UI"/>
                <w:sz w:val="21"/>
                <w:szCs w:val="21"/>
              </w:rPr>
              <w:t>alk to other leaders about their experience and what it has mean for their National Society to use CVA</w:t>
            </w:r>
            <w:r w:rsidR="000C6304">
              <w:rPr>
                <w:rFonts w:ascii="Segoe UI" w:eastAsia="Segoe UI" w:hAnsi="Segoe UI" w:cs="Segoe UI"/>
                <w:sz w:val="21"/>
                <w:szCs w:val="21"/>
              </w:rPr>
              <w:t>. L</w:t>
            </w:r>
            <w:r>
              <w:rPr>
                <w:rFonts w:ascii="Segoe UI" w:eastAsia="Segoe UI" w:hAnsi="Segoe UI" w:cs="Segoe UI"/>
                <w:sz w:val="21"/>
                <w:szCs w:val="21"/>
              </w:rPr>
              <w:t xml:space="preserve">eadership buy in is critical to being able to prioritise the changes needed to start using CVA. Leaders talking to leaders has been shown to allow perceptions, concerns and even opportunities to be discussed and shared. </w:t>
            </w:r>
          </w:p>
          <w:p w14:paraId="7E160EDB" w14:textId="2F44D93A" w:rsidR="004B6D04" w:rsidRDefault="004B6D04" w:rsidP="34DDCB98">
            <w:pPr>
              <w:spacing w:line="259" w:lineRule="auto"/>
              <w:rPr>
                <w:rFonts w:ascii="Segoe UI" w:eastAsia="Segoe UI" w:hAnsi="Segoe UI" w:cs="Segoe UI"/>
                <w:sz w:val="21"/>
                <w:szCs w:val="21"/>
              </w:rPr>
            </w:pPr>
          </w:p>
          <w:p w14:paraId="06A038A0" w14:textId="7F583FDB" w:rsidR="00CC5360" w:rsidRDefault="004B6D04" w:rsidP="34DDCB98">
            <w:pPr>
              <w:spacing w:line="259" w:lineRule="auto"/>
              <w:rPr>
                <w:rFonts w:ascii="Segoe UI" w:eastAsia="Segoe UI" w:hAnsi="Segoe UI" w:cs="Segoe UI"/>
                <w:sz w:val="21"/>
                <w:szCs w:val="21"/>
              </w:rPr>
            </w:pPr>
            <w:r>
              <w:rPr>
                <w:rFonts w:ascii="Segoe UI" w:eastAsia="Segoe UI" w:hAnsi="Segoe UI" w:cs="Segoe UI"/>
                <w:sz w:val="21"/>
                <w:szCs w:val="21"/>
              </w:rPr>
              <w:t xml:space="preserve">Seeing is believing – </w:t>
            </w:r>
            <w:r w:rsidR="006D397B">
              <w:rPr>
                <w:rFonts w:ascii="Segoe UI" w:eastAsia="Segoe UI" w:hAnsi="Segoe UI" w:cs="Segoe UI"/>
                <w:sz w:val="21"/>
                <w:szCs w:val="21"/>
              </w:rPr>
              <w:t xml:space="preserve">whilst some </w:t>
            </w:r>
            <w:r w:rsidR="00FB24BD">
              <w:rPr>
                <w:rFonts w:ascii="Segoe UI" w:eastAsia="Segoe UI" w:hAnsi="Segoe UI" w:cs="Segoe UI"/>
                <w:sz w:val="21"/>
                <w:szCs w:val="21"/>
              </w:rPr>
              <w:t>are reluctant to take up cash</w:t>
            </w:r>
            <w:r w:rsidR="002B3D7F">
              <w:rPr>
                <w:rFonts w:ascii="Segoe UI" w:eastAsia="Segoe UI" w:hAnsi="Segoe UI" w:cs="Segoe UI"/>
                <w:sz w:val="21"/>
                <w:szCs w:val="21"/>
              </w:rPr>
              <w:t>,</w:t>
            </w:r>
            <w:r w:rsidR="00FB24BD">
              <w:rPr>
                <w:rFonts w:ascii="Segoe UI" w:eastAsia="Segoe UI" w:hAnsi="Segoe UI" w:cs="Segoe UI"/>
                <w:sz w:val="21"/>
                <w:szCs w:val="21"/>
              </w:rPr>
              <w:t xml:space="preserve"> often </w:t>
            </w:r>
            <w:r w:rsidR="002B3D7F">
              <w:rPr>
                <w:rFonts w:ascii="Segoe UI" w:eastAsia="Segoe UI" w:hAnsi="Segoe UI" w:cs="Segoe UI"/>
                <w:sz w:val="21"/>
                <w:szCs w:val="21"/>
              </w:rPr>
              <w:t xml:space="preserve">for </w:t>
            </w:r>
            <w:r w:rsidR="00FB24BD">
              <w:rPr>
                <w:rFonts w:ascii="Segoe UI" w:eastAsia="Segoe UI" w:hAnsi="Segoe UI" w:cs="Segoe UI"/>
                <w:sz w:val="21"/>
                <w:szCs w:val="21"/>
              </w:rPr>
              <w:t>very valid reasons, there are few risks that are specific to cash as opposed to all forms of humanitarian assistance</w:t>
            </w:r>
            <w:r w:rsidR="002B3D7F">
              <w:rPr>
                <w:rFonts w:ascii="Segoe UI" w:eastAsia="Segoe UI" w:hAnsi="Segoe UI" w:cs="Segoe UI"/>
                <w:sz w:val="21"/>
                <w:szCs w:val="21"/>
              </w:rPr>
              <w:t xml:space="preserve">. For those that are, these can be </w:t>
            </w:r>
            <w:r w:rsidR="00FB24BD">
              <w:rPr>
                <w:rFonts w:ascii="Segoe UI" w:eastAsia="Segoe UI" w:hAnsi="Segoe UI" w:cs="Segoe UI"/>
                <w:sz w:val="21"/>
                <w:szCs w:val="21"/>
              </w:rPr>
              <w:t xml:space="preserve">considered, management and mitigated. </w:t>
            </w:r>
            <w:r w:rsidR="00DD09E7">
              <w:rPr>
                <w:rFonts w:ascii="Segoe UI" w:eastAsia="Segoe UI" w:hAnsi="Segoe UI" w:cs="Segoe UI"/>
                <w:sz w:val="21"/>
                <w:szCs w:val="21"/>
              </w:rPr>
              <w:t xml:space="preserve">It can be transformative to </w:t>
            </w:r>
            <w:proofErr w:type="gramStart"/>
            <w:r w:rsidR="00CC5360">
              <w:rPr>
                <w:rFonts w:ascii="Segoe UI" w:eastAsia="Segoe UI" w:hAnsi="Segoe UI" w:cs="Segoe UI"/>
                <w:sz w:val="21"/>
                <w:szCs w:val="21"/>
              </w:rPr>
              <w:t>actually implement</w:t>
            </w:r>
            <w:proofErr w:type="gramEnd"/>
            <w:r w:rsidR="00CC5360">
              <w:rPr>
                <w:rFonts w:ascii="Segoe UI" w:eastAsia="Segoe UI" w:hAnsi="Segoe UI" w:cs="Segoe UI"/>
                <w:sz w:val="21"/>
                <w:szCs w:val="21"/>
              </w:rPr>
              <w:t xml:space="preserve"> and see a small </w:t>
            </w:r>
            <w:r w:rsidR="00DD09E7">
              <w:rPr>
                <w:rFonts w:ascii="Segoe UI" w:eastAsia="Segoe UI" w:hAnsi="Segoe UI" w:cs="Segoe UI"/>
                <w:sz w:val="21"/>
                <w:szCs w:val="21"/>
              </w:rPr>
              <w:t>cash pilot</w:t>
            </w:r>
            <w:r w:rsidR="00CC5360">
              <w:rPr>
                <w:rFonts w:ascii="Segoe UI" w:eastAsia="Segoe UI" w:hAnsi="Segoe UI" w:cs="Segoe UI"/>
                <w:sz w:val="21"/>
                <w:szCs w:val="21"/>
              </w:rPr>
              <w:t xml:space="preserve"> </w:t>
            </w:r>
            <w:r w:rsidR="006D397B">
              <w:rPr>
                <w:rFonts w:ascii="Segoe UI" w:eastAsia="Segoe UI" w:hAnsi="Segoe UI" w:cs="Segoe UI"/>
                <w:sz w:val="21"/>
                <w:szCs w:val="21"/>
              </w:rPr>
              <w:t>in action, this can often help</w:t>
            </w:r>
            <w:r w:rsidR="00CC5360">
              <w:rPr>
                <w:rFonts w:ascii="Segoe UI" w:eastAsia="Segoe UI" w:hAnsi="Segoe UI" w:cs="Segoe UI"/>
                <w:sz w:val="21"/>
                <w:szCs w:val="21"/>
              </w:rPr>
              <w:t xml:space="preserve"> any reluctance </w:t>
            </w:r>
            <w:r w:rsidR="006D397B">
              <w:rPr>
                <w:rFonts w:ascii="Segoe UI" w:eastAsia="Segoe UI" w:hAnsi="Segoe UI" w:cs="Segoe UI"/>
                <w:sz w:val="21"/>
                <w:szCs w:val="21"/>
              </w:rPr>
              <w:t xml:space="preserve">to </w:t>
            </w:r>
            <w:r w:rsidR="00CC5360">
              <w:rPr>
                <w:rFonts w:ascii="Segoe UI" w:eastAsia="Segoe UI" w:hAnsi="Segoe UI" w:cs="Segoe UI"/>
                <w:sz w:val="21"/>
                <w:szCs w:val="21"/>
              </w:rPr>
              <w:t xml:space="preserve">be resolved. </w:t>
            </w:r>
          </w:p>
          <w:p w14:paraId="2E79946C" w14:textId="77777777" w:rsidR="00CC5360" w:rsidRDefault="00CC5360" w:rsidP="34DDCB98">
            <w:pPr>
              <w:spacing w:line="259" w:lineRule="auto"/>
              <w:rPr>
                <w:rFonts w:ascii="Segoe UI" w:eastAsia="Segoe UI" w:hAnsi="Segoe UI" w:cs="Segoe UI"/>
                <w:sz w:val="21"/>
                <w:szCs w:val="21"/>
              </w:rPr>
            </w:pPr>
          </w:p>
          <w:p w14:paraId="2D41FE97" w14:textId="4BA906E0" w:rsidR="00D92A1E" w:rsidRDefault="00D16594" w:rsidP="34DDCB98">
            <w:pPr>
              <w:spacing w:line="259" w:lineRule="auto"/>
              <w:rPr>
                <w:rFonts w:ascii="Segoe UI" w:eastAsia="Segoe UI" w:hAnsi="Segoe UI" w:cs="Segoe UI"/>
                <w:sz w:val="21"/>
                <w:szCs w:val="21"/>
              </w:rPr>
            </w:pPr>
            <w:r>
              <w:rPr>
                <w:rFonts w:ascii="Segoe UI" w:eastAsia="Segoe UI" w:hAnsi="Segoe UI" w:cs="Segoe UI"/>
                <w:sz w:val="21"/>
                <w:szCs w:val="21"/>
              </w:rPr>
              <w:t xml:space="preserve">The </w:t>
            </w:r>
            <w:hyperlink r:id="rId13" w:history="1">
              <w:r w:rsidRPr="0098289D">
                <w:rPr>
                  <w:rStyle w:val="Hyperlink"/>
                  <w:rFonts w:ascii="Segoe UI" w:eastAsia="Segoe UI" w:hAnsi="Segoe UI" w:cs="Segoe UI"/>
                  <w:sz w:val="21"/>
                  <w:szCs w:val="21"/>
                </w:rPr>
                <w:t>Movement has a common approach to cash preparedness</w:t>
              </w:r>
            </w:hyperlink>
            <w:r>
              <w:rPr>
                <w:rFonts w:ascii="Segoe UI" w:eastAsia="Segoe UI" w:hAnsi="Segoe UI" w:cs="Segoe UI"/>
                <w:sz w:val="21"/>
                <w:szCs w:val="21"/>
              </w:rPr>
              <w:t xml:space="preserve"> which is built from a large number of National Societies and their own experiences</w:t>
            </w:r>
            <w:r w:rsidR="00451E38">
              <w:rPr>
                <w:rFonts w:ascii="Segoe UI" w:eastAsia="Segoe UI" w:hAnsi="Segoe UI" w:cs="Segoe UI"/>
                <w:sz w:val="21"/>
                <w:szCs w:val="21"/>
              </w:rPr>
              <w:t xml:space="preserve">. This guidance should be useful for everyone on how and where to start within your own National Society. </w:t>
            </w:r>
            <w:r w:rsidR="000159F6">
              <w:rPr>
                <w:rFonts w:ascii="Segoe UI" w:eastAsia="Segoe UI" w:hAnsi="Segoe UI" w:cs="Segoe UI"/>
                <w:sz w:val="21"/>
                <w:szCs w:val="21"/>
              </w:rPr>
              <w:t xml:space="preserve">There is a </w:t>
            </w:r>
            <w:hyperlink r:id="rId14" w:history="1">
              <w:r w:rsidR="000159F6" w:rsidRPr="000159F6">
                <w:rPr>
                  <w:rStyle w:val="Hyperlink"/>
                  <w:rFonts w:ascii="Segoe UI" w:eastAsia="Segoe UI" w:hAnsi="Segoe UI" w:cs="Segoe UI"/>
                  <w:sz w:val="21"/>
                  <w:szCs w:val="21"/>
                </w:rPr>
                <w:t>specific chapter for ICRC delegations</w:t>
              </w:r>
            </w:hyperlink>
            <w:r w:rsidR="000159F6">
              <w:rPr>
                <w:rFonts w:ascii="Segoe UI" w:eastAsia="Segoe UI" w:hAnsi="Segoe UI" w:cs="Segoe UI"/>
                <w:sz w:val="21"/>
                <w:szCs w:val="21"/>
              </w:rPr>
              <w:t xml:space="preserve"> as well.</w:t>
            </w:r>
            <w:r w:rsidR="00D92A1E">
              <w:rPr>
                <w:rFonts w:ascii="Segoe UI" w:eastAsia="Segoe UI" w:hAnsi="Segoe UI" w:cs="Segoe UI"/>
                <w:sz w:val="21"/>
                <w:szCs w:val="21"/>
              </w:rPr>
              <w:t xml:space="preserve"> </w:t>
            </w:r>
          </w:p>
          <w:p w14:paraId="3454A226" w14:textId="7796AA6B" w:rsidR="00D92A1E" w:rsidRDefault="00D92A1E" w:rsidP="00D92A1E">
            <w:pPr>
              <w:pStyle w:val="NormalWeb"/>
              <w:rPr>
                <w:rFonts w:ascii="Segoe UI" w:eastAsia="Segoe UI" w:hAnsi="Segoe UI" w:cs="Segoe UI"/>
                <w:sz w:val="21"/>
                <w:szCs w:val="21"/>
              </w:rPr>
            </w:pPr>
            <w:r w:rsidRPr="34DDCB98">
              <w:rPr>
                <w:rFonts w:ascii="Segoe UI" w:eastAsia="Segoe UI" w:hAnsi="Segoe UI" w:cs="Segoe UI"/>
                <w:sz w:val="21"/>
                <w:szCs w:val="21"/>
              </w:rPr>
              <w:t xml:space="preserve">There was common agreement from Leadership during the Forum that the first step </w:t>
            </w:r>
            <w:r>
              <w:rPr>
                <w:rFonts w:ascii="Segoe UI" w:eastAsia="Segoe UI" w:hAnsi="Segoe UI" w:cs="Segoe UI"/>
                <w:sz w:val="21"/>
                <w:szCs w:val="21"/>
              </w:rPr>
              <w:t xml:space="preserve">in cash preparedness, </w:t>
            </w:r>
            <w:r w:rsidRPr="34DDCB98">
              <w:rPr>
                <w:rFonts w:ascii="Segoe UI" w:eastAsia="Segoe UI" w:hAnsi="Segoe UI" w:cs="Segoe UI"/>
                <w:sz w:val="21"/>
                <w:szCs w:val="21"/>
              </w:rPr>
              <w:t xml:space="preserve">is to consider how </w:t>
            </w:r>
            <w:r w:rsidR="006D397B">
              <w:rPr>
                <w:rFonts w:ascii="Segoe UI" w:eastAsia="Segoe UI" w:hAnsi="Segoe UI" w:cs="Segoe UI"/>
                <w:sz w:val="21"/>
                <w:szCs w:val="21"/>
              </w:rPr>
              <w:t>cash</w:t>
            </w:r>
            <w:r w:rsidR="006D397B" w:rsidRPr="34DDCB98">
              <w:rPr>
                <w:rFonts w:ascii="Segoe UI" w:eastAsia="Segoe UI" w:hAnsi="Segoe UI" w:cs="Segoe UI"/>
                <w:sz w:val="21"/>
                <w:szCs w:val="21"/>
              </w:rPr>
              <w:t xml:space="preserve"> </w:t>
            </w:r>
            <w:r w:rsidRPr="34DDCB98">
              <w:rPr>
                <w:rFonts w:ascii="Segoe UI" w:eastAsia="Segoe UI" w:hAnsi="Segoe UI" w:cs="Segoe UI"/>
                <w:sz w:val="21"/>
                <w:szCs w:val="21"/>
              </w:rPr>
              <w:t xml:space="preserve">could be relevant for the vision and plans for your National Society. Will this improve your ability to provide a service to people that promotes dignity and contributes to local markets? Could this improve the visibility and perceptions of your National Society with stakeholders such as the Government, UN partners and donors?  Gaining clarity on how cash can strengthen your National Society is key to then being able to prioritise the resources and time that will be needed. </w:t>
            </w:r>
          </w:p>
          <w:p w14:paraId="5FF70AB9" w14:textId="2A7C0B23" w:rsidR="004B6D04" w:rsidRPr="00F11405" w:rsidRDefault="00593046" w:rsidP="00593046">
            <w:pPr>
              <w:pStyle w:val="NormalWeb"/>
              <w:rPr>
                <w:rFonts w:ascii="Segoe UI" w:eastAsia="Segoe UI" w:hAnsi="Segoe UI" w:cs="Segoe UI"/>
                <w:color w:val="6FAC47"/>
                <w:sz w:val="21"/>
                <w:szCs w:val="21"/>
                <w:lang w:val="en-US"/>
              </w:rPr>
            </w:pPr>
            <w:r w:rsidRPr="34DDCB98">
              <w:rPr>
                <w:rFonts w:ascii="Segoe UI" w:eastAsia="Segoe UI" w:hAnsi="Segoe UI" w:cs="Segoe UI"/>
                <w:sz w:val="21"/>
                <w:szCs w:val="21"/>
              </w:rPr>
              <w:t xml:space="preserve">The other key message from Leadership was just do it, start with a pilot, use cash in an operation and then be ready to learn and improve from that </w:t>
            </w:r>
            <w:r w:rsidRPr="34DDCB98">
              <w:rPr>
                <w:rFonts w:ascii="Segoe UI" w:eastAsia="Segoe UI" w:hAnsi="Segoe UI" w:cs="Segoe UI"/>
                <w:sz w:val="21"/>
                <w:szCs w:val="21"/>
              </w:rPr>
              <w:lastRenderedPageBreak/>
              <w:t>experience.</w:t>
            </w:r>
            <w:r>
              <w:rPr>
                <w:rFonts w:ascii="Segoe UI" w:eastAsia="Segoe UI" w:hAnsi="Segoe UI" w:cs="Segoe UI"/>
                <w:sz w:val="21"/>
                <w:szCs w:val="21"/>
              </w:rPr>
              <w:t xml:space="preserve"> Get started and commit to learning and scaling up incrementally, that is how all National Societies have started!</w:t>
            </w:r>
          </w:p>
        </w:tc>
      </w:tr>
      <w:tr w:rsidR="004B6D04" w14:paraId="58DEEEC8" w14:textId="77777777" w:rsidTr="34DDCB98">
        <w:tc>
          <w:tcPr>
            <w:tcW w:w="5386" w:type="dxa"/>
          </w:tcPr>
          <w:p w14:paraId="01BA78C7" w14:textId="10ABA903" w:rsidR="004B6D04" w:rsidRDefault="004B6D04" w:rsidP="00587F41">
            <w:pPr>
              <w:pStyle w:val="NormalWeb"/>
              <w:rPr>
                <w:rFonts w:ascii="Segoe UI" w:hAnsi="Segoe UI" w:cs="Segoe UI"/>
                <w:sz w:val="21"/>
                <w:szCs w:val="21"/>
              </w:rPr>
            </w:pPr>
            <w:r w:rsidRPr="34DDCB98">
              <w:rPr>
                <w:rFonts w:ascii="Segoe UI" w:hAnsi="Segoe UI" w:cs="Segoe UI"/>
                <w:sz w:val="21"/>
                <w:szCs w:val="21"/>
              </w:rPr>
              <w:lastRenderedPageBreak/>
              <w:t xml:space="preserve">What do you think the role of NSs will/could be in view of the recent global Caucus discussions and decision on Cash </w:t>
            </w:r>
            <w:r w:rsidR="000F218E" w:rsidRPr="34DDCB98">
              <w:rPr>
                <w:rFonts w:ascii="Segoe UI" w:hAnsi="Segoe UI" w:cs="Segoe UI"/>
                <w:sz w:val="21"/>
                <w:szCs w:val="21"/>
              </w:rPr>
              <w:t>Coordination?</w:t>
            </w:r>
            <w:r w:rsidRPr="34DDCB98">
              <w:rPr>
                <w:rFonts w:ascii="Segoe UI" w:hAnsi="Segoe UI" w:cs="Segoe UI"/>
                <w:sz w:val="21"/>
                <w:szCs w:val="21"/>
              </w:rPr>
              <w:t xml:space="preserve"> </w:t>
            </w:r>
            <w:r w:rsidR="00F26794">
              <w:rPr>
                <w:rFonts w:ascii="Segoe UI" w:hAnsi="Segoe UI" w:cs="Segoe UI"/>
                <w:sz w:val="21"/>
                <w:szCs w:val="21"/>
              </w:rPr>
              <w:t>H</w:t>
            </w:r>
            <w:r w:rsidRPr="34DDCB98">
              <w:rPr>
                <w:rFonts w:ascii="Segoe UI" w:hAnsi="Segoe UI" w:cs="Segoe UI"/>
                <w:sz w:val="21"/>
                <w:szCs w:val="21"/>
              </w:rPr>
              <w:t>ow can NSs position themselves to play a key role supporting the Grand Bargain 2.0 localization agenda?</w:t>
            </w:r>
          </w:p>
        </w:tc>
        <w:tc>
          <w:tcPr>
            <w:tcW w:w="7574" w:type="dxa"/>
          </w:tcPr>
          <w:p w14:paraId="69B827E2" w14:textId="31362931" w:rsidR="004B6D04" w:rsidRDefault="004B6D04" w:rsidP="00564538">
            <w:pPr>
              <w:pStyle w:val="NormalWeb"/>
              <w:rPr>
                <w:rFonts w:ascii="Segoe UI" w:eastAsia="Segoe UI" w:hAnsi="Segoe UI" w:cs="Segoe UI"/>
              </w:rPr>
            </w:pPr>
            <w:r w:rsidRPr="34DDCB98">
              <w:rPr>
                <w:rFonts w:ascii="Segoe UI" w:eastAsia="Segoe UI" w:hAnsi="Segoe UI" w:cs="Segoe UI"/>
                <w:sz w:val="21"/>
                <w:szCs w:val="21"/>
              </w:rPr>
              <w:t xml:space="preserve">The </w:t>
            </w:r>
            <w:r w:rsidR="00F26794">
              <w:rPr>
                <w:rFonts w:ascii="Segoe UI" w:eastAsia="Segoe UI" w:hAnsi="Segoe UI" w:cs="Segoe UI"/>
                <w:sz w:val="21"/>
                <w:szCs w:val="21"/>
              </w:rPr>
              <w:t>IFRC network</w:t>
            </w:r>
            <w:r w:rsidRPr="34DDCB98">
              <w:rPr>
                <w:rFonts w:ascii="Segoe UI" w:eastAsia="Segoe UI" w:hAnsi="Segoe UI" w:cs="Segoe UI"/>
                <w:sz w:val="21"/>
                <w:szCs w:val="21"/>
              </w:rPr>
              <w:t xml:space="preserve"> has been influential in</w:t>
            </w:r>
            <w:r w:rsidR="00F26794">
              <w:rPr>
                <w:rFonts w:ascii="Segoe UI" w:eastAsia="Segoe UI" w:hAnsi="Segoe UI" w:cs="Segoe UI"/>
                <w:sz w:val="21"/>
                <w:szCs w:val="21"/>
              </w:rPr>
              <w:t xml:space="preserve"> the</w:t>
            </w:r>
            <w:r w:rsidRPr="34DDCB98">
              <w:rPr>
                <w:rFonts w:ascii="Segoe UI" w:eastAsia="Segoe UI" w:hAnsi="Segoe UI" w:cs="Segoe UI"/>
                <w:sz w:val="21"/>
                <w:szCs w:val="21"/>
              </w:rPr>
              <w:t xml:space="preserve"> discussions so far,</w:t>
            </w:r>
            <w:r w:rsidR="00F26794">
              <w:rPr>
                <w:rFonts w:ascii="Segoe UI" w:eastAsia="Segoe UI" w:hAnsi="Segoe UI" w:cs="Segoe UI"/>
                <w:sz w:val="21"/>
                <w:szCs w:val="21"/>
              </w:rPr>
              <w:t xml:space="preserve"> bringing attention to the </w:t>
            </w:r>
            <w:r w:rsidRPr="34DDCB98">
              <w:rPr>
                <w:rFonts w:ascii="Segoe UI" w:eastAsia="Segoe UI" w:hAnsi="Segoe UI" w:cs="Segoe UI"/>
                <w:sz w:val="21"/>
                <w:szCs w:val="21"/>
              </w:rPr>
              <w:t xml:space="preserve">role of the local actors </w:t>
            </w:r>
            <w:r w:rsidR="00F26794">
              <w:rPr>
                <w:rFonts w:ascii="Segoe UI" w:eastAsia="Segoe UI" w:hAnsi="Segoe UI" w:cs="Segoe UI"/>
                <w:sz w:val="21"/>
                <w:szCs w:val="21"/>
              </w:rPr>
              <w:t xml:space="preserve">and local leadership in cash coordination </w:t>
            </w:r>
            <w:r w:rsidR="00594550">
              <w:rPr>
                <w:rFonts w:ascii="Segoe UI" w:eastAsia="Segoe UI" w:hAnsi="Segoe UI" w:cs="Segoe UI"/>
                <w:sz w:val="21"/>
                <w:szCs w:val="21"/>
              </w:rPr>
              <w:t xml:space="preserve">at all levels and in small, medium and large emergencies. The process </w:t>
            </w:r>
            <w:r w:rsidR="006B6930">
              <w:rPr>
                <w:rFonts w:ascii="Segoe UI" w:eastAsia="Segoe UI" w:hAnsi="Segoe UI" w:cs="Segoe UI"/>
                <w:sz w:val="21"/>
                <w:szCs w:val="21"/>
              </w:rPr>
              <w:t xml:space="preserve">now brings real opportunities for </w:t>
            </w:r>
            <w:r w:rsidRPr="34DDCB98">
              <w:rPr>
                <w:rFonts w:ascii="Segoe UI" w:eastAsia="Segoe UI" w:hAnsi="Segoe UI" w:cs="Segoe UI"/>
                <w:sz w:val="21"/>
                <w:szCs w:val="21"/>
              </w:rPr>
              <w:t>N</w:t>
            </w:r>
            <w:r w:rsidR="006D397B">
              <w:rPr>
                <w:rFonts w:ascii="Segoe UI" w:eastAsia="Segoe UI" w:hAnsi="Segoe UI" w:cs="Segoe UI"/>
                <w:sz w:val="21"/>
                <w:szCs w:val="21"/>
              </w:rPr>
              <w:t xml:space="preserve">ational </w:t>
            </w:r>
            <w:r w:rsidRPr="34DDCB98">
              <w:rPr>
                <w:rFonts w:ascii="Segoe UI" w:eastAsia="Segoe UI" w:hAnsi="Segoe UI" w:cs="Segoe UI"/>
                <w:sz w:val="21"/>
                <w:szCs w:val="21"/>
              </w:rPr>
              <w:t>S</w:t>
            </w:r>
            <w:r w:rsidR="006D397B">
              <w:rPr>
                <w:rFonts w:ascii="Segoe UI" w:eastAsia="Segoe UI" w:hAnsi="Segoe UI" w:cs="Segoe UI"/>
                <w:sz w:val="21"/>
                <w:szCs w:val="21"/>
              </w:rPr>
              <w:t>ocieties</w:t>
            </w:r>
            <w:r w:rsidRPr="34DDCB98">
              <w:rPr>
                <w:rFonts w:ascii="Segoe UI" w:eastAsia="Segoe UI" w:hAnsi="Segoe UI" w:cs="Segoe UI"/>
                <w:sz w:val="21"/>
                <w:szCs w:val="21"/>
              </w:rPr>
              <w:t xml:space="preserve"> willing to champion a leadership role in their local context</w:t>
            </w:r>
            <w:r w:rsidR="007A51E1">
              <w:rPr>
                <w:rFonts w:ascii="Segoe UI" w:eastAsia="Segoe UI" w:hAnsi="Segoe UI" w:cs="Segoe UI"/>
                <w:sz w:val="21"/>
                <w:szCs w:val="21"/>
              </w:rPr>
              <w:t xml:space="preserve"> as well as</w:t>
            </w:r>
            <w:r w:rsidR="006D397B">
              <w:rPr>
                <w:rFonts w:ascii="Segoe UI" w:eastAsia="Segoe UI" w:hAnsi="Segoe UI" w:cs="Segoe UI"/>
                <w:sz w:val="21"/>
                <w:szCs w:val="21"/>
              </w:rPr>
              <w:t xml:space="preserve"> present</w:t>
            </w:r>
            <w:r w:rsidR="007A51E1">
              <w:rPr>
                <w:rFonts w:ascii="Segoe UI" w:eastAsia="Segoe UI" w:hAnsi="Segoe UI" w:cs="Segoe UI"/>
                <w:sz w:val="21"/>
                <w:szCs w:val="21"/>
              </w:rPr>
              <w:t xml:space="preserve"> opportunities </w:t>
            </w:r>
            <w:r w:rsidR="006D397B">
              <w:rPr>
                <w:rFonts w:ascii="Segoe UI" w:eastAsia="Segoe UI" w:hAnsi="Segoe UI" w:cs="Segoe UI"/>
                <w:sz w:val="21"/>
                <w:szCs w:val="21"/>
              </w:rPr>
              <w:t xml:space="preserve">for </w:t>
            </w:r>
            <w:r w:rsidR="007A51E1">
              <w:rPr>
                <w:rFonts w:ascii="Segoe UI" w:eastAsia="Segoe UI" w:hAnsi="Segoe UI" w:cs="Segoe UI"/>
                <w:sz w:val="21"/>
                <w:szCs w:val="21"/>
              </w:rPr>
              <w:t>increase</w:t>
            </w:r>
            <w:r w:rsidR="006D397B">
              <w:rPr>
                <w:rFonts w:ascii="Segoe UI" w:eastAsia="Segoe UI" w:hAnsi="Segoe UI" w:cs="Segoe UI"/>
                <w:sz w:val="21"/>
                <w:szCs w:val="21"/>
              </w:rPr>
              <w:t>d</w:t>
            </w:r>
            <w:r w:rsidR="007A51E1">
              <w:rPr>
                <w:rFonts w:ascii="Segoe UI" w:eastAsia="Segoe UI" w:hAnsi="Segoe UI" w:cs="Segoe UI"/>
                <w:sz w:val="21"/>
                <w:szCs w:val="21"/>
              </w:rPr>
              <w:t xml:space="preserve"> participation. </w:t>
            </w:r>
          </w:p>
        </w:tc>
      </w:tr>
      <w:tr w:rsidR="004B6D04" w14:paraId="560966BE" w14:textId="77777777" w:rsidTr="34DDCB98">
        <w:tc>
          <w:tcPr>
            <w:tcW w:w="5386" w:type="dxa"/>
          </w:tcPr>
          <w:p w14:paraId="44177C1E" w14:textId="15561A5B" w:rsidR="004B6D04" w:rsidRDefault="004B6D04" w:rsidP="001B6050">
            <w:pPr>
              <w:pStyle w:val="NormalWeb"/>
              <w:rPr>
                <w:rFonts w:ascii="Segoe UI" w:hAnsi="Segoe UI" w:cs="Segoe UI"/>
                <w:sz w:val="21"/>
                <w:szCs w:val="21"/>
              </w:rPr>
            </w:pPr>
            <w:r>
              <w:rPr>
                <w:rFonts w:ascii="Segoe UI" w:hAnsi="Segoe UI" w:cs="Segoe UI"/>
                <w:sz w:val="21"/>
                <w:szCs w:val="21"/>
              </w:rPr>
              <w:t xml:space="preserve">This Forum shows that </w:t>
            </w:r>
            <w:r w:rsidR="008209E8">
              <w:rPr>
                <w:rFonts w:ascii="Segoe UI" w:hAnsi="Segoe UI" w:cs="Segoe UI"/>
                <w:sz w:val="21"/>
                <w:szCs w:val="21"/>
              </w:rPr>
              <w:t xml:space="preserve">within the </w:t>
            </w:r>
            <w:r>
              <w:rPr>
                <w:rFonts w:ascii="Segoe UI" w:hAnsi="Segoe UI" w:cs="Segoe UI"/>
                <w:sz w:val="21"/>
                <w:szCs w:val="21"/>
              </w:rPr>
              <w:t>Movement there are great experiences and knowledge in CVA among the NSs, how</w:t>
            </w:r>
            <w:r w:rsidR="008209E8">
              <w:rPr>
                <w:rFonts w:ascii="Segoe UI" w:hAnsi="Segoe UI" w:cs="Segoe UI"/>
                <w:sz w:val="21"/>
                <w:szCs w:val="21"/>
              </w:rPr>
              <w:t xml:space="preserve"> can knowledge sharing be enhanced? </w:t>
            </w:r>
            <w:r>
              <w:rPr>
                <w:rFonts w:ascii="Segoe UI" w:hAnsi="Segoe UI" w:cs="Segoe UI"/>
                <w:sz w:val="21"/>
                <w:szCs w:val="21"/>
              </w:rPr>
              <w:t xml:space="preserve"> </w:t>
            </w:r>
          </w:p>
        </w:tc>
        <w:tc>
          <w:tcPr>
            <w:tcW w:w="7574" w:type="dxa"/>
          </w:tcPr>
          <w:p w14:paraId="3143AF49" w14:textId="22F79804" w:rsidR="004B6D04" w:rsidRDefault="007E69F6" w:rsidP="34DDCB98">
            <w:pPr>
              <w:pStyle w:val="NormalWeb"/>
              <w:rPr>
                <w:rFonts w:ascii="Segoe UI" w:eastAsia="Segoe UI" w:hAnsi="Segoe UI" w:cs="Segoe UI"/>
                <w:sz w:val="21"/>
                <w:szCs w:val="21"/>
              </w:rPr>
            </w:pPr>
            <w:r>
              <w:rPr>
                <w:rFonts w:ascii="Segoe UI" w:eastAsia="Segoe UI" w:hAnsi="Segoe UI" w:cs="Segoe UI"/>
                <w:sz w:val="21"/>
                <w:szCs w:val="21"/>
              </w:rPr>
              <w:t>There are CVA Regional Working Groups or Communities of Practice operating in most region</w:t>
            </w:r>
            <w:r w:rsidR="006D397B">
              <w:rPr>
                <w:rFonts w:ascii="Segoe UI" w:eastAsia="Segoe UI" w:hAnsi="Segoe UI" w:cs="Segoe UI"/>
                <w:sz w:val="21"/>
                <w:szCs w:val="21"/>
              </w:rPr>
              <w:t>s</w:t>
            </w:r>
            <w:r>
              <w:rPr>
                <w:rFonts w:ascii="Segoe UI" w:eastAsia="Segoe UI" w:hAnsi="Segoe UI" w:cs="Segoe UI"/>
                <w:sz w:val="21"/>
                <w:szCs w:val="21"/>
              </w:rPr>
              <w:t xml:space="preserve"> where National Societies</w:t>
            </w:r>
            <w:r w:rsidR="006D397B">
              <w:rPr>
                <w:rFonts w:ascii="Segoe UI" w:eastAsia="Segoe UI" w:hAnsi="Segoe UI" w:cs="Segoe UI"/>
                <w:sz w:val="21"/>
                <w:szCs w:val="21"/>
              </w:rPr>
              <w:t xml:space="preserve"> are</w:t>
            </w:r>
            <w:r>
              <w:rPr>
                <w:rFonts w:ascii="Segoe UI" w:eastAsia="Segoe UI" w:hAnsi="Segoe UI" w:cs="Segoe UI"/>
                <w:sz w:val="21"/>
                <w:szCs w:val="21"/>
              </w:rPr>
              <w:t>, the IFRC Secretariat and partner National Societies have come together to enable t</w:t>
            </w:r>
            <w:r w:rsidR="004B6D04" w:rsidRPr="34DDCB98">
              <w:rPr>
                <w:rFonts w:ascii="Segoe UI" w:eastAsia="Segoe UI" w:hAnsi="Segoe UI" w:cs="Segoe UI"/>
                <w:sz w:val="21"/>
                <w:szCs w:val="21"/>
              </w:rPr>
              <w:t>he sharing of knowledge, amongst N</w:t>
            </w:r>
            <w:r w:rsidR="006D397B">
              <w:rPr>
                <w:rFonts w:ascii="Segoe UI" w:eastAsia="Segoe UI" w:hAnsi="Segoe UI" w:cs="Segoe UI"/>
                <w:sz w:val="21"/>
                <w:szCs w:val="21"/>
              </w:rPr>
              <w:t xml:space="preserve">ational </w:t>
            </w:r>
            <w:r w:rsidR="004B6D04" w:rsidRPr="34DDCB98">
              <w:rPr>
                <w:rFonts w:ascii="Segoe UI" w:eastAsia="Segoe UI" w:hAnsi="Segoe UI" w:cs="Segoe UI"/>
                <w:sz w:val="21"/>
                <w:szCs w:val="21"/>
              </w:rPr>
              <w:t>S</w:t>
            </w:r>
            <w:r w:rsidR="006D397B">
              <w:rPr>
                <w:rFonts w:ascii="Segoe UI" w:eastAsia="Segoe UI" w:hAnsi="Segoe UI" w:cs="Segoe UI"/>
                <w:sz w:val="21"/>
                <w:szCs w:val="21"/>
              </w:rPr>
              <w:t>ocieties</w:t>
            </w:r>
            <w:r w:rsidR="004B6D04" w:rsidRPr="34DDCB98">
              <w:rPr>
                <w:rFonts w:ascii="Segoe UI" w:eastAsia="Segoe UI" w:hAnsi="Segoe UI" w:cs="Segoe UI"/>
                <w:sz w:val="21"/>
                <w:szCs w:val="21"/>
              </w:rPr>
              <w:t xml:space="preserve"> working in similar contexts. In addition to this there are several other fora which allow peer-to-peer sharing including this </w:t>
            </w:r>
            <w:hyperlink r:id="rId15">
              <w:r w:rsidR="004B6D04" w:rsidRPr="34DDCB98">
                <w:rPr>
                  <w:rStyle w:val="Hyperlink"/>
                  <w:rFonts w:ascii="Segoe UI" w:eastAsia="Segoe UI" w:hAnsi="Segoe UI" w:cs="Segoe UI"/>
                  <w:sz w:val="21"/>
                  <w:szCs w:val="21"/>
                </w:rPr>
                <w:t>Global Cash Forum</w:t>
              </w:r>
            </w:hyperlink>
            <w:r w:rsidR="004B6D04" w:rsidRPr="34DDCB98">
              <w:rPr>
                <w:rFonts w:ascii="Segoe UI" w:eastAsia="Segoe UI" w:hAnsi="Segoe UI" w:cs="Segoe UI"/>
                <w:sz w:val="21"/>
                <w:szCs w:val="21"/>
              </w:rPr>
              <w:t xml:space="preserve">, regular </w:t>
            </w:r>
            <w:hyperlink r:id="rId16">
              <w:r w:rsidR="004B6D04" w:rsidRPr="34DDCB98">
                <w:rPr>
                  <w:rStyle w:val="Hyperlink"/>
                  <w:rFonts w:ascii="Segoe UI" w:eastAsia="Segoe UI" w:hAnsi="Segoe UI" w:cs="Segoe UI"/>
                  <w:color w:val="0070C0"/>
                  <w:sz w:val="21"/>
                  <w:szCs w:val="21"/>
                </w:rPr>
                <w:t>Cash Hub Webinars</w:t>
              </w:r>
            </w:hyperlink>
            <w:r w:rsidR="004B6D04" w:rsidRPr="34DDCB98">
              <w:rPr>
                <w:rFonts w:ascii="Segoe UI" w:eastAsia="Segoe UI" w:hAnsi="Segoe UI" w:cs="Segoe UI"/>
                <w:sz w:val="21"/>
                <w:szCs w:val="21"/>
              </w:rPr>
              <w:t xml:space="preserve">, and case studies/tools/reports shared </w:t>
            </w:r>
            <w:hyperlink r:id="rId17">
              <w:r w:rsidR="004B6D04" w:rsidRPr="34DDCB98">
                <w:rPr>
                  <w:rStyle w:val="Hyperlink"/>
                  <w:rFonts w:ascii="Segoe UI" w:eastAsia="Segoe UI" w:hAnsi="Segoe UI" w:cs="Segoe UI"/>
                  <w:color w:val="0070C0"/>
                  <w:sz w:val="21"/>
                  <w:szCs w:val="21"/>
                </w:rPr>
                <w:t>via the Cash Hub platform</w:t>
              </w:r>
            </w:hyperlink>
            <w:r w:rsidR="004B6D04" w:rsidRPr="34DDCB98">
              <w:rPr>
                <w:rFonts w:ascii="Segoe UI" w:eastAsia="Segoe UI" w:hAnsi="Segoe UI" w:cs="Segoe UI"/>
                <w:color w:val="0070C0"/>
                <w:sz w:val="21"/>
                <w:szCs w:val="21"/>
              </w:rPr>
              <w:t>.</w:t>
            </w:r>
          </w:p>
          <w:p w14:paraId="54016EED" w14:textId="7BEAD2F5" w:rsidR="004B6D04" w:rsidRDefault="004B6D04" w:rsidP="34DDCB98">
            <w:pPr>
              <w:pStyle w:val="NormalWeb"/>
              <w:rPr>
                <w:rFonts w:ascii="Segoe UI" w:eastAsia="Segoe UI" w:hAnsi="Segoe UI" w:cs="Segoe UI"/>
              </w:rPr>
            </w:pPr>
          </w:p>
        </w:tc>
      </w:tr>
      <w:tr w:rsidR="004B6D04" w14:paraId="662E0F48" w14:textId="77777777" w:rsidTr="34DDCB98">
        <w:tc>
          <w:tcPr>
            <w:tcW w:w="5386" w:type="dxa"/>
          </w:tcPr>
          <w:p w14:paraId="79077EB1" w14:textId="2BCA4E42" w:rsidR="004B6D04" w:rsidRDefault="004B6D04" w:rsidP="001B6050">
            <w:pPr>
              <w:pStyle w:val="NormalWeb"/>
              <w:rPr>
                <w:rFonts w:ascii="Segoe UI" w:hAnsi="Segoe UI" w:cs="Segoe UI"/>
                <w:sz w:val="21"/>
                <w:szCs w:val="21"/>
              </w:rPr>
            </w:pPr>
            <w:r>
              <w:rPr>
                <w:rFonts w:ascii="Segoe UI" w:hAnsi="Segoe UI" w:cs="Segoe UI"/>
                <w:sz w:val="21"/>
                <w:szCs w:val="21"/>
              </w:rPr>
              <w:t xml:space="preserve">What is the movement position towards the ECHO common cash approach for large-scale cash transfers (with A-B-C partners)? Turkey seems like a good example of how it can be implemented but in other contexts it might be more difficult. </w:t>
            </w:r>
          </w:p>
        </w:tc>
        <w:tc>
          <w:tcPr>
            <w:tcW w:w="7574" w:type="dxa"/>
          </w:tcPr>
          <w:p w14:paraId="2F944529" w14:textId="2BBE3D87" w:rsidR="004B6D04" w:rsidRDefault="004B6D04" w:rsidP="34DDCB98">
            <w:pPr>
              <w:pStyle w:val="NormalWeb"/>
              <w:rPr>
                <w:rFonts w:ascii="Segoe UI" w:eastAsia="Segoe UI" w:hAnsi="Segoe UI" w:cs="Segoe UI"/>
                <w:sz w:val="21"/>
                <w:szCs w:val="21"/>
              </w:rPr>
            </w:pPr>
            <w:r w:rsidRPr="34DDCB98">
              <w:rPr>
                <w:rFonts w:ascii="Segoe UI" w:eastAsia="Segoe UI" w:hAnsi="Segoe UI" w:cs="Segoe UI"/>
                <w:sz w:val="21"/>
                <w:szCs w:val="21"/>
              </w:rPr>
              <w:t xml:space="preserve">There is not currently one Movement position to this given the breath and mandates of all the Movement components.  However, there is growing experience from the IFRC and National Societies on working with ECHO in small, medium and large-scale responses. </w:t>
            </w:r>
          </w:p>
        </w:tc>
      </w:tr>
      <w:tr w:rsidR="004B6D04" w14:paraId="3322A0E9" w14:textId="77777777" w:rsidTr="34DDCB98">
        <w:trPr>
          <w:trHeight w:val="1905"/>
        </w:trPr>
        <w:tc>
          <w:tcPr>
            <w:tcW w:w="5386" w:type="dxa"/>
          </w:tcPr>
          <w:p w14:paraId="033BCC00" w14:textId="4F83E408" w:rsidR="004B6D04" w:rsidRDefault="004B6D04" w:rsidP="00AD37E5">
            <w:pPr>
              <w:pStyle w:val="NormalWeb"/>
              <w:rPr>
                <w:rFonts w:ascii="Segoe UI" w:hAnsi="Segoe UI" w:cs="Segoe UI"/>
                <w:sz w:val="21"/>
                <w:szCs w:val="21"/>
              </w:rPr>
            </w:pPr>
            <w:r>
              <w:rPr>
                <w:rFonts w:ascii="Segoe UI" w:hAnsi="Segoe UI" w:cs="Segoe UI"/>
                <w:sz w:val="21"/>
                <w:szCs w:val="21"/>
              </w:rPr>
              <w:t xml:space="preserve">I feel that donating towards organisations who use CVA means that more of my donation goes towards those who are in need, rather than towards suppliers, transporters </w:t>
            </w:r>
            <w:r w:rsidR="000F218E">
              <w:rPr>
                <w:rFonts w:ascii="Segoe UI" w:hAnsi="Segoe UI" w:cs="Segoe UI"/>
                <w:sz w:val="21"/>
                <w:szCs w:val="21"/>
              </w:rPr>
              <w:t>etc.</w:t>
            </w:r>
            <w:r>
              <w:rPr>
                <w:rFonts w:ascii="Segoe UI" w:hAnsi="Segoe UI" w:cs="Segoe UI"/>
                <w:sz w:val="21"/>
                <w:szCs w:val="21"/>
              </w:rPr>
              <w:t xml:space="preserve"> Is there any indication that moving towards CVA is having an impact on donor relations? </w:t>
            </w:r>
          </w:p>
        </w:tc>
        <w:tc>
          <w:tcPr>
            <w:tcW w:w="7574" w:type="dxa"/>
          </w:tcPr>
          <w:p w14:paraId="4CA53679" w14:textId="112085FD" w:rsidR="00C93D1E" w:rsidRDefault="004B6D04" w:rsidP="34DDCB98">
            <w:pPr>
              <w:pStyle w:val="NormalWeb"/>
              <w:rPr>
                <w:rFonts w:ascii="Segoe UI" w:eastAsia="Segoe UI" w:hAnsi="Segoe UI" w:cs="Segoe UI"/>
                <w:sz w:val="21"/>
                <w:szCs w:val="21"/>
              </w:rPr>
            </w:pPr>
            <w:r w:rsidRPr="34DDCB98">
              <w:rPr>
                <w:rFonts w:ascii="Segoe UI" w:eastAsia="Segoe UI" w:hAnsi="Segoe UI" w:cs="Segoe UI"/>
                <w:sz w:val="21"/>
                <w:szCs w:val="21"/>
              </w:rPr>
              <w:t xml:space="preserve">There is strong evidence that using CVA can be more efficient than provision of </w:t>
            </w:r>
            <w:r w:rsidR="00B03613">
              <w:rPr>
                <w:rFonts w:ascii="Segoe UI" w:eastAsia="Segoe UI" w:hAnsi="Segoe UI" w:cs="Segoe UI"/>
                <w:sz w:val="21"/>
                <w:szCs w:val="21"/>
              </w:rPr>
              <w:t xml:space="preserve">in-kind </w:t>
            </w:r>
            <w:r w:rsidRPr="34DDCB98">
              <w:rPr>
                <w:rFonts w:ascii="Segoe UI" w:eastAsia="Segoe UI" w:hAnsi="Segoe UI" w:cs="Segoe UI"/>
                <w:sz w:val="21"/>
                <w:szCs w:val="21"/>
              </w:rPr>
              <w:t>assistance</w:t>
            </w:r>
            <w:r w:rsidR="00B03613">
              <w:rPr>
                <w:rFonts w:ascii="Segoe UI" w:eastAsia="Segoe UI" w:hAnsi="Segoe UI" w:cs="Segoe UI"/>
                <w:sz w:val="21"/>
                <w:szCs w:val="21"/>
              </w:rPr>
              <w:t xml:space="preserve">, </w:t>
            </w:r>
            <w:r w:rsidR="006D397B">
              <w:rPr>
                <w:rFonts w:ascii="Segoe UI" w:eastAsia="Segoe UI" w:hAnsi="Segoe UI" w:cs="Segoe UI"/>
                <w:sz w:val="21"/>
                <w:szCs w:val="21"/>
              </w:rPr>
              <w:t xml:space="preserve">for instance </w:t>
            </w:r>
            <w:r w:rsidR="00B03613">
              <w:rPr>
                <w:rFonts w:ascii="Segoe UI" w:eastAsia="Segoe UI" w:hAnsi="Segoe UI" w:cs="Segoe UI"/>
                <w:sz w:val="21"/>
                <w:szCs w:val="21"/>
              </w:rPr>
              <w:t xml:space="preserve">it can be more shock responsive as shown during the COVID-19 pandemic and </w:t>
            </w:r>
            <w:r w:rsidR="00CD238D">
              <w:rPr>
                <w:rFonts w:ascii="Segoe UI" w:eastAsia="Segoe UI" w:hAnsi="Segoe UI" w:cs="Segoe UI"/>
                <w:sz w:val="21"/>
                <w:szCs w:val="21"/>
              </w:rPr>
              <w:t xml:space="preserve">it can better meet </w:t>
            </w:r>
            <w:r w:rsidR="007258D8">
              <w:rPr>
                <w:rFonts w:ascii="Segoe UI" w:eastAsia="Segoe UI" w:hAnsi="Segoe UI" w:cs="Segoe UI"/>
                <w:sz w:val="21"/>
                <w:szCs w:val="21"/>
              </w:rPr>
              <w:t>people’s</w:t>
            </w:r>
            <w:r w:rsidR="00CD238D">
              <w:rPr>
                <w:rFonts w:ascii="Segoe UI" w:eastAsia="Segoe UI" w:hAnsi="Segoe UI" w:cs="Segoe UI"/>
                <w:sz w:val="21"/>
                <w:szCs w:val="21"/>
              </w:rPr>
              <w:t xml:space="preserve"> needs in a more dignified manner. </w:t>
            </w:r>
            <w:r w:rsidRPr="34DDCB98">
              <w:rPr>
                <w:rFonts w:ascii="Segoe UI" w:eastAsia="Segoe UI" w:hAnsi="Segoe UI" w:cs="Segoe UI"/>
                <w:sz w:val="21"/>
                <w:szCs w:val="21"/>
              </w:rPr>
              <w:t xml:space="preserve">Many donors are strongly supportive of the use of CVA and are encouraging organisations to consider CVA </w:t>
            </w:r>
            <w:r w:rsidR="00C93D1E">
              <w:rPr>
                <w:rFonts w:ascii="Segoe UI" w:eastAsia="Segoe UI" w:hAnsi="Segoe UI" w:cs="Segoe UI"/>
                <w:sz w:val="21"/>
                <w:szCs w:val="21"/>
              </w:rPr>
              <w:t xml:space="preserve">in every operational and programme and to use it where it is relevant. </w:t>
            </w:r>
          </w:p>
          <w:p w14:paraId="069B7CC5" w14:textId="77777777" w:rsidR="004B6D04" w:rsidRDefault="007258D8" w:rsidP="00F00EDA">
            <w:pPr>
              <w:pStyle w:val="NormalWeb"/>
              <w:rPr>
                <w:rFonts w:ascii="Segoe UI" w:eastAsia="Segoe UI" w:hAnsi="Segoe UI" w:cs="Segoe UI"/>
                <w:sz w:val="21"/>
                <w:szCs w:val="21"/>
              </w:rPr>
            </w:pPr>
            <w:r>
              <w:rPr>
                <w:rFonts w:ascii="Segoe UI" w:eastAsia="Segoe UI" w:hAnsi="Segoe UI" w:cs="Segoe UI"/>
                <w:sz w:val="21"/>
                <w:szCs w:val="21"/>
              </w:rPr>
              <w:t>Indeed</w:t>
            </w:r>
            <w:r w:rsidR="00F20363">
              <w:rPr>
                <w:rFonts w:ascii="Segoe UI" w:eastAsia="Segoe UI" w:hAnsi="Segoe UI" w:cs="Segoe UI"/>
                <w:sz w:val="21"/>
                <w:szCs w:val="21"/>
              </w:rPr>
              <w:t>,</w:t>
            </w:r>
            <w:r>
              <w:rPr>
                <w:rFonts w:ascii="Segoe UI" w:eastAsia="Segoe UI" w:hAnsi="Segoe UI" w:cs="Segoe UI"/>
                <w:sz w:val="21"/>
                <w:szCs w:val="21"/>
              </w:rPr>
              <w:t xml:space="preserve"> several major </w:t>
            </w:r>
            <w:r w:rsidR="00F20363">
              <w:rPr>
                <w:rFonts w:ascii="Segoe UI" w:eastAsia="Segoe UI" w:hAnsi="Segoe UI" w:cs="Segoe UI"/>
                <w:sz w:val="21"/>
                <w:szCs w:val="21"/>
              </w:rPr>
              <w:t xml:space="preserve">donor governments came together and agreed a </w:t>
            </w:r>
            <w:hyperlink r:id="rId18" w:history="1">
              <w:r w:rsidR="00F20363" w:rsidRPr="00203913">
                <w:rPr>
                  <w:rStyle w:val="Hyperlink"/>
                  <w:rFonts w:ascii="Segoe UI" w:eastAsia="Segoe UI" w:hAnsi="Segoe UI" w:cs="Segoe UI"/>
                  <w:sz w:val="21"/>
                  <w:szCs w:val="21"/>
                </w:rPr>
                <w:t>Common Donor Approach for Humanitarian Cash Programming</w:t>
              </w:r>
            </w:hyperlink>
            <w:r w:rsidR="00F00EDA">
              <w:rPr>
                <w:rFonts w:ascii="Segoe UI" w:eastAsia="Segoe UI" w:hAnsi="Segoe UI" w:cs="Segoe UI"/>
                <w:sz w:val="21"/>
                <w:szCs w:val="21"/>
              </w:rPr>
              <w:t xml:space="preserve"> and to a set of </w:t>
            </w:r>
            <w:r w:rsidR="00F00EDA">
              <w:rPr>
                <w:rFonts w:ascii="Segoe UI" w:eastAsia="Segoe UI" w:hAnsi="Segoe UI" w:cs="Segoe UI"/>
                <w:sz w:val="21"/>
                <w:szCs w:val="21"/>
              </w:rPr>
              <w:lastRenderedPageBreak/>
              <w:t>principles to improve humanitarian assistance</w:t>
            </w:r>
            <w:r w:rsidR="007E0334">
              <w:rPr>
                <w:rFonts w:ascii="Segoe UI" w:eastAsia="Segoe UI" w:hAnsi="Segoe UI" w:cs="Segoe UI"/>
                <w:sz w:val="21"/>
                <w:szCs w:val="21"/>
              </w:rPr>
              <w:t xml:space="preserve"> and set out a shared vision for the use of cash in humanitarian action that will be jointly used to guide funding decisions. </w:t>
            </w:r>
          </w:p>
          <w:p w14:paraId="280DC3F0" w14:textId="629A994C" w:rsidR="008171B8" w:rsidRDefault="008171B8" w:rsidP="00F00EDA">
            <w:pPr>
              <w:pStyle w:val="NormalWeb"/>
              <w:rPr>
                <w:rFonts w:ascii="Segoe UI" w:eastAsia="Segoe UI" w:hAnsi="Segoe UI" w:cs="Segoe UI"/>
                <w:sz w:val="21"/>
                <w:szCs w:val="21"/>
              </w:rPr>
            </w:pPr>
            <w:r>
              <w:rPr>
                <w:rFonts w:ascii="Segoe UI" w:eastAsia="Segoe UI" w:hAnsi="Segoe UI" w:cs="Segoe UI"/>
                <w:sz w:val="21"/>
                <w:szCs w:val="21"/>
              </w:rPr>
              <w:t xml:space="preserve">For many National Societies, using CVA has also been key in attracting further resources to their National Society which is documented </w:t>
            </w:r>
            <w:r w:rsidR="00B16448">
              <w:rPr>
                <w:rFonts w:ascii="Segoe UI" w:eastAsia="Segoe UI" w:hAnsi="Segoe UI" w:cs="Segoe UI"/>
                <w:sz w:val="21"/>
                <w:szCs w:val="21"/>
              </w:rPr>
              <w:t>in</w:t>
            </w:r>
            <w:r w:rsidR="003517A1">
              <w:rPr>
                <w:rFonts w:ascii="Segoe UI" w:eastAsia="Segoe UI" w:hAnsi="Segoe UI" w:cs="Segoe UI"/>
                <w:sz w:val="21"/>
                <w:szCs w:val="21"/>
              </w:rPr>
              <w:t xml:space="preserve"> ‘</w:t>
            </w:r>
            <w:hyperlink r:id="rId19" w:history="1">
              <w:r w:rsidR="002339CD" w:rsidRPr="002339CD">
                <w:rPr>
                  <w:rStyle w:val="Hyperlink"/>
                  <w:rFonts w:ascii="Segoe UI" w:eastAsia="Segoe UI" w:hAnsi="Segoe UI" w:cs="Segoe UI"/>
                  <w:sz w:val="21"/>
                  <w:szCs w:val="21"/>
                </w:rPr>
                <w:t>Strengthening locally led humanitarian action through cash preparedness’</w:t>
              </w:r>
            </w:hyperlink>
            <w:r w:rsidR="002339CD">
              <w:rPr>
                <w:rFonts w:ascii="Segoe UI" w:eastAsia="Segoe UI" w:hAnsi="Segoe UI" w:cs="Segoe UI"/>
                <w:sz w:val="21"/>
                <w:szCs w:val="21"/>
              </w:rPr>
              <w:t xml:space="preserve"> and was discussed in a recent </w:t>
            </w:r>
            <w:hyperlink r:id="rId20" w:history="1">
              <w:r w:rsidR="002339CD" w:rsidRPr="00A213A6">
                <w:rPr>
                  <w:rStyle w:val="Hyperlink"/>
                  <w:rFonts w:ascii="Segoe UI" w:eastAsia="Segoe UI" w:hAnsi="Segoe UI" w:cs="Segoe UI"/>
                  <w:sz w:val="21"/>
                  <w:szCs w:val="21"/>
                </w:rPr>
                <w:t>Planet Red webinar</w:t>
              </w:r>
            </w:hyperlink>
            <w:r w:rsidR="002339CD">
              <w:rPr>
                <w:rFonts w:ascii="Segoe UI" w:eastAsia="Segoe UI" w:hAnsi="Segoe UI" w:cs="Segoe UI"/>
                <w:sz w:val="21"/>
                <w:szCs w:val="21"/>
              </w:rPr>
              <w:t xml:space="preserve">. </w:t>
            </w:r>
          </w:p>
        </w:tc>
      </w:tr>
    </w:tbl>
    <w:p w14:paraId="332CB7D7" w14:textId="6A057C80" w:rsidR="00CA04CC" w:rsidRPr="00CA04CC" w:rsidRDefault="00CA04CC" w:rsidP="00E14FD8">
      <w:pPr>
        <w:pStyle w:val="NormalWeb"/>
        <w:rPr>
          <w:rFonts w:ascii="Segoe UI" w:hAnsi="Segoe UI" w:cs="Segoe UI"/>
          <w:sz w:val="21"/>
          <w:szCs w:val="21"/>
        </w:rPr>
      </w:pPr>
    </w:p>
    <w:sectPr w:rsidR="00CA04CC" w:rsidRPr="00CA04CC" w:rsidSect="00633884">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F2A8" w14:textId="77777777" w:rsidR="00C73CFC" w:rsidRDefault="00C73CFC" w:rsidP="00633884">
      <w:pPr>
        <w:spacing w:after="0" w:line="240" w:lineRule="auto"/>
      </w:pPr>
      <w:r>
        <w:separator/>
      </w:r>
    </w:p>
  </w:endnote>
  <w:endnote w:type="continuationSeparator" w:id="0">
    <w:p w14:paraId="1C1CF26F" w14:textId="77777777" w:rsidR="00C73CFC" w:rsidRDefault="00C73CFC" w:rsidP="0063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6A6C" w14:textId="77777777" w:rsidR="00C73CFC" w:rsidRDefault="00C73CFC" w:rsidP="00633884">
      <w:pPr>
        <w:spacing w:after="0" w:line="240" w:lineRule="auto"/>
      </w:pPr>
      <w:r>
        <w:separator/>
      </w:r>
    </w:p>
  </w:footnote>
  <w:footnote w:type="continuationSeparator" w:id="0">
    <w:p w14:paraId="26F34EE1" w14:textId="77777777" w:rsidR="00C73CFC" w:rsidRDefault="00C73CFC" w:rsidP="00633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25FE" w14:textId="027D36E1" w:rsidR="00633884" w:rsidRPr="00633884" w:rsidRDefault="00633884">
    <w:pPr>
      <w:pStyle w:val="Header"/>
      <w:rPr>
        <w:b/>
        <w:bCs/>
      </w:rPr>
    </w:pPr>
    <w:r w:rsidRPr="00633884">
      <w:rPr>
        <w:b/>
        <w:bCs/>
      </w:rPr>
      <w:t>Global Cash Forum, 10</w:t>
    </w:r>
    <w:r w:rsidRPr="00633884">
      <w:rPr>
        <w:b/>
        <w:bCs/>
        <w:vertAlign w:val="superscript"/>
      </w:rPr>
      <w:t>th</w:t>
    </w:r>
    <w:r w:rsidRPr="00633884">
      <w:rPr>
        <w:b/>
        <w:bCs/>
      </w:rPr>
      <w:t xml:space="preserve"> of February 2022</w:t>
    </w:r>
  </w:p>
  <w:p w14:paraId="18AF0C24" w14:textId="0E71869C" w:rsidR="00633884" w:rsidRPr="00633884" w:rsidRDefault="0063388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B4A"/>
    <w:multiLevelType w:val="hybridMultilevel"/>
    <w:tmpl w:val="920C7B7C"/>
    <w:lvl w:ilvl="0" w:tplc="DDC8EAFC">
      <w:start w:val="1"/>
      <w:numFmt w:val="bullet"/>
      <w:lvlText w:val=""/>
      <w:lvlJc w:val="left"/>
      <w:pPr>
        <w:ind w:left="720" w:hanging="360"/>
      </w:pPr>
      <w:rPr>
        <w:rFonts w:ascii="Symbol" w:hAnsi="Symbol" w:hint="default"/>
      </w:rPr>
    </w:lvl>
    <w:lvl w:ilvl="1" w:tplc="5DA61562">
      <w:start w:val="1"/>
      <w:numFmt w:val="bullet"/>
      <w:lvlText w:val="o"/>
      <w:lvlJc w:val="left"/>
      <w:pPr>
        <w:ind w:left="1440" w:hanging="360"/>
      </w:pPr>
      <w:rPr>
        <w:rFonts w:ascii="Courier New" w:hAnsi="Courier New" w:hint="default"/>
      </w:rPr>
    </w:lvl>
    <w:lvl w:ilvl="2" w:tplc="D47632C4">
      <w:start w:val="1"/>
      <w:numFmt w:val="bullet"/>
      <w:lvlText w:val=""/>
      <w:lvlJc w:val="left"/>
      <w:pPr>
        <w:ind w:left="2160" w:hanging="360"/>
      </w:pPr>
      <w:rPr>
        <w:rFonts w:ascii="Wingdings" w:hAnsi="Wingdings" w:hint="default"/>
      </w:rPr>
    </w:lvl>
    <w:lvl w:ilvl="3" w:tplc="F88EFB30">
      <w:start w:val="1"/>
      <w:numFmt w:val="bullet"/>
      <w:lvlText w:val=""/>
      <w:lvlJc w:val="left"/>
      <w:pPr>
        <w:ind w:left="2880" w:hanging="360"/>
      </w:pPr>
      <w:rPr>
        <w:rFonts w:ascii="Symbol" w:hAnsi="Symbol" w:hint="default"/>
      </w:rPr>
    </w:lvl>
    <w:lvl w:ilvl="4" w:tplc="121E4E80">
      <w:start w:val="1"/>
      <w:numFmt w:val="bullet"/>
      <w:lvlText w:val="o"/>
      <w:lvlJc w:val="left"/>
      <w:pPr>
        <w:ind w:left="3600" w:hanging="360"/>
      </w:pPr>
      <w:rPr>
        <w:rFonts w:ascii="Courier New" w:hAnsi="Courier New" w:hint="default"/>
      </w:rPr>
    </w:lvl>
    <w:lvl w:ilvl="5" w:tplc="DEB2CFD0">
      <w:start w:val="1"/>
      <w:numFmt w:val="bullet"/>
      <w:lvlText w:val=""/>
      <w:lvlJc w:val="left"/>
      <w:pPr>
        <w:ind w:left="4320" w:hanging="360"/>
      </w:pPr>
      <w:rPr>
        <w:rFonts w:ascii="Wingdings" w:hAnsi="Wingdings" w:hint="default"/>
      </w:rPr>
    </w:lvl>
    <w:lvl w:ilvl="6" w:tplc="E488FA94">
      <w:start w:val="1"/>
      <w:numFmt w:val="bullet"/>
      <w:lvlText w:val=""/>
      <w:lvlJc w:val="left"/>
      <w:pPr>
        <w:ind w:left="5040" w:hanging="360"/>
      </w:pPr>
      <w:rPr>
        <w:rFonts w:ascii="Symbol" w:hAnsi="Symbol" w:hint="default"/>
      </w:rPr>
    </w:lvl>
    <w:lvl w:ilvl="7" w:tplc="9928F7D0">
      <w:start w:val="1"/>
      <w:numFmt w:val="bullet"/>
      <w:lvlText w:val="o"/>
      <w:lvlJc w:val="left"/>
      <w:pPr>
        <w:ind w:left="5760" w:hanging="360"/>
      </w:pPr>
      <w:rPr>
        <w:rFonts w:ascii="Courier New" w:hAnsi="Courier New" w:hint="default"/>
      </w:rPr>
    </w:lvl>
    <w:lvl w:ilvl="8" w:tplc="880CAAD0">
      <w:start w:val="1"/>
      <w:numFmt w:val="bullet"/>
      <w:lvlText w:val=""/>
      <w:lvlJc w:val="left"/>
      <w:pPr>
        <w:ind w:left="6480" w:hanging="360"/>
      </w:pPr>
      <w:rPr>
        <w:rFonts w:ascii="Wingdings" w:hAnsi="Wingdings" w:hint="default"/>
      </w:rPr>
    </w:lvl>
  </w:abstractNum>
  <w:abstractNum w:abstractNumId="1" w15:restartNumberingAfterBreak="0">
    <w:nsid w:val="49837A65"/>
    <w:multiLevelType w:val="hybridMultilevel"/>
    <w:tmpl w:val="89E8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20F43"/>
    <w:multiLevelType w:val="hybridMultilevel"/>
    <w:tmpl w:val="656086D4"/>
    <w:lvl w:ilvl="0" w:tplc="BCE8C760">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218AD"/>
    <w:multiLevelType w:val="multilevel"/>
    <w:tmpl w:val="BDB8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84"/>
    <w:rsid w:val="000159F6"/>
    <w:rsid w:val="00056F3D"/>
    <w:rsid w:val="00092FB1"/>
    <w:rsid w:val="000A72C9"/>
    <w:rsid w:val="000C6304"/>
    <w:rsid w:val="000C6CA4"/>
    <w:rsid w:val="000F218E"/>
    <w:rsid w:val="0011661E"/>
    <w:rsid w:val="001619EF"/>
    <w:rsid w:val="001935B8"/>
    <w:rsid w:val="001A31A5"/>
    <w:rsid w:val="001B6050"/>
    <w:rsid w:val="001C0935"/>
    <w:rsid w:val="001D5764"/>
    <w:rsid w:val="001E2B0D"/>
    <w:rsid w:val="0020297C"/>
    <w:rsid w:val="00203913"/>
    <w:rsid w:val="00225A15"/>
    <w:rsid w:val="00226D65"/>
    <w:rsid w:val="00226F10"/>
    <w:rsid w:val="00231C3B"/>
    <w:rsid w:val="002339CD"/>
    <w:rsid w:val="0027706B"/>
    <w:rsid w:val="00293FCF"/>
    <w:rsid w:val="002B1F5F"/>
    <w:rsid w:val="002B3D7F"/>
    <w:rsid w:val="002B6226"/>
    <w:rsid w:val="002B677D"/>
    <w:rsid w:val="0030210F"/>
    <w:rsid w:val="00334C2D"/>
    <w:rsid w:val="003517A1"/>
    <w:rsid w:val="0039282B"/>
    <w:rsid w:val="003D58B1"/>
    <w:rsid w:val="003E0F94"/>
    <w:rsid w:val="003E2B7D"/>
    <w:rsid w:val="004165D5"/>
    <w:rsid w:val="004455DE"/>
    <w:rsid w:val="00445AC9"/>
    <w:rsid w:val="00451E38"/>
    <w:rsid w:val="00455DF7"/>
    <w:rsid w:val="0047466B"/>
    <w:rsid w:val="0048645A"/>
    <w:rsid w:val="004B6D04"/>
    <w:rsid w:val="004D2397"/>
    <w:rsid w:val="004E7ACD"/>
    <w:rsid w:val="0055418A"/>
    <w:rsid w:val="00564538"/>
    <w:rsid w:val="00587F41"/>
    <w:rsid w:val="00593046"/>
    <w:rsid w:val="00594550"/>
    <w:rsid w:val="005B4FA7"/>
    <w:rsid w:val="005E0348"/>
    <w:rsid w:val="005E0D0F"/>
    <w:rsid w:val="0060089A"/>
    <w:rsid w:val="00633884"/>
    <w:rsid w:val="00645ECA"/>
    <w:rsid w:val="00671507"/>
    <w:rsid w:val="00692AFD"/>
    <w:rsid w:val="006B6930"/>
    <w:rsid w:val="006C3F41"/>
    <w:rsid w:val="006D397B"/>
    <w:rsid w:val="006E11D6"/>
    <w:rsid w:val="006E7638"/>
    <w:rsid w:val="006F6412"/>
    <w:rsid w:val="007258D8"/>
    <w:rsid w:val="00746075"/>
    <w:rsid w:val="00785080"/>
    <w:rsid w:val="00797877"/>
    <w:rsid w:val="007A51E1"/>
    <w:rsid w:val="007B565E"/>
    <w:rsid w:val="007E0334"/>
    <w:rsid w:val="007E69F6"/>
    <w:rsid w:val="007E6AD2"/>
    <w:rsid w:val="008171B8"/>
    <w:rsid w:val="008209E8"/>
    <w:rsid w:val="008418CD"/>
    <w:rsid w:val="00867F47"/>
    <w:rsid w:val="00872A69"/>
    <w:rsid w:val="008A3A0D"/>
    <w:rsid w:val="008F5982"/>
    <w:rsid w:val="00903A0D"/>
    <w:rsid w:val="00930A25"/>
    <w:rsid w:val="00945583"/>
    <w:rsid w:val="009467FC"/>
    <w:rsid w:val="0097070A"/>
    <w:rsid w:val="00976FE2"/>
    <w:rsid w:val="00977D9B"/>
    <w:rsid w:val="0098289D"/>
    <w:rsid w:val="009A2A96"/>
    <w:rsid w:val="009D71C4"/>
    <w:rsid w:val="009E7E18"/>
    <w:rsid w:val="00A031A4"/>
    <w:rsid w:val="00A213A6"/>
    <w:rsid w:val="00A2161A"/>
    <w:rsid w:val="00A449DE"/>
    <w:rsid w:val="00A663D7"/>
    <w:rsid w:val="00A84AD0"/>
    <w:rsid w:val="00AA0D7B"/>
    <w:rsid w:val="00AD37E5"/>
    <w:rsid w:val="00AE4562"/>
    <w:rsid w:val="00B00E58"/>
    <w:rsid w:val="00B03613"/>
    <w:rsid w:val="00B06705"/>
    <w:rsid w:val="00B06976"/>
    <w:rsid w:val="00B121BC"/>
    <w:rsid w:val="00B1270A"/>
    <w:rsid w:val="00B16448"/>
    <w:rsid w:val="00B94F79"/>
    <w:rsid w:val="00BA6B82"/>
    <w:rsid w:val="00BB24D0"/>
    <w:rsid w:val="00BE5E75"/>
    <w:rsid w:val="00C175AC"/>
    <w:rsid w:val="00C51D70"/>
    <w:rsid w:val="00C678E5"/>
    <w:rsid w:val="00C73CFC"/>
    <w:rsid w:val="00C80464"/>
    <w:rsid w:val="00C815FB"/>
    <w:rsid w:val="00C85872"/>
    <w:rsid w:val="00C93D1E"/>
    <w:rsid w:val="00CA04CC"/>
    <w:rsid w:val="00CA61DC"/>
    <w:rsid w:val="00CC5360"/>
    <w:rsid w:val="00CD238D"/>
    <w:rsid w:val="00CF2A7E"/>
    <w:rsid w:val="00D01CD1"/>
    <w:rsid w:val="00D16594"/>
    <w:rsid w:val="00D35077"/>
    <w:rsid w:val="00D37983"/>
    <w:rsid w:val="00D46382"/>
    <w:rsid w:val="00D54292"/>
    <w:rsid w:val="00D63F99"/>
    <w:rsid w:val="00D72E95"/>
    <w:rsid w:val="00D92A1E"/>
    <w:rsid w:val="00DB0355"/>
    <w:rsid w:val="00DB46E8"/>
    <w:rsid w:val="00DD09E7"/>
    <w:rsid w:val="00DD0BB0"/>
    <w:rsid w:val="00DD517D"/>
    <w:rsid w:val="00E14FD8"/>
    <w:rsid w:val="00E415EA"/>
    <w:rsid w:val="00E431C2"/>
    <w:rsid w:val="00E63650"/>
    <w:rsid w:val="00E71576"/>
    <w:rsid w:val="00E95E1C"/>
    <w:rsid w:val="00EB28FF"/>
    <w:rsid w:val="00EE36B1"/>
    <w:rsid w:val="00EF6E19"/>
    <w:rsid w:val="00F00EDA"/>
    <w:rsid w:val="00F11405"/>
    <w:rsid w:val="00F15D4E"/>
    <w:rsid w:val="00F20363"/>
    <w:rsid w:val="00F26794"/>
    <w:rsid w:val="00F63185"/>
    <w:rsid w:val="00F8700D"/>
    <w:rsid w:val="00FA311B"/>
    <w:rsid w:val="00FB24BD"/>
    <w:rsid w:val="00FB5DF3"/>
    <w:rsid w:val="0321A0E0"/>
    <w:rsid w:val="071AAF6A"/>
    <w:rsid w:val="07646BB6"/>
    <w:rsid w:val="08E30E1F"/>
    <w:rsid w:val="09894A8D"/>
    <w:rsid w:val="0C1AAEE1"/>
    <w:rsid w:val="0CBB29D3"/>
    <w:rsid w:val="0F4D3F05"/>
    <w:rsid w:val="10EE2004"/>
    <w:rsid w:val="12638834"/>
    <w:rsid w:val="1381B8F3"/>
    <w:rsid w:val="14967BAF"/>
    <w:rsid w:val="15AE2FA1"/>
    <w:rsid w:val="1631FB8D"/>
    <w:rsid w:val="1714561A"/>
    <w:rsid w:val="176954A9"/>
    <w:rsid w:val="1893E4C8"/>
    <w:rsid w:val="18E5D063"/>
    <w:rsid w:val="1950C475"/>
    <w:rsid w:val="1C29402F"/>
    <w:rsid w:val="20169D61"/>
    <w:rsid w:val="2048D4DA"/>
    <w:rsid w:val="2323DCC7"/>
    <w:rsid w:val="237AAEC5"/>
    <w:rsid w:val="242D3B47"/>
    <w:rsid w:val="284E1FE8"/>
    <w:rsid w:val="2B013F6A"/>
    <w:rsid w:val="2C1F24CF"/>
    <w:rsid w:val="2CE84820"/>
    <w:rsid w:val="2D5F3C73"/>
    <w:rsid w:val="2DBAF530"/>
    <w:rsid w:val="2E841881"/>
    <w:rsid w:val="2F1DDD9D"/>
    <w:rsid w:val="2FDE1749"/>
    <w:rsid w:val="31575891"/>
    <w:rsid w:val="3279F9B6"/>
    <w:rsid w:val="32ECCABC"/>
    <w:rsid w:val="3315B80B"/>
    <w:rsid w:val="348EF953"/>
    <w:rsid w:val="34DDCB98"/>
    <w:rsid w:val="360F6769"/>
    <w:rsid w:val="37E8D8AB"/>
    <w:rsid w:val="3867209A"/>
    <w:rsid w:val="387F93DE"/>
    <w:rsid w:val="3939CDAA"/>
    <w:rsid w:val="3984A90C"/>
    <w:rsid w:val="3A02F0FB"/>
    <w:rsid w:val="3B9EC15C"/>
    <w:rsid w:val="3ED6621E"/>
    <w:rsid w:val="400E9BFD"/>
    <w:rsid w:val="41AA6C5E"/>
    <w:rsid w:val="420E02E0"/>
    <w:rsid w:val="45A1B12C"/>
    <w:rsid w:val="45A246CC"/>
    <w:rsid w:val="46A258D8"/>
    <w:rsid w:val="478387E2"/>
    <w:rsid w:val="486EF37C"/>
    <w:rsid w:val="49AE2B08"/>
    <w:rsid w:val="49D9F99A"/>
    <w:rsid w:val="4A75B7EF"/>
    <w:rsid w:val="4AF3AF5B"/>
    <w:rsid w:val="4CD9B91F"/>
    <w:rsid w:val="4F2B5077"/>
    <w:rsid w:val="5060DD04"/>
    <w:rsid w:val="50E3803D"/>
    <w:rsid w:val="511882BA"/>
    <w:rsid w:val="527F509E"/>
    <w:rsid w:val="585C3A89"/>
    <w:rsid w:val="59D38F93"/>
    <w:rsid w:val="5A713A26"/>
    <w:rsid w:val="5AC92D12"/>
    <w:rsid w:val="5CA5A386"/>
    <w:rsid w:val="5D3206B9"/>
    <w:rsid w:val="60E07BAA"/>
    <w:rsid w:val="63F895D9"/>
    <w:rsid w:val="658B5001"/>
    <w:rsid w:val="65AD8E97"/>
    <w:rsid w:val="665D898B"/>
    <w:rsid w:val="6730369B"/>
    <w:rsid w:val="68C2F0C3"/>
    <w:rsid w:val="68E52F59"/>
    <w:rsid w:val="6D9F781F"/>
    <w:rsid w:val="6F3B4880"/>
    <w:rsid w:val="7087B8CB"/>
    <w:rsid w:val="7269D309"/>
    <w:rsid w:val="72F3DB2F"/>
    <w:rsid w:val="73F75282"/>
    <w:rsid w:val="746B3039"/>
    <w:rsid w:val="74BAAEFC"/>
    <w:rsid w:val="762B7BF1"/>
    <w:rsid w:val="76D25A6F"/>
    <w:rsid w:val="786E2AD0"/>
    <w:rsid w:val="798E201F"/>
    <w:rsid w:val="7A09FB31"/>
    <w:rsid w:val="7D1CBDCD"/>
    <w:rsid w:val="7DBD896F"/>
    <w:rsid w:val="7E5FA290"/>
    <w:rsid w:val="7E94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5C20"/>
  <w15:chartTrackingRefBased/>
  <w15:docId w15:val="{BF7C068F-4858-4463-809B-E0503531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884"/>
  </w:style>
  <w:style w:type="paragraph" w:styleId="Footer">
    <w:name w:val="footer"/>
    <w:basedOn w:val="Normal"/>
    <w:link w:val="FooterChar"/>
    <w:uiPriority w:val="99"/>
    <w:unhideWhenUsed/>
    <w:rsid w:val="00633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884"/>
  </w:style>
  <w:style w:type="paragraph" w:styleId="NormalWeb">
    <w:name w:val="Normal (Web)"/>
    <w:basedOn w:val="Normal"/>
    <w:uiPriority w:val="99"/>
    <w:unhideWhenUsed/>
    <w:rsid w:val="00AD37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E0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0D0F"/>
  </w:style>
  <w:style w:type="character" w:customStyle="1" w:styleId="eop">
    <w:name w:val="eop"/>
    <w:basedOn w:val="DefaultParagraphFont"/>
    <w:rsid w:val="005E0D0F"/>
  </w:style>
  <w:style w:type="table" w:styleId="TableGrid">
    <w:name w:val="Table Grid"/>
    <w:basedOn w:val="TableNormal"/>
    <w:uiPriority w:val="39"/>
    <w:rsid w:val="0069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872"/>
    <w:rPr>
      <w:sz w:val="16"/>
      <w:szCs w:val="16"/>
    </w:rPr>
  </w:style>
  <w:style w:type="paragraph" w:styleId="CommentText">
    <w:name w:val="annotation text"/>
    <w:basedOn w:val="Normal"/>
    <w:link w:val="CommentTextChar"/>
    <w:uiPriority w:val="99"/>
    <w:semiHidden/>
    <w:unhideWhenUsed/>
    <w:rsid w:val="00C85872"/>
    <w:pPr>
      <w:spacing w:line="240" w:lineRule="auto"/>
    </w:pPr>
    <w:rPr>
      <w:sz w:val="20"/>
      <w:szCs w:val="20"/>
    </w:rPr>
  </w:style>
  <w:style w:type="character" w:customStyle="1" w:styleId="CommentTextChar">
    <w:name w:val="Comment Text Char"/>
    <w:basedOn w:val="DefaultParagraphFont"/>
    <w:link w:val="CommentText"/>
    <w:uiPriority w:val="99"/>
    <w:semiHidden/>
    <w:rsid w:val="00C85872"/>
    <w:rPr>
      <w:sz w:val="20"/>
      <w:szCs w:val="20"/>
    </w:rPr>
  </w:style>
  <w:style w:type="paragraph" w:styleId="CommentSubject">
    <w:name w:val="annotation subject"/>
    <w:basedOn w:val="CommentText"/>
    <w:next w:val="CommentText"/>
    <w:link w:val="CommentSubjectChar"/>
    <w:uiPriority w:val="99"/>
    <w:semiHidden/>
    <w:unhideWhenUsed/>
    <w:rsid w:val="00C85872"/>
    <w:rPr>
      <w:b/>
      <w:bCs/>
    </w:rPr>
  </w:style>
  <w:style w:type="character" w:customStyle="1" w:styleId="CommentSubjectChar">
    <w:name w:val="Comment Subject Char"/>
    <w:basedOn w:val="CommentTextChar"/>
    <w:link w:val="CommentSubject"/>
    <w:uiPriority w:val="99"/>
    <w:semiHidden/>
    <w:rsid w:val="00C85872"/>
    <w:rPr>
      <w:b/>
      <w:bCs/>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17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5AC"/>
    <w:rPr>
      <w:rFonts w:ascii="Segoe UI" w:hAnsi="Segoe UI" w:cs="Segoe UI"/>
      <w:sz w:val="18"/>
      <w:szCs w:val="18"/>
    </w:rPr>
  </w:style>
  <w:style w:type="character" w:styleId="UnresolvedMention">
    <w:name w:val="Unresolved Mention"/>
    <w:basedOn w:val="DefaultParagraphFont"/>
    <w:uiPriority w:val="99"/>
    <w:semiHidden/>
    <w:unhideWhenUsed/>
    <w:rsid w:val="001A31A5"/>
    <w:rPr>
      <w:color w:val="808080"/>
      <w:shd w:val="clear" w:color="auto" w:fill="E6E6E6"/>
    </w:rPr>
  </w:style>
  <w:style w:type="paragraph" w:styleId="Revision">
    <w:name w:val="Revision"/>
    <w:hidden/>
    <w:uiPriority w:val="99"/>
    <w:semiHidden/>
    <w:rsid w:val="007B5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7258">
      <w:bodyDiv w:val="1"/>
      <w:marLeft w:val="0"/>
      <w:marRight w:val="0"/>
      <w:marTop w:val="0"/>
      <w:marBottom w:val="0"/>
      <w:divBdr>
        <w:top w:val="none" w:sz="0" w:space="0" w:color="auto"/>
        <w:left w:val="none" w:sz="0" w:space="0" w:color="auto"/>
        <w:bottom w:val="none" w:sz="0" w:space="0" w:color="auto"/>
        <w:right w:val="none" w:sz="0" w:space="0" w:color="auto"/>
      </w:divBdr>
    </w:div>
    <w:div w:id="855004416">
      <w:bodyDiv w:val="1"/>
      <w:marLeft w:val="0"/>
      <w:marRight w:val="0"/>
      <w:marTop w:val="0"/>
      <w:marBottom w:val="0"/>
      <w:divBdr>
        <w:top w:val="none" w:sz="0" w:space="0" w:color="auto"/>
        <w:left w:val="none" w:sz="0" w:space="0" w:color="auto"/>
        <w:bottom w:val="none" w:sz="0" w:space="0" w:color="auto"/>
        <w:right w:val="none" w:sz="0" w:space="0" w:color="auto"/>
      </w:divBdr>
      <w:divsChild>
        <w:div w:id="1887793428">
          <w:marLeft w:val="-418"/>
          <w:marRight w:val="0"/>
          <w:marTop w:val="0"/>
          <w:marBottom w:val="0"/>
          <w:divBdr>
            <w:top w:val="none" w:sz="0" w:space="0" w:color="auto"/>
            <w:left w:val="none" w:sz="0" w:space="0" w:color="auto"/>
            <w:bottom w:val="none" w:sz="0" w:space="0" w:color="auto"/>
            <w:right w:val="none" w:sz="0" w:space="0" w:color="auto"/>
          </w:divBdr>
        </w:div>
      </w:divsChild>
    </w:div>
    <w:div w:id="1265191358">
      <w:bodyDiv w:val="1"/>
      <w:marLeft w:val="0"/>
      <w:marRight w:val="0"/>
      <w:marTop w:val="0"/>
      <w:marBottom w:val="0"/>
      <w:divBdr>
        <w:top w:val="none" w:sz="0" w:space="0" w:color="auto"/>
        <w:left w:val="none" w:sz="0" w:space="0" w:color="auto"/>
        <w:bottom w:val="none" w:sz="0" w:space="0" w:color="auto"/>
        <w:right w:val="none" w:sz="0" w:space="0" w:color="auto"/>
      </w:divBdr>
    </w:div>
    <w:div w:id="1266690789">
      <w:bodyDiv w:val="1"/>
      <w:marLeft w:val="0"/>
      <w:marRight w:val="0"/>
      <w:marTop w:val="0"/>
      <w:marBottom w:val="0"/>
      <w:divBdr>
        <w:top w:val="none" w:sz="0" w:space="0" w:color="auto"/>
        <w:left w:val="none" w:sz="0" w:space="0" w:color="auto"/>
        <w:bottom w:val="none" w:sz="0" w:space="0" w:color="auto"/>
        <w:right w:val="none" w:sz="0" w:space="0" w:color="auto"/>
      </w:divBdr>
    </w:div>
    <w:div w:id="1320697187">
      <w:bodyDiv w:val="1"/>
      <w:marLeft w:val="0"/>
      <w:marRight w:val="0"/>
      <w:marTop w:val="0"/>
      <w:marBottom w:val="0"/>
      <w:divBdr>
        <w:top w:val="none" w:sz="0" w:space="0" w:color="auto"/>
        <w:left w:val="none" w:sz="0" w:space="0" w:color="auto"/>
        <w:bottom w:val="none" w:sz="0" w:space="0" w:color="auto"/>
        <w:right w:val="none" w:sz="0" w:space="0" w:color="auto"/>
      </w:divBdr>
    </w:div>
    <w:div w:id="1510219201">
      <w:bodyDiv w:val="1"/>
      <w:marLeft w:val="0"/>
      <w:marRight w:val="0"/>
      <w:marTop w:val="0"/>
      <w:marBottom w:val="0"/>
      <w:divBdr>
        <w:top w:val="none" w:sz="0" w:space="0" w:color="auto"/>
        <w:left w:val="none" w:sz="0" w:space="0" w:color="auto"/>
        <w:bottom w:val="none" w:sz="0" w:space="0" w:color="auto"/>
        <w:right w:val="none" w:sz="0" w:space="0" w:color="auto"/>
      </w:divBdr>
      <w:divsChild>
        <w:div w:id="46146191">
          <w:marLeft w:val="-103"/>
          <w:marRight w:val="0"/>
          <w:marTop w:val="0"/>
          <w:marBottom w:val="0"/>
          <w:divBdr>
            <w:top w:val="none" w:sz="0" w:space="0" w:color="auto"/>
            <w:left w:val="none" w:sz="0" w:space="0" w:color="auto"/>
            <w:bottom w:val="none" w:sz="0" w:space="0" w:color="auto"/>
            <w:right w:val="none" w:sz="0" w:space="0" w:color="auto"/>
          </w:divBdr>
        </w:div>
      </w:divsChild>
    </w:div>
    <w:div w:id="1595282096">
      <w:bodyDiv w:val="1"/>
      <w:marLeft w:val="0"/>
      <w:marRight w:val="0"/>
      <w:marTop w:val="0"/>
      <w:marBottom w:val="0"/>
      <w:divBdr>
        <w:top w:val="none" w:sz="0" w:space="0" w:color="auto"/>
        <w:left w:val="none" w:sz="0" w:space="0" w:color="auto"/>
        <w:bottom w:val="none" w:sz="0" w:space="0" w:color="auto"/>
        <w:right w:val="none" w:sz="0" w:space="0" w:color="auto"/>
      </w:divBdr>
      <w:divsChild>
        <w:div w:id="531771828">
          <w:marLeft w:val="-418"/>
          <w:marRight w:val="0"/>
          <w:marTop w:val="0"/>
          <w:marBottom w:val="0"/>
          <w:divBdr>
            <w:top w:val="none" w:sz="0" w:space="0" w:color="auto"/>
            <w:left w:val="none" w:sz="0" w:space="0" w:color="auto"/>
            <w:bottom w:val="none" w:sz="0" w:space="0" w:color="auto"/>
            <w:right w:val="none" w:sz="0" w:space="0" w:color="auto"/>
          </w:divBdr>
        </w:div>
      </w:divsChild>
    </w:div>
    <w:div w:id="1607232323">
      <w:bodyDiv w:val="1"/>
      <w:marLeft w:val="0"/>
      <w:marRight w:val="0"/>
      <w:marTop w:val="0"/>
      <w:marBottom w:val="0"/>
      <w:divBdr>
        <w:top w:val="none" w:sz="0" w:space="0" w:color="auto"/>
        <w:left w:val="none" w:sz="0" w:space="0" w:color="auto"/>
        <w:bottom w:val="none" w:sz="0" w:space="0" w:color="auto"/>
        <w:right w:val="none" w:sz="0" w:space="0" w:color="auto"/>
      </w:divBdr>
    </w:div>
    <w:div w:id="2043048737">
      <w:bodyDiv w:val="1"/>
      <w:marLeft w:val="0"/>
      <w:marRight w:val="0"/>
      <w:marTop w:val="0"/>
      <w:marBottom w:val="0"/>
      <w:divBdr>
        <w:top w:val="none" w:sz="0" w:space="0" w:color="auto"/>
        <w:left w:val="none" w:sz="0" w:space="0" w:color="auto"/>
        <w:bottom w:val="none" w:sz="0" w:space="0" w:color="auto"/>
        <w:right w:val="none" w:sz="0" w:space="0" w:color="auto"/>
      </w:divBdr>
      <w:divsChild>
        <w:div w:id="1493376132">
          <w:marLeft w:val="0"/>
          <w:marRight w:val="0"/>
          <w:marTop w:val="0"/>
          <w:marBottom w:val="0"/>
          <w:divBdr>
            <w:top w:val="none" w:sz="0" w:space="0" w:color="auto"/>
            <w:left w:val="none" w:sz="0" w:space="0" w:color="auto"/>
            <w:bottom w:val="none" w:sz="0" w:space="0" w:color="auto"/>
            <w:right w:val="none" w:sz="0" w:space="0" w:color="auto"/>
          </w:divBdr>
          <w:divsChild>
            <w:div w:id="668824690">
              <w:marLeft w:val="0"/>
              <w:marRight w:val="0"/>
              <w:marTop w:val="0"/>
              <w:marBottom w:val="0"/>
              <w:divBdr>
                <w:top w:val="none" w:sz="0" w:space="0" w:color="auto"/>
                <w:left w:val="none" w:sz="0" w:space="0" w:color="auto"/>
                <w:bottom w:val="none" w:sz="0" w:space="0" w:color="auto"/>
                <w:right w:val="none" w:sz="0" w:space="0" w:color="auto"/>
              </w:divBdr>
            </w:div>
            <w:div w:id="1656254918">
              <w:marLeft w:val="0"/>
              <w:marRight w:val="0"/>
              <w:marTop w:val="0"/>
              <w:marBottom w:val="0"/>
              <w:divBdr>
                <w:top w:val="none" w:sz="0" w:space="0" w:color="auto"/>
                <w:left w:val="none" w:sz="0" w:space="0" w:color="auto"/>
                <w:bottom w:val="none" w:sz="0" w:space="0" w:color="auto"/>
                <w:right w:val="none" w:sz="0" w:space="0" w:color="auto"/>
              </w:divBdr>
            </w:div>
            <w:div w:id="901866942">
              <w:marLeft w:val="0"/>
              <w:marRight w:val="0"/>
              <w:marTop w:val="0"/>
              <w:marBottom w:val="0"/>
              <w:divBdr>
                <w:top w:val="none" w:sz="0" w:space="0" w:color="auto"/>
                <w:left w:val="none" w:sz="0" w:space="0" w:color="auto"/>
                <w:bottom w:val="none" w:sz="0" w:space="0" w:color="auto"/>
                <w:right w:val="none" w:sz="0" w:space="0" w:color="auto"/>
              </w:divBdr>
            </w:div>
            <w:div w:id="1202128151">
              <w:marLeft w:val="0"/>
              <w:marRight w:val="0"/>
              <w:marTop w:val="0"/>
              <w:marBottom w:val="0"/>
              <w:divBdr>
                <w:top w:val="none" w:sz="0" w:space="0" w:color="auto"/>
                <w:left w:val="none" w:sz="0" w:space="0" w:color="auto"/>
                <w:bottom w:val="none" w:sz="0" w:space="0" w:color="auto"/>
                <w:right w:val="none" w:sz="0" w:space="0" w:color="auto"/>
              </w:divBdr>
            </w:div>
          </w:divsChild>
        </w:div>
        <w:div w:id="175191708">
          <w:marLeft w:val="0"/>
          <w:marRight w:val="0"/>
          <w:marTop w:val="0"/>
          <w:marBottom w:val="0"/>
          <w:divBdr>
            <w:top w:val="none" w:sz="0" w:space="0" w:color="auto"/>
            <w:left w:val="none" w:sz="0" w:space="0" w:color="auto"/>
            <w:bottom w:val="none" w:sz="0" w:space="0" w:color="auto"/>
            <w:right w:val="none" w:sz="0" w:space="0" w:color="auto"/>
          </w:divBdr>
        </w:div>
        <w:div w:id="497581199">
          <w:marLeft w:val="0"/>
          <w:marRight w:val="0"/>
          <w:marTop w:val="0"/>
          <w:marBottom w:val="0"/>
          <w:divBdr>
            <w:top w:val="none" w:sz="0" w:space="0" w:color="auto"/>
            <w:left w:val="none" w:sz="0" w:space="0" w:color="auto"/>
            <w:bottom w:val="none" w:sz="0" w:space="0" w:color="auto"/>
            <w:right w:val="none" w:sz="0" w:space="0" w:color="auto"/>
          </w:divBdr>
        </w:div>
        <w:div w:id="564342562">
          <w:marLeft w:val="0"/>
          <w:marRight w:val="0"/>
          <w:marTop w:val="0"/>
          <w:marBottom w:val="0"/>
          <w:divBdr>
            <w:top w:val="none" w:sz="0" w:space="0" w:color="auto"/>
            <w:left w:val="none" w:sz="0" w:space="0" w:color="auto"/>
            <w:bottom w:val="none" w:sz="0" w:space="0" w:color="auto"/>
            <w:right w:val="none" w:sz="0" w:space="0" w:color="auto"/>
          </w:divBdr>
        </w:div>
        <w:div w:id="946040923">
          <w:marLeft w:val="0"/>
          <w:marRight w:val="0"/>
          <w:marTop w:val="0"/>
          <w:marBottom w:val="0"/>
          <w:divBdr>
            <w:top w:val="none" w:sz="0" w:space="0" w:color="auto"/>
            <w:left w:val="none" w:sz="0" w:space="0" w:color="auto"/>
            <w:bottom w:val="none" w:sz="0" w:space="0" w:color="auto"/>
            <w:right w:val="none" w:sz="0" w:space="0" w:color="auto"/>
          </w:divBdr>
        </w:div>
        <w:div w:id="206551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sh-hub.org/wp-content/uploads/sites/3/2021/06/CVAPreparedness-Guidance_-Chapter-1_CVAP-Areas_v2-Jun21.pdf" TargetMode="External"/><Relationship Id="rId18" Type="http://schemas.openxmlformats.org/officeDocument/2006/relationships/hyperlink" Target="https://reliefweb.int/sites/reliefweb.int/files/resources/common-donor-approach-feb-19.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forms.office.com/Pages/ResponsePage.aspx?id=ujzc_l7KiEOoN7Rcfw1xtw3xVChyL_FCgo2OF51MPA9UOVhOWEtMQTAwRVNFWFkzQ0U2SzFJTkZLNCQlQCN0PWcu" TargetMode="External"/><Relationship Id="rId17" Type="http://schemas.openxmlformats.org/officeDocument/2006/relationships/hyperlink" Target="http://www.cash-hub.org" TargetMode="External"/><Relationship Id="rId2" Type="http://schemas.openxmlformats.org/officeDocument/2006/relationships/customXml" Target="../customXml/item2.xml"/><Relationship Id="rId16" Type="http://schemas.openxmlformats.org/officeDocument/2006/relationships/hyperlink" Target="https://cash-hub.org/resources/webinar-series/" TargetMode="External"/><Relationship Id="rId20" Type="http://schemas.openxmlformats.org/officeDocument/2006/relationships/hyperlink" Target="https://cash-hub.org/resource/localisation-and-cash-and-voucher-assistance-cva-cash-hub-panel-discussion-recor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sh-hub.org/resources/cash-maps/" TargetMode="External"/><Relationship Id="rId5" Type="http://schemas.openxmlformats.org/officeDocument/2006/relationships/styles" Target="styles.xml"/><Relationship Id="rId15" Type="http://schemas.openxmlformats.org/officeDocument/2006/relationships/hyperlink" Target="https://cash-hub.org/events/global-cash-forum/" TargetMode="External"/><Relationship Id="rId23" Type="http://schemas.openxmlformats.org/officeDocument/2006/relationships/theme" Target="theme/theme1.xml"/><Relationship Id="rId10" Type="http://schemas.openxmlformats.org/officeDocument/2006/relationships/hyperlink" Target="https://www.ifrc.org/disaster-relief-emergency-fund-dref" TargetMode="External"/><Relationship Id="rId19" Type="http://schemas.openxmlformats.org/officeDocument/2006/relationships/hyperlink" Target="https://cash-hub.org/resource/strengthening-locally-led-humanitarian-action-through-cash-prepared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sh-hub.org/wp-content/uploads/sites/3/2021/06/CVAPreparedness-Guidance_-Chapter-2_ICRC_v2-June2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3EBE1C83F404FB0A8FE3038C9FA66" ma:contentTypeVersion="14" ma:contentTypeDescription="Create a new document." ma:contentTypeScope="" ma:versionID="d844a171a77c2a93866662da23e2887b">
  <xsd:schema xmlns:xsd="http://www.w3.org/2001/XMLSchema" xmlns:xs="http://www.w3.org/2001/XMLSchema" xmlns:p="http://schemas.microsoft.com/office/2006/metadata/properties" xmlns:ns3="18606997-362f-4378-aed2-aa1566e4c667" xmlns:ns4="20af397f-b84c-40e0-8040-c5543900ca7e" targetNamespace="http://schemas.microsoft.com/office/2006/metadata/properties" ma:root="true" ma:fieldsID="0925a2231e880f95fb8f9a85b5399278" ns3:_="" ns4:_="">
    <xsd:import namespace="18606997-362f-4378-aed2-aa1566e4c667"/>
    <xsd:import namespace="20af397f-b84c-40e0-8040-c5543900ca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06997-362f-4378-aed2-aa1566e4c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af397f-b84c-40e0-8040-c5543900ca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0C577-D2EB-4D89-8524-EDB24605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06997-362f-4378-aed2-aa1566e4c667"/>
    <ds:schemaRef ds:uri="20af397f-b84c-40e0-8040-c554390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17DF0-A251-477C-A4AC-1E140DC2A3DF}">
  <ds:schemaRefs>
    <ds:schemaRef ds:uri="http://schemas.microsoft.com/sharepoint/v3/contenttype/forms"/>
  </ds:schemaRefs>
</ds:datastoreItem>
</file>

<file path=customXml/itemProps3.xml><?xml version="1.0" encoding="utf-8"?>
<ds:datastoreItem xmlns:ds="http://schemas.openxmlformats.org/officeDocument/2006/customXml" ds:itemID="{C465D106-4F4E-4B64-B74E-CC807EEFACAD}">
  <ds:schemaRefs>
    <ds:schemaRef ds:uri="http://purl.org/dc/terms/"/>
    <ds:schemaRef ds:uri="18606997-362f-4378-aed2-aa1566e4c667"/>
    <ds:schemaRef ds:uri="http://schemas.microsoft.com/office/2006/documentManagement/types"/>
    <ds:schemaRef ds:uri="http://purl.org/dc/dcmitype/"/>
    <ds:schemaRef ds:uri="http://schemas.microsoft.com/office/infopath/2007/PartnerControls"/>
    <ds:schemaRef ds:uri="20af397f-b84c-40e0-8040-c5543900ca7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Imperia</dc:creator>
  <cp:keywords/>
  <dc:description/>
  <cp:lastModifiedBy>Stefania Imperia</cp:lastModifiedBy>
  <cp:revision>2</cp:revision>
  <dcterms:created xsi:type="dcterms:W3CDTF">2022-02-25T12:25:00Z</dcterms:created>
  <dcterms:modified xsi:type="dcterms:W3CDTF">2022-02-25T12:25:00Z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0x0101004D23EBE1C83F404FB0A8FE3038C9FA66</vt:lpwstr>
  </property>
</Properties>
</file>