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968C" w14:textId="7BDB387F" w:rsidR="001C6BC7" w:rsidRDefault="00F57D0E" w:rsidP="0098529C">
      <w:pPr>
        <w:pStyle w:val="H1"/>
      </w:pPr>
      <w:bookmarkStart w:id="0" w:name="_Toc418509713"/>
      <w:r>
        <w:t>Terms of reference (</w:t>
      </w:r>
      <w:proofErr w:type="spellStart"/>
      <w:r>
        <w:t>ToR</w:t>
      </w:r>
      <w:proofErr w:type="spellEnd"/>
      <w:r>
        <w:t xml:space="preserve">) </w:t>
      </w:r>
      <w:r w:rsidR="7C64BF2D">
        <w:t>-</w:t>
      </w:r>
      <w:r>
        <w:t xml:space="preserve"> CVA</w:t>
      </w:r>
      <w:r w:rsidR="001C6BC7">
        <w:t xml:space="preserve"> </w:t>
      </w:r>
      <w:r w:rsidR="004B330F">
        <w:t>T</w:t>
      </w:r>
      <w:r w:rsidR="001C6BC7">
        <w:t xml:space="preserve">echnical </w:t>
      </w:r>
      <w:r w:rsidR="0DB4FCA7">
        <w:t>W</w:t>
      </w:r>
      <w:r w:rsidR="001C6BC7">
        <w:t xml:space="preserve">orking </w:t>
      </w:r>
      <w:r w:rsidR="0FA82A04">
        <w:t>G</w:t>
      </w:r>
      <w:r w:rsidR="001C6BC7">
        <w:t>roup</w:t>
      </w:r>
      <w:bookmarkEnd w:id="0"/>
      <w:r w:rsidR="00FF3CC9">
        <w:t xml:space="preserve"> (TWG)</w:t>
      </w:r>
    </w:p>
    <w:tbl>
      <w:tblPr>
        <w:tblW w:w="9639" w:type="dxa"/>
        <w:tblInd w:w="108" w:type="dxa"/>
        <w:tblBorders>
          <w:top w:val="nil"/>
          <w:left w:val="nil"/>
          <w:bottom w:val="nil"/>
          <w:right w:val="nil"/>
        </w:tblBorders>
        <w:tblLayout w:type="fixed"/>
        <w:tblLook w:val="0000" w:firstRow="0" w:lastRow="0" w:firstColumn="0" w:lastColumn="0" w:noHBand="0" w:noVBand="0"/>
      </w:tblPr>
      <w:tblGrid>
        <w:gridCol w:w="5387"/>
        <w:gridCol w:w="4252"/>
      </w:tblGrid>
      <w:tr w:rsidR="005E7565" w:rsidRPr="006A4BB9" w14:paraId="1BA6B931" w14:textId="77777777" w:rsidTr="00DD7109">
        <w:trPr>
          <w:trHeight w:val="265"/>
        </w:trPr>
        <w:tc>
          <w:tcPr>
            <w:tcW w:w="5387" w:type="dxa"/>
            <w:tcBorders>
              <w:top w:val="single" w:sz="4" w:space="0" w:color="auto"/>
              <w:left w:val="single" w:sz="4" w:space="0" w:color="auto"/>
              <w:bottom w:val="single" w:sz="4" w:space="0" w:color="auto"/>
              <w:right w:val="single" w:sz="4" w:space="0" w:color="auto"/>
            </w:tcBorders>
            <w:shd w:val="clear" w:color="auto" w:fill="DC281E"/>
          </w:tcPr>
          <w:p w14:paraId="200810D3" w14:textId="18C2BED1" w:rsidR="00DE61F7" w:rsidRPr="00DD7109" w:rsidRDefault="00DE61F7" w:rsidP="00DE61F7">
            <w:pPr>
              <w:pStyle w:val="Default"/>
              <w:spacing w:before="60" w:after="60"/>
              <w:rPr>
                <w:b/>
                <w:color w:val="FFFFFF" w:themeColor="background1"/>
                <w:sz w:val="20"/>
                <w:szCs w:val="20"/>
              </w:rPr>
            </w:pPr>
            <w:r w:rsidRPr="00DD7109">
              <w:rPr>
                <w:b/>
                <w:color w:val="FFFFFF" w:themeColor="background1"/>
                <w:sz w:val="20"/>
                <w:szCs w:val="20"/>
              </w:rPr>
              <w:t>Function: CVA Technical Working Group</w:t>
            </w:r>
          </w:p>
        </w:tc>
        <w:tc>
          <w:tcPr>
            <w:tcW w:w="4252" w:type="dxa"/>
            <w:tcBorders>
              <w:top w:val="single" w:sz="4" w:space="0" w:color="auto"/>
              <w:left w:val="single" w:sz="4" w:space="0" w:color="auto"/>
              <w:bottom w:val="single" w:sz="4" w:space="0" w:color="auto"/>
              <w:right w:val="single" w:sz="4" w:space="0" w:color="auto"/>
            </w:tcBorders>
            <w:shd w:val="clear" w:color="auto" w:fill="DC281E"/>
          </w:tcPr>
          <w:p w14:paraId="707A3741" w14:textId="6BA77787" w:rsidR="00DE61F7" w:rsidRPr="00DD7109" w:rsidRDefault="00DE61F7" w:rsidP="00DE61F7">
            <w:pPr>
              <w:pStyle w:val="Default"/>
              <w:spacing w:before="60" w:after="60"/>
              <w:rPr>
                <w:b/>
                <w:color w:val="FFFFFF" w:themeColor="background1"/>
                <w:sz w:val="20"/>
                <w:szCs w:val="20"/>
              </w:rPr>
            </w:pPr>
            <w:r w:rsidRPr="00DD7109">
              <w:rPr>
                <w:b/>
                <w:color w:val="FFFFFF" w:themeColor="background1"/>
                <w:sz w:val="20"/>
                <w:szCs w:val="20"/>
              </w:rPr>
              <w:t>Condition:</w:t>
            </w:r>
          </w:p>
        </w:tc>
      </w:tr>
      <w:tr w:rsidR="005E7565" w:rsidRPr="006A4BB9" w14:paraId="03917D2D" w14:textId="77777777" w:rsidTr="002037D4">
        <w:trPr>
          <w:trHeight w:val="183"/>
        </w:trPr>
        <w:tc>
          <w:tcPr>
            <w:tcW w:w="5387" w:type="dxa"/>
            <w:tcBorders>
              <w:top w:val="single" w:sz="4" w:space="0" w:color="auto"/>
              <w:left w:val="single" w:sz="4" w:space="0" w:color="auto"/>
              <w:bottom w:val="single" w:sz="4" w:space="0" w:color="auto"/>
              <w:right w:val="single" w:sz="4" w:space="0" w:color="auto"/>
            </w:tcBorders>
            <w:shd w:val="clear" w:color="auto" w:fill="F3F3F3"/>
          </w:tcPr>
          <w:p w14:paraId="661B5AF3" w14:textId="77777777" w:rsidR="00DE61F7" w:rsidRPr="006A4BB9" w:rsidRDefault="00DE61F7" w:rsidP="00DE61F7">
            <w:pPr>
              <w:pStyle w:val="Default"/>
              <w:spacing w:before="60" w:after="60"/>
              <w:rPr>
                <w:b/>
                <w:sz w:val="20"/>
                <w:szCs w:val="20"/>
              </w:rPr>
            </w:pPr>
            <w:r w:rsidRPr="006A4BB9">
              <w:rPr>
                <w:b/>
                <w:sz w:val="20"/>
                <w:szCs w:val="20"/>
              </w:rPr>
              <w:t>Department/Section:</w:t>
            </w:r>
          </w:p>
          <w:p w14:paraId="427D076D" w14:textId="222993E1" w:rsidR="00DE61F7" w:rsidRPr="00B27558" w:rsidRDefault="00DE61F7" w:rsidP="00F7672F">
            <w:pPr>
              <w:pStyle w:val="Default"/>
              <w:spacing w:before="60" w:after="60"/>
              <w:jc w:val="both"/>
              <w:rPr>
                <w:i/>
                <w:iCs/>
                <w:sz w:val="20"/>
                <w:szCs w:val="20"/>
                <w:lang w:val="uz-Cyrl-UZ"/>
              </w:rPr>
            </w:pPr>
            <w:r w:rsidRPr="00B27558">
              <w:rPr>
                <w:i/>
                <w:iCs/>
                <w:sz w:val="20"/>
                <w:szCs w:val="20"/>
                <w:lang w:eastAsia="en-GB"/>
              </w:rPr>
              <w:t xml:space="preserve">The TWG will contain representatives from all relevant </w:t>
            </w:r>
            <w:r w:rsidR="00B27558" w:rsidRPr="00B27558">
              <w:rPr>
                <w:i/>
                <w:iCs/>
                <w:sz w:val="20"/>
                <w:szCs w:val="20"/>
                <w:lang w:eastAsia="en-GB"/>
              </w:rPr>
              <w:t xml:space="preserve">NS </w:t>
            </w:r>
            <w:r w:rsidRPr="00B27558">
              <w:rPr>
                <w:i/>
                <w:iCs/>
                <w:sz w:val="20"/>
                <w:szCs w:val="20"/>
                <w:lang w:eastAsia="en-GB"/>
              </w:rPr>
              <w:t xml:space="preserve">departments </w:t>
            </w:r>
            <w:r w:rsidR="00862EDC" w:rsidRPr="00B27558">
              <w:rPr>
                <w:i/>
                <w:iCs/>
                <w:sz w:val="20"/>
                <w:szCs w:val="20"/>
                <w:lang w:eastAsia="en-GB"/>
              </w:rPr>
              <w:t>engaged in CVA, with Movement partners invited as appropriate</w:t>
            </w:r>
            <w:r w:rsidR="003600D0" w:rsidRPr="00B27558">
              <w:rPr>
                <w:i/>
                <w:iCs/>
                <w:sz w:val="20"/>
                <w:szCs w:val="20"/>
                <w:lang w:eastAsia="en-GB"/>
              </w:rPr>
              <w:t>.</w:t>
            </w:r>
            <w:r w:rsidR="00C9099E" w:rsidRPr="00B27558">
              <w:rPr>
                <w:i/>
                <w:iCs/>
                <w:sz w:val="20"/>
                <w:szCs w:val="20"/>
                <w:lang w:eastAsia="en-GB"/>
              </w:rPr>
              <w:t xml:space="preserve"> </w:t>
            </w:r>
            <w:r w:rsidR="000A5A0E" w:rsidRPr="00B27558">
              <w:rPr>
                <w:i/>
                <w:iCs/>
                <w:sz w:val="20"/>
                <w:szCs w:val="20"/>
                <w:lang w:val="uz-Cyrl-UZ" w:eastAsia="en-GB"/>
              </w:rPr>
              <w:t xml:space="preserve">The presence from regional/provincial </w:t>
            </w:r>
            <w:r w:rsidR="00884591" w:rsidRPr="00B27558">
              <w:rPr>
                <w:i/>
                <w:iCs/>
                <w:sz w:val="20"/>
                <w:szCs w:val="20"/>
                <w:lang w:val="uz-Cyrl-UZ" w:eastAsia="en-GB"/>
              </w:rPr>
              <w:t>or field is recommended as necessary</w:t>
            </w:r>
            <w:r w:rsidR="003600D0" w:rsidRPr="00B27558">
              <w:rPr>
                <w:i/>
                <w:iCs/>
                <w:sz w:val="20"/>
                <w:szCs w:val="20"/>
                <w:lang w:val="uz-Cyrl-UZ" w:eastAsia="en-GB"/>
              </w:rPr>
              <w:t>.</w:t>
            </w:r>
          </w:p>
        </w:tc>
        <w:tc>
          <w:tcPr>
            <w:tcW w:w="4252" w:type="dxa"/>
            <w:tcBorders>
              <w:top w:val="single" w:sz="4" w:space="0" w:color="auto"/>
              <w:left w:val="single" w:sz="4" w:space="0" w:color="auto"/>
              <w:bottom w:val="single" w:sz="4" w:space="0" w:color="auto"/>
              <w:right w:val="single" w:sz="4" w:space="0" w:color="auto"/>
            </w:tcBorders>
            <w:shd w:val="clear" w:color="auto" w:fill="F3F3F3"/>
          </w:tcPr>
          <w:p w14:paraId="5192B0B2" w14:textId="77777777" w:rsidR="00DE61F7" w:rsidRPr="006A4BB9" w:rsidRDefault="00DE61F7" w:rsidP="00DE61F7">
            <w:pPr>
              <w:pStyle w:val="Default"/>
              <w:spacing w:before="60" w:after="60"/>
              <w:rPr>
                <w:b/>
                <w:sz w:val="20"/>
                <w:szCs w:val="20"/>
              </w:rPr>
            </w:pPr>
            <w:r w:rsidRPr="006A4BB9">
              <w:rPr>
                <w:b/>
                <w:sz w:val="20"/>
                <w:szCs w:val="20"/>
              </w:rPr>
              <w:t>Reports to:</w:t>
            </w:r>
          </w:p>
        </w:tc>
      </w:tr>
      <w:tr w:rsidR="005E7565" w:rsidRPr="006A4BB9" w14:paraId="6A743650" w14:textId="77777777" w:rsidTr="002037D4">
        <w:trPr>
          <w:trHeight w:val="182"/>
        </w:trPr>
        <w:tc>
          <w:tcPr>
            <w:tcW w:w="5387" w:type="dxa"/>
            <w:tcBorders>
              <w:top w:val="single" w:sz="4" w:space="0" w:color="auto"/>
              <w:left w:val="single" w:sz="4" w:space="0" w:color="auto"/>
              <w:bottom w:val="single" w:sz="4" w:space="0" w:color="auto"/>
              <w:right w:val="single" w:sz="4" w:space="0" w:color="auto"/>
            </w:tcBorders>
            <w:shd w:val="clear" w:color="auto" w:fill="F3F3F3"/>
          </w:tcPr>
          <w:p w14:paraId="7F7BD906" w14:textId="1F05BEE4" w:rsidR="00DE61F7" w:rsidRPr="006A4BB9" w:rsidRDefault="00DE61F7" w:rsidP="00DE61F7">
            <w:pPr>
              <w:pStyle w:val="Default"/>
              <w:spacing w:before="60" w:after="60"/>
              <w:rPr>
                <w:b/>
                <w:sz w:val="20"/>
                <w:szCs w:val="20"/>
              </w:rPr>
            </w:pPr>
            <w:r w:rsidRPr="006A4BB9">
              <w:rPr>
                <w:b/>
                <w:sz w:val="20"/>
                <w:szCs w:val="20"/>
              </w:rPr>
              <w:t>Location:</w:t>
            </w:r>
            <w:r>
              <w:rPr>
                <w:b/>
                <w:sz w:val="20"/>
                <w:szCs w:val="20"/>
              </w:rPr>
              <w:t xml:space="preserve"> </w:t>
            </w:r>
            <w:r w:rsidRPr="006C7A42">
              <w:rPr>
                <w:sz w:val="20"/>
                <w:szCs w:val="20"/>
              </w:rPr>
              <w:t>NS HQ</w:t>
            </w:r>
          </w:p>
        </w:tc>
        <w:tc>
          <w:tcPr>
            <w:tcW w:w="4252" w:type="dxa"/>
            <w:tcBorders>
              <w:top w:val="single" w:sz="4" w:space="0" w:color="auto"/>
              <w:left w:val="single" w:sz="4" w:space="0" w:color="auto"/>
              <w:bottom w:val="single" w:sz="4" w:space="0" w:color="auto"/>
              <w:right w:val="single" w:sz="4" w:space="0" w:color="auto"/>
            </w:tcBorders>
            <w:shd w:val="clear" w:color="auto" w:fill="F3F3F3"/>
          </w:tcPr>
          <w:p w14:paraId="4D41A56D" w14:textId="77777777" w:rsidR="00DE61F7" w:rsidRPr="006A4BB9" w:rsidRDefault="00DE61F7" w:rsidP="00DE61F7">
            <w:pPr>
              <w:pStyle w:val="Default"/>
              <w:spacing w:before="60" w:after="60"/>
              <w:rPr>
                <w:sz w:val="20"/>
                <w:szCs w:val="20"/>
              </w:rPr>
            </w:pPr>
            <w:r w:rsidRPr="006A4BB9">
              <w:rPr>
                <w:b/>
                <w:sz w:val="20"/>
                <w:szCs w:val="20"/>
              </w:rPr>
              <w:t>Covers areas:</w:t>
            </w:r>
            <w:r w:rsidRPr="006A4BB9">
              <w:rPr>
                <w:sz w:val="20"/>
                <w:szCs w:val="20"/>
              </w:rPr>
              <w:t xml:space="preserve"> Nationwide</w:t>
            </w:r>
          </w:p>
        </w:tc>
      </w:tr>
      <w:tr w:rsidR="005E7565" w:rsidRPr="006A4BB9" w14:paraId="6324D8FE" w14:textId="77777777" w:rsidTr="002037D4">
        <w:trPr>
          <w:trHeight w:val="182"/>
        </w:trPr>
        <w:tc>
          <w:tcPr>
            <w:tcW w:w="5387" w:type="dxa"/>
            <w:tcBorders>
              <w:top w:val="single" w:sz="4" w:space="0" w:color="auto"/>
              <w:left w:val="single" w:sz="4" w:space="0" w:color="auto"/>
              <w:bottom w:val="single" w:sz="4" w:space="0" w:color="auto"/>
              <w:right w:val="single" w:sz="4" w:space="0" w:color="auto"/>
            </w:tcBorders>
            <w:shd w:val="clear" w:color="auto" w:fill="F3F3F3"/>
          </w:tcPr>
          <w:p w14:paraId="0754949A" w14:textId="6B673043" w:rsidR="00DE61F7" w:rsidRPr="003600D0" w:rsidRDefault="00DE61F7" w:rsidP="00DE61F7">
            <w:pPr>
              <w:pStyle w:val="Default"/>
              <w:spacing w:before="60" w:after="60"/>
              <w:jc w:val="both"/>
              <w:rPr>
                <w:sz w:val="20"/>
                <w:szCs w:val="20"/>
                <w:lang w:val="uz-Cyrl-UZ"/>
              </w:rPr>
            </w:pPr>
            <w:r w:rsidRPr="006A4BB9">
              <w:rPr>
                <w:b/>
                <w:bCs/>
                <w:sz w:val="20"/>
                <w:szCs w:val="20"/>
              </w:rPr>
              <w:t>Duration:</w:t>
            </w:r>
            <w:r>
              <w:rPr>
                <w:b/>
                <w:bCs/>
                <w:sz w:val="20"/>
                <w:szCs w:val="20"/>
              </w:rPr>
              <w:t xml:space="preserve"> </w:t>
            </w:r>
            <w:r w:rsidRPr="003652BF">
              <w:rPr>
                <w:bCs/>
                <w:i/>
                <w:iCs/>
                <w:sz w:val="20"/>
                <w:szCs w:val="20"/>
              </w:rPr>
              <w:t xml:space="preserve">Minimum 24 months, preferably </w:t>
            </w:r>
            <w:r w:rsidR="00884591" w:rsidRPr="003652BF">
              <w:rPr>
                <w:bCs/>
                <w:i/>
                <w:iCs/>
                <w:sz w:val="20"/>
                <w:szCs w:val="20"/>
                <w:lang w:val="uz-Cyrl-UZ"/>
              </w:rPr>
              <w:t>36 months</w:t>
            </w:r>
          </w:p>
        </w:tc>
        <w:tc>
          <w:tcPr>
            <w:tcW w:w="4252" w:type="dxa"/>
            <w:tcBorders>
              <w:top w:val="single" w:sz="4" w:space="0" w:color="auto"/>
              <w:left w:val="single" w:sz="4" w:space="0" w:color="auto"/>
              <w:bottom w:val="single" w:sz="4" w:space="0" w:color="auto"/>
              <w:right w:val="single" w:sz="4" w:space="0" w:color="auto"/>
            </w:tcBorders>
            <w:shd w:val="clear" w:color="auto" w:fill="F3F3F3"/>
          </w:tcPr>
          <w:p w14:paraId="52D57CE2" w14:textId="6CFE6597" w:rsidR="00DE61F7" w:rsidRPr="006A4BB9" w:rsidRDefault="00DE61F7" w:rsidP="00F7672F">
            <w:pPr>
              <w:pStyle w:val="Default"/>
              <w:spacing w:before="60" w:after="60"/>
              <w:rPr>
                <w:sz w:val="20"/>
                <w:szCs w:val="20"/>
              </w:rPr>
            </w:pPr>
            <w:r w:rsidRPr="006A4BB9">
              <w:rPr>
                <w:b/>
                <w:bCs/>
                <w:sz w:val="20"/>
                <w:szCs w:val="20"/>
              </w:rPr>
              <w:t xml:space="preserve">Start date: </w:t>
            </w:r>
            <w:r w:rsidR="00F7672F">
              <w:rPr>
                <w:bCs/>
                <w:sz w:val="20"/>
                <w:szCs w:val="20"/>
              </w:rPr>
              <w:t>To establish immediately</w:t>
            </w:r>
            <w:r w:rsidR="006C7A42" w:rsidRPr="006C7A42">
              <w:rPr>
                <w:bCs/>
                <w:sz w:val="20"/>
                <w:szCs w:val="20"/>
              </w:rPr>
              <w:t xml:space="preserve"> following </w:t>
            </w:r>
            <w:r w:rsidR="006C7A42">
              <w:rPr>
                <w:bCs/>
                <w:sz w:val="20"/>
                <w:szCs w:val="20"/>
              </w:rPr>
              <w:t xml:space="preserve">development of </w:t>
            </w:r>
            <w:r w:rsidR="006C7A42" w:rsidRPr="006C7A42">
              <w:rPr>
                <w:bCs/>
                <w:sz w:val="20"/>
                <w:szCs w:val="20"/>
              </w:rPr>
              <w:t xml:space="preserve">CVAP </w:t>
            </w:r>
            <w:proofErr w:type="spellStart"/>
            <w:r w:rsidR="006C7A42" w:rsidRPr="006C7A42">
              <w:rPr>
                <w:bCs/>
                <w:sz w:val="20"/>
                <w:szCs w:val="20"/>
              </w:rPr>
              <w:t>PoA</w:t>
            </w:r>
            <w:proofErr w:type="spellEnd"/>
            <w:r w:rsidR="00F7672F">
              <w:rPr>
                <w:bCs/>
                <w:sz w:val="20"/>
                <w:szCs w:val="20"/>
              </w:rPr>
              <w:t xml:space="preserve"> </w:t>
            </w:r>
          </w:p>
        </w:tc>
      </w:tr>
      <w:tr w:rsidR="00DE61F7" w:rsidRPr="006A4BB9" w14:paraId="69606048" w14:textId="77777777" w:rsidTr="00DE61F7">
        <w:trPr>
          <w:trHeight w:val="182"/>
        </w:trPr>
        <w:tc>
          <w:tcPr>
            <w:tcW w:w="9639" w:type="dxa"/>
            <w:gridSpan w:val="2"/>
            <w:tcBorders>
              <w:top w:val="single" w:sz="4" w:space="0" w:color="auto"/>
              <w:left w:val="single" w:sz="4" w:space="0" w:color="auto"/>
              <w:bottom w:val="single" w:sz="4" w:space="0" w:color="auto"/>
              <w:right w:val="single" w:sz="4" w:space="0" w:color="auto"/>
            </w:tcBorders>
            <w:shd w:val="clear" w:color="auto" w:fill="F3F3F3"/>
          </w:tcPr>
          <w:p w14:paraId="17A581E3" w14:textId="77777777" w:rsidR="00DE61F7" w:rsidRDefault="00DE61F7" w:rsidP="00DE61F7">
            <w:pPr>
              <w:pStyle w:val="Default"/>
              <w:spacing w:before="60" w:after="60"/>
              <w:rPr>
                <w:bCs/>
                <w:sz w:val="20"/>
                <w:szCs w:val="20"/>
              </w:rPr>
            </w:pPr>
            <w:r>
              <w:rPr>
                <w:b/>
                <w:bCs/>
                <w:sz w:val="20"/>
                <w:szCs w:val="20"/>
              </w:rPr>
              <w:t>Time requirements:</w:t>
            </w:r>
            <w:r>
              <w:rPr>
                <w:bCs/>
                <w:sz w:val="20"/>
                <w:szCs w:val="20"/>
              </w:rPr>
              <w:t xml:space="preserve"> </w:t>
            </w:r>
          </w:p>
          <w:p w14:paraId="43748D5F" w14:textId="3240D312" w:rsidR="00DE61F7" w:rsidRPr="00B27558" w:rsidRDefault="006C7A42" w:rsidP="006C7A42">
            <w:pPr>
              <w:pStyle w:val="Default"/>
              <w:spacing w:before="60" w:after="60"/>
              <w:rPr>
                <w:bCs/>
                <w:i/>
                <w:iCs/>
                <w:sz w:val="20"/>
                <w:szCs w:val="20"/>
              </w:rPr>
            </w:pPr>
            <w:r w:rsidRPr="00B27558">
              <w:rPr>
                <w:bCs/>
                <w:i/>
                <w:iCs/>
                <w:sz w:val="20"/>
                <w:szCs w:val="20"/>
              </w:rPr>
              <w:t xml:space="preserve">Fortnightly at the onset of an emergency; monthly </w:t>
            </w:r>
            <w:r w:rsidR="00862EDC" w:rsidRPr="00B27558">
              <w:rPr>
                <w:bCs/>
                <w:i/>
                <w:iCs/>
                <w:sz w:val="20"/>
                <w:szCs w:val="20"/>
              </w:rPr>
              <w:t xml:space="preserve">or </w:t>
            </w:r>
            <w:r w:rsidRPr="00B27558">
              <w:rPr>
                <w:bCs/>
                <w:i/>
                <w:iCs/>
                <w:sz w:val="20"/>
                <w:szCs w:val="20"/>
              </w:rPr>
              <w:t>as needed during other times</w:t>
            </w:r>
          </w:p>
        </w:tc>
      </w:tr>
      <w:tr w:rsidR="00DE61F7" w:rsidRPr="006A4BB9" w14:paraId="2B99E62F" w14:textId="77777777" w:rsidTr="00DE61F7">
        <w:trPr>
          <w:trHeight w:val="182"/>
        </w:trPr>
        <w:tc>
          <w:tcPr>
            <w:tcW w:w="9639" w:type="dxa"/>
            <w:gridSpan w:val="2"/>
            <w:tcBorders>
              <w:top w:val="single" w:sz="4" w:space="0" w:color="auto"/>
              <w:left w:val="single" w:sz="4" w:space="0" w:color="auto"/>
              <w:bottom w:val="single" w:sz="4" w:space="0" w:color="auto"/>
              <w:right w:val="single" w:sz="4" w:space="0" w:color="auto"/>
            </w:tcBorders>
            <w:shd w:val="clear" w:color="auto" w:fill="F3F3F3"/>
          </w:tcPr>
          <w:p w14:paraId="315AA424" w14:textId="77777777" w:rsidR="00DE61F7" w:rsidRPr="006A4BB9" w:rsidRDefault="00DE61F7" w:rsidP="00DE61F7">
            <w:pPr>
              <w:pStyle w:val="Default"/>
              <w:spacing w:before="60" w:after="60"/>
              <w:rPr>
                <w:sz w:val="20"/>
                <w:szCs w:val="20"/>
                <w:shd w:val="clear" w:color="auto" w:fill="FFFFFF" w:themeFill="background1"/>
                <w:lang w:eastAsia="en-GB"/>
              </w:rPr>
            </w:pPr>
            <w:r w:rsidRPr="006A4BB9">
              <w:rPr>
                <w:b/>
                <w:bCs/>
                <w:sz w:val="20"/>
                <w:szCs w:val="20"/>
              </w:rPr>
              <w:t>Funding source:</w:t>
            </w:r>
            <w:r w:rsidRPr="006A4BB9">
              <w:rPr>
                <w:sz w:val="20"/>
                <w:szCs w:val="20"/>
                <w:shd w:val="clear" w:color="auto" w:fill="FFFFFF" w:themeFill="background1"/>
                <w:lang w:eastAsia="en-GB"/>
              </w:rPr>
              <w:t xml:space="preserve"> </w:t>
            </w:r>
          </w:p>
          <w:p w14:paraId="7D57C7D3" w14:textId="63ABFCA9" w:rsidR="00DE61F7" w:rsidRPr="006A4BB9" w:rsidRDefault="00DE61F7" w:rsidP="00DE61F7">
            <w:pPr>
              <w:pStyle w:val="Default"/>
              <w:spacing w:before="60" w:after="60"/>
              <w:rPr>
                <w:b/>
                <w:bCs/>
                <w:sz w:val="20"/>
                <w:szCs w:val="20"/>
              </w:rPr>
            </w:pPr>
          </w:p>
        </w:tc>
      </w:tr>
    </w:tbl>
    <w:p w14:paraId="0291B7DE" w14:textId="77777777" w:rsidR="00C054D8" w:rsidRDefault="00C054D8" w:rsidP="00F57D0E">
      <w:pPr>
        <w:pStyle w:val="Heading3"/>
        <w:rPr>
          <w:sz w:val="24"/>
        </w:rPr>
      </w:pPr>
    </w:p>
    <w:p w14:paraId="4AB8164C" w14:textId="22DFE645" w:rsidR="00F57D0E" w:rsidRPr="00E55BF2" w:rsidRDefault="00F57D0E" w:rsidP="00F57D0E">
      <w:pPr>
        <w:pStyle w:val="Heading3"/>
        <w:rPr>
          <w:sz w:val="24"/>
        </w:rPr>
      </w:pPr>
      <w:r w:rsidRPr="00E55BF2">
        <w:rPr>
          <w:sz w:val="24"/>
        </w:rPr>
        <w:t>Background</w:t>
      </w:r>
    </w:p>
    <w:p w14:paraId="133C36F5" w14:textId="3133FB6A" w:rsidR="00F57D0E" w:rsidRDefault="00F57D0E" w:rsidP="00F57D0E">
      <w:pPr>
        <w:rPr>
          <w:i/>
        </w:rPr>
      </w:pPr>
      <w:r w:rsidRPr="006A4BB9">
        <w:rPr>
          <w:i/>
        </w:rPr>
        <w:t>Descrip</w:t>
      </w:r>
      <w:r w:rsidR="00862EDC">
        <w:rPr>
          <w:i/>
        </w:rPr>
        <w:t>tion of the humanitarian context and when the TWG was formed.</w:t>
      </w:r>
    </w:p>
    <w:p w14:paraId="73310D36" w14:textId="77777777" w:rsidR="00510A94" w:rsidRDefault="00510A94" w:rsidP="00F57D0E">
      <w:pPr>
        <w:rPr>
          <w:b/>
          <w:sz w:val="22"/>
          <w:szCs w:val="22"/>
        </w:rPr>
      </w:pPr>
    </w:p>
    <w:p w14:paraId="294F4FBB" w14:textId="14285DE9" w:rsidR="00F57D0E" w:rsidRPr="00E55BF2" w:rsidRDefault="00F7672F" w:rsidP="72716A9D">
      <w:pPr>
        <w:rPr>
          <w:b/>
          <w:bCs/>
          <w:sz w:val="24"/>
          <w:szCs w:val="24"/>
        </w:rPr>
      </w:pPr>
      <w:r w:rsidRPr="00E55BF2">
        <w:rPr>
          <w:b/>
          <w:bCs/>
          <w:sz w:val="24"/>
          <w:szCs w:val="24"/>
        </w:rPr>
        <w:t>Rationale of</w:t>
      </w:r>
      <w:r w:rsidR="00862EDC" w:rsidRPr="00E55BF2">
        <w:rPr>
          <w:b/>
          <w:bCs/>
          <w:sz w:val="24"/>
          <w:szCs w:val="24"/>
        </w:rPr>
        <w:t xml:space="preserve"> </w:t>
      </w:r>
      <w:r w:rsidR="00F57D0E" w:rsidRPr="00E55BF2">
        <w:rPr>
          <w:b/>
          <w:bCs/>
          <w:sz w:val="24"/>
          <w:szCs w:val="24"/>
        </w:rPr>
        <w:t>TWG</w:t>
      </w:r>
    </w:p>
    <w:p w14:paraId="2437460C" w14:textId="0EB73403" w:rsidR="001A5FCE" w:rsidRPr="00D109F3" w:rsidRDefault="001A5FCE" w:rsidP="53A40714">
      <w:pPr>
        <w:rPr>
          <w:i/>
          <w:iCs/>
          <w:lang w:val="en-GB"/>
        </w:rPr>
      </w:pPr>
      <w:r w:rsidRPr="53A40714">
        <w:rPr>
          <w:i/>
          <w:iCs/>
        </w:rPr>
        <w:t xml:space="preserve">The CVA TWG </w:t>
      </w:r>
      <w:r w:rsidR="00D109F3" w:rsidRPr="53A40714">
        <w:rPr>
          <w:i/>
          <w:iCs/>
        </w:rPr>
        <w:t>should be</w:t>
      </w:r>
      <w:r w:rsidR="003600D0" w:rsidRPr="53A40714">
        <w:rPr>
          <w:rStyle w:val="CommentReference"/>
          <w:i/>
          <w:iCs/>
        </w:rPr>
        <w:t xml:space="preserve"> </w:t>
      </w:r>
      <w:r w:rsidRPr="53A40714">
        <w:rPr>
          <w:i/>
          <w:iCs/>
        </w:rPr>
        <w:t>established early on</w:t>
      </w:r>
      <w:r w:rsidR="005574F8" w:rsidRPr="53A40714">
        <w:rPr>
          <w:i/>
          <w:iCs/>
        </w:rPr>
        <w:t xml:space="preserve"> </w:t>
      </w:r>
      <w:r w:rsidRPr="53A40714">
        <w:rPr>
          <w:i/>
          <w:iCs/>
        </w:rPr>
        <w:t>as a central point of discussion and engagement to define, coordinate, support, advocate for and</w:t>
      </w:r>
      <w:r w:rsidRPr="53A40714">
        <w:rPr>
          <w:i/>
          <w:iCs/>
          <w:lang w:val="en-GB"/>
        </w:rPr>
        <w:t xml:space="preserve"> </w:t>
      </w:r>
      <w:r w:rsidRPr="53A40714">
        <w:rPr>
          <w:i/>
          <w:iCs/>
        </w:rPr>
        <w:t xml:space="preserve">improve the </w:t>
      </w:r>
      <w:r w:rsidR="005574F8" w:rsidRPr="53A40714">
        <w:rPr>
          <w:i/>
          <w:iCs/>
        </w:rPr>
        <w:t xml:space="preserve">quality of </w:t>
      </w:r>
      <w:r w:rsidRPr="53A40714">
        <w:rPr>
          <w:i/>
          <w:iCs/>
        </w:rPr>
        <w:t>mainstreamed cash and voucher assistance (CVA).</w:t>
      </w:r>
      <w:r w:rsidR="005574F8" w:rsidRPr="53A40714">
        <w:rPr>
          <w:i/>
          <w:iCs/>
        </w:rPr>
        <w:t xml:space="preserve"> </w:t>
      </w:r>
    </w:p>
    <w:p w14:paraId="2ED4583E" w14:textId="2BE20CDF" w:rsidR="001A5FCE" w:rsidRPr="00D109F3" w:rsidRDefault="005574F8" w:rsidP="53A40714">
      <w:pPr>
        <w:rPr>
          <w:i/>
          <w:iCs/>
          <w:lang w:val="en-GB"/>
        </w:rPr>
      </w:pPr>
      <w:r w:rsidRPr="53A40714">
        <w:rPr>
          <w:i/>
          <w:iCs/>
        </w:rPr>
        <w:t>The TWG also works closely together with the NS CVA Focal Point t</w:t>
      </w:r>
      <w:r w:rsidR="00862EDC" w:rsidRPr="53A40714">
        <w:rPr>
          <w:i/>
          <w:iCs/>
        </w:rPr>
        <w:t xml:space="preserve">o </w:t>
      </w:r>
      <w:r w:rsidRPr="53A40714">
        <w:rPr>
          <w:i/>
          <w:iCs/>
        </w:rPr>
        <w:t xml:space="preserve">support the NS </w:t>
      </w:r>
      <w:r w:rsidR="00862EDC" w:rsidRPr="53A40714">
        <w:rPr>
          <w:i/>
          <w:iCs/>
        </w:rPr>
        <w:t>in CVA implementation and preparedness</w:t>
      </w:r>
      <w:r w:rsidRPr="53A40714">
        <w:rPr>
          <w:i/>
          <w:iCs/>
        </w:rPr>
        <w:t xml:space="preserve">. Both </w:t>
      </w:r>
      <w:r w:rsidR="00862EDC" w:rsidRPr="53A40714">
        <w:rPr>
          <w:i/>
          <w:iCs/>
        </w:rPr>
        <w:t xml:space="preserve">the TWG and the CVA Focal Point </w:t>
      </w:r>
      <w:r w:rsidRPr="53A40714">
        <w:rPr>
          <w:i/>
          <w:iCs/>
        </w:rPr>
        <w:t xml:space="preserve">are essential functions </w:t>
      </w:r>
      <w:r w:rsidR="00862EDC" w:rsidRPr="53A40714">
        <w:rPr>
          <w:i/>
          <w:iCs/>
        </w:rPr>
        <w:t>required to facilitate</w:t>
      </w:r>
      <w:r w:rsidRPr="53A40714">
        <w:rPr>
          <w:i/>
          <w:iCs/>
        </w:rPr>
        <w:t xml:space="preserve"> the NS </w:t>
      </w:r>
      <w:r w:rsidR="00862EDC" w:rsidRPr="53A40714">
        <w:rPr>
          <w:i/>
          <w:iCs/>
        </w:rPr>
        <w:t>to achieve its</w:t>
      </w:r>
      <w:r w:rsidRPr="53A40714">
        <w:rPr>
          <w:i/>
          <w:iCs/>
        </w:rPr>
        <w:t xml:space="preserve"> vision to deliver </w:t>
      </w:r>
      <w:r w:rsidR="00A11574" w:rsidRPr="53A40714">
        <w:rPr>
          <w:i/>
          <w:iCs/>
        </w:rPr>
        <w:t xml:space="preserve">timely and </w:t>
      </w:r>
      <w:r w:rsidRPr="53A40714">
        <w:rPr>
          <w:i/>
          <w:iCs/>
        </w:rPr>
        <w:t>a</w:t>
      </w:r>
      <w:r w:rsidR="00A11574" w:rsidRPr="53A40714">
        <w:rPr>
          <w:i/>
          <w:iCs/>
        </w:rPr>
        <w:t>ppropriate CVA to people in need.</w:t>
      </w:r>
    </w:p>
    <w:p w14:paraId="53A732CE" w14:textId="2F9F21C3" w:rsidR="001A5FCE" w:rsidRPr="00D109F3" w:rsidRDefault="005574F8" w:rsidP="001A5FCE">
      <w:pPr>
        <w:rPr>
          <w:i/>
        </w:rPr>
      </w:pPr>
      <w:r w:rsidRPr="00D109F3">
        <w:rPr>
          <w:i/>
        </w:rPr>
        <w:t>The TWG comprises a group of</w:t>
      </w:r>
      <w:r w:rsidR="00A11574" w:rsidRPr="00D109F3">
        <w:rPr>
          <w:i/>
        </w:rPr>
        <w:t xml:space="preserve"> primarily NS stakeholders </w:t>
      </w:r>
      <w:r w:rsidR="00862EDC" w:rsidRPr="00D109F3">
        <w:rPr>
          <w:i/>
        </w:rPr>
        <w:t>(and Movement partners</w:t>
      </w:r>
      <w:r w:rsidR="00F7672F" w:rsidRPr="00D109F3">
        <w:rPr>
          <w:i/>
        </w:rPr>
        <w:t>, as required</w:t>
      </w:r>
      <w:r w:rsidR="00862EDC" w:rsidRPr="00D109F3">
        <w:rPr>
          <w:i/>
        </w:rPr>
        <w:t>)</w:t>
      </w:r>
      <w:r w:rsidR="00C41879" w:rsidRPr="00D109F3">
        <w:rPr>
          <w:i/>
        </w:rPr>
        <w:t xml:space="preserve"> who</w:t>
      </w:r>
      <w:r w:rsidRPr="00D109F3">
        <w:rPr>
          <w:i/>
        </w:rPr>
        <w:t xml:space="preserve"> </w:t>
      </w:r>
      <w:r w:rsidR="06960FBD" w:rsidRPr="00D109F3">
        <w:rPr>
          <w:i/>
        </w:rPr>
        <w:t>will</w:t>
      </w:r>
      <w:r w:rsidR="00C41879" w:rsidRPr="00D109F3">
        <w:rPr>
          <w:i/>
        </w:rPr>
        <w:t xml:space="preserve"> </w:t>
      </w:r>
      <w:r w:rsidRPr="00D109F3">
        <w:rPr>
          <w:i/>
        </w:rPr>
        <w:t>meet regularly</w:t>
      </w:r>
      <w:r w:rsidR="001A5FCE" w:rsidRPr="00D109F3">
        <w:rPr>
          <w:i/>
        </w:rPr>
        <w:t xml:space="preserve"> as peers to collaborate on encouraging and equipping the </w:t>
      </w:r>
      <w:r w:rsidR="00C41879" w:rsidRPr="00D109F3">
        <w:rPr>
          <w:i/>
        </w:rPr>
        <w:t>NS</w:t>
      </w:r>
      <w:r w:rsidR="001A5FCE" w:rsidRPr="00D109F3">
        <w:rPr>
          <w:i/>
        </w:rPr>
        <w:t xml:space="preserve"> to embrace and increase its institutional capacities in </w:t>
      </w:r>
      <w:r w:rsidR="14516F7A" w:rsidRPr="00D109F3">
        <w:rPr>
          <w:i/>
        </w:rPr>
        <w:t>CVA</w:t>
      </w:r>
      <w:r w:rsidR="001A5FCE" w:rsidRPr="00D109F3">
        <w:rPr>
          <w:i/>
        </w:rPr>
        <w:t xml:space="preserve">. The </w:t>
      </w:r>
      <w:r w:rsidRPr="00D109F3">
        <w:rPr>
          <w:i/>
        </w:rPr>
        <w:t xml:space="preserve">TWG </w:t>
      </w:r>
      <w:r w:rsidR="00C41879" w:rsidRPr="00D109F3">
        <w:rPr>
          <w:i/>
        </w:rPr>
        <w:t xml:space="preserve">can also </w:t>
      </w:r>
      <w:r w:rsidR="008B55B6" w:rsidRPr="00D109F3">
        <w:rPr>
          <w:i/>
        </w:rPr>
        <w:t>create</w:t>
      </w:r>
      <w:r w:rsidR="001A5FCE" w:rsidRPr="00D109F3">
        <w:rPr>
          <w:i/>
        </w:rPr>
        <w:t xml:space="preserve"> sub-working groups</w:t>
      </w:r>
      <w:r w:rsidRPr="00D109F3">
        <w:rPr>
          <w:i/>
        </w:rPr>
        <w:t>,</w:t>
      </w:r>
      <w:r w:rsidR="001A5FCE" w:rsidRPr="00D109F3">
        <w:rPr>
          <w:i/>
        </w:rPr>
        <w:t xml:space="preserve"> </w:t>
      </w:r>
      <w:proofErr w:type="gramStart"/>
      <w:r w:rsidR="00C41879" w:rsidRPr="00D109F3">
        <w:rPr>
          <w:i/>
        </w:rPr>
        <w:t>formed</w:t>
      </w:r>
      <w:proofErr w:type="gramEnd"/>
      <w:r w:rsidR="008B55B6" w:rsidRPr="00D109F3">
        <w:rPr>
          <w:i/>
        </w:rPr>
        <w:t xml:space="preserve"> and</w:t>
      </w:r>
      <w:r w:rsidR="00C41879" w:rsidRPr="00D109F3">
        <w:rPr>
          <w:i/>
        </w:rPr>
        <w:t xml:space="preserve"> </w:t>
      </w:r>
      <w:r w:rsidR="001A5FCE" w:rsidRPr="00D109F3">
        <w:rPr>
          <w:i/>
        </w:rPr>
        <w:t>task</w:t>
      </w:r>
      <w:r w:rsidRPr="00D109F3">
        <w:rPr>
          <w:i/>
        </w:rPr>
        <w:t>ed based on</w:t>
      </w:r>
      <w:r w:rsidR="008B55B6" w:rsidRPr="00D109F3">
        <w:rPr>
          <w:i/>
        </w:rPr>
        <w:t xml:space="preserve"> specific objectives</w:t>
      </w:r>
      <w:r w:rsidR="00862EDC" w:rsidRPr="00D109F3">
        <w:rPr>
          <w:i/>
        </w:rPr>
        <w:t xml:space="preserve"> as required, which will sit under</w:t>
      </w:r>
      <w:r w:rsidR="00F7672F" w:rsidRPr="00D109F3">
        <w:rPr>
          <w:i/>
        </w:rPr>
        <w:t xml:space="preserve"> and report to</w:t>
      </w:r>
      <w:r w:rsidR="00862EDC" w:rsidRPr="00D109F3">
        <w:rPr>
          <w:i/>
        </w:rPr>
        <w:t xml:space="preserve"> the TWG.</w:t>
      </w:r>
    </w:p>
    <w:p w14:paraId="2AE43D5C" w14:textId="65BF9E9C" w:rsidR="00F57D0E" w:rsidRPr="00D109F3" w:rsidRDefault="28672565" w:rsidP="00F57D0E">
      <w:pPr>
        <w:rPr>
          <w:b/>
          <w:i/>
          <w:sz w:val="22"/>
          <w:szCs w:val="22"/>
        </w:rPr>
      </w:pPr>
      <w:r w:rsidRPr="00D109F3">
        <w:rPr>
          <w:i/>
          <w:lang w:eastAsia="en-GB"/>
        </w:rPr>
        <w:t>The TWG will</w:t>
      </w:r>
      <w:r w:rsidR="371A8367" w:rsidRPr="00D109F3">
        <w:rPr>
          <w:i/>
          <w:lang w:eastAsia="en-GB"/>
        </w:rPr>
        <w:t xml:space="preserve"> help to</w:t>
      </w:r>
      <w:r w:rsidR="004862DE" w:rsidRPr="00D109F3">
        <w:rPr>
          <w:i/>
          <w:lang w:eastAsia="en-GB"/>
        </w:rPr>
        <w:t xml:space="preserve"> identify the main challenges faced during the development and implementation stage of CVAP work within the NS and to propose corrective measures when relevant. It </w:t>
      </w:r>
      <w:r w:rsidR="0CDB3318" w:rsidRPr="00D109F3">
        <w:rPr>
          <w:i/>
          <w:lang w:eastAsia="en-GB"/>
        </w:rPr>
        <w:t xml:space="preserve">will </w:t>
      </w:r>
      <w:r w:rsidR="004862DE" w:rsidRPr="00D109F3">
        <w:rPr>
          <w:i/>
          <w:lang w:eastAsia="en-GB"/>
        </w:rPr>
        <w:t xml:space="preserve">propose solutions proactively to such problems: e.g., the revision of the CVAP </w:t>
      </w:r>
      <w:proofErr w:type="spellStart"/>
      <w:r w:rsidR="004862DE" w:rsidRPr="00D109F3">
        <w:rPr>
          <w:i/>
          <w:lang w:eastAsia="en-GB"/>
        </w:rPr>
        <w:t>PoA</w:t>
      </w:r>
      <w:proofErr w:type="spellEnd"/>
      <w:r w:rsidR="004862DE" w:rsidRPr="00D109F3">
        <w:rPr>
          <w:i/>
          <w:lang w:eastAsia="en-GB"/>
        </w:rPr>
        <w:t>.</w:t>
      </w:r>
    </w:p>
    <w:p w14:paraId="3BD4D072" w14:textId="77777777" w:rsidR="00510A94" w:rsidRDefault="00510A94" w:rsidP="00F57D0E">
      <w:pPr>
        <w:rPr>
          <w:b/>
          <w:sz w:val="22"/>
          <w:szCs w:val="22"/>
        </w:rPr>
      </w:pPr>
    </w:p>
    <w:p w14:paraId="1112C333" w14:textId="5CB042DE" w:rsidR="00F57D0E" w:rsidRPr="00E55BF2" w:rsidRDefault="008B55B6" w:rsidP="00F57D0E">
      <w:pPr>
        <w:rPr>
          <w:b/>
          <w:sz w:val="24"/>
          <w:szCs w:val="24"/>
        </w:rPr>
      </w:pPr>
      <w:r w:rsidRPr="00E55BF2">
        <w:rPr>
          <w:b/>
          <w:sz w:val="24"/>
          <w:szCs w:val="24"/>
        </w:rPr>
        <w:t xml:space="preserve">Objectives of </w:t>
      </w:r>
      <w:r w:rsidR="00862EDC" w:rsidRPr="00E55BF2">
        <w:rPr>
          <w:b/>
          <w:sz w:val="24"/>
          <w:szCs w:val="24"/>
        </w:rPr>
        <w:t xml:space="preserve">the </w:t>
      </w:r>
      <w:r w:rsidR="006C7A42" w:rsidRPr="00E55BF2">
        <w:rPr>
          <w:b/>
          <w:sz w:val="24"/>
          <w:szCs w:val="24"/>
        </w:rPr>
        <w:t>TWG</w:t>
      </w:r>
    </w:p>
    <w:p w14:paraId="29269193" w14:textId="77777777" w:rsidR="004063F7" w:rsidRDefault="00A11574" w:rsidP="004063F7">
      <w:r w:rsidRPr="00D109F3">
        <w:rPr>
          <w:iCs/>
          <w:u w:val="single"/>
        </w:rPr>
        <w:t>Overall objective</w:t>
      </w:r>
      <w:r w:rsidR="004063F7">
        <w:rPr>
          <w:iCs/>
          <w:u w:val="single"/>
        </w:rPr>
        <w:t>s</w:t>
      </w:r>
      <w:r w:rsidRPr="00D109F3">
        <w:rPr>
          <w:iCs/>
          <w:u w:val="single"/>
        </w:rPr>
        <w:t>:</w:t>
      </w:r>
      <w:r>
        <w:t xml:space="preserve"> </w:t>
      </w:r>
    </w:p>
    <w:p w14:paraId="2FFCD5B6" w14:textId="47AB7FDB" w:rsidR="004063F7" w:rsidRDefault="004063F7" w:rsidP="004063F7">
      <w:r>
        <w:t xml:space="preserve">The main objective of the CVA TWG is to coordinate and provide technical advice for the NS delivery cash and voucher assistance. </w:t>
      </w:r>
    </w:p>
    <w:p w14:paraId="427BDEF3" w14:textId="67BCDA77" w:rsidR="004063F7" w:rsidRDefault="004063F7" w:rsidP="004063F7">
      <w:r>
        <w:t xml:space="preserve">The TWG will also serve as the primary coordinating mechanism in capturing learning and sharing of experiences contributing to the improvement of CVA within the NS. The TWG is also the appropriate mechanism to initiate discussions and advocacy around CVA in the NS </w:t>
      </w:r>
    </w:p>
    <w:p w14:paraId="4BE3CA9D" w14:textId="77777777" w:rsidR="00510A94" w:rsidRDefault="004063F7" w:rsidP="00F57D0E">
      <w:r>
        <w:t xml:space="preserve"> </w:t>
      </w:r>
    </w:p>
    <w:p w14:paraId="6D71D74F" w14:textId="77777777" w:rsidR="00C054D8" w:rsidRDefault="00C054D8" w:rsidP="00F57D0E"/>
    <w:p w14:paraId="7E9B0AA1" w14:textId="2B47681C" w:rsidR="00C41879" w:rsidRPr="00862EDC" w:rsidRDefault="004063F7" w:rsidP="00F57D0E">
      <w:r>
        <w:lastRenderedPageBreak/>
        <w:t>Specifically, the CVA TWG will:</w:t>
      </w:r>
    </w:p>
    <w:p w14:paraId="60662432" w14:textId="67903242" w:rsidR="48C8E08B" w:rsidRDefault="48C8E08B" w:rsidP="00CC7675">
      <w:pPr>
        <w:pStyle w:val="ListParagraph"/>
        <w:numPr>
          <w:ilvl w:val="0"/>
          <w:numId w:val="22"/>
        </w:numPr>
      </w:pPr>
      <w:r>
        <w:t xml:space="preserve">Support the development, implementation and monitoring of the CVAP </w:t>
      </w:r>
      <w:proofErr w:type="spellStart"/>
      <w:r>
        <w:t>PoA</w:t>
      </w:r>
      <w:proofErr w:type="spellEnd"/>
      <w:r w:rsidR="003417FD">
        <w:t xml:space="preserve"> and represent the CVA Focal Point and technical areas / departments in this process</w:t>
      </w:r>
    </w:p>
    <w:p w14:paraId="642B734C" w14:textId="3C29F8CC" w:rsidR="003417FD" w:rsidRDefault="003417FD" w:rsidP="00CC7675">
      <w:pPr>
        <w:pStyle w:val="ListParagraph"/>
        <w:numPr>
          <w:ilvl w:val="0"/>
          <w:numId w:val="22"/>
        </w:numPr>
      </w:pPr>
      <w:r>
        <w:t xml:space="preserve">Support the mainstreaming of CVA into NS processes, </w:t>
      </w:r>
      <w:proofErr w:type="gramStart"/>
      <w:r>
        <w:t>guidance</w:t>
      </w:r>
      <w:proofErr w:type="gramEnd"/>
      <w:r>
        <w:t xml:space="preserve"> and trainings </w:t>
      </w:r>
    </w:p>
    <w:p w14:paraId="05B4B5AD" w14:textId="1BA2D385" w:rsidR="00A11574" w:rsidRPr="00E34C5C" w:rsidRDefault="003417FD" w:rsidP="00CC7675">
      <w:pPr>
        <w:pStyle w:val="ListParagraph"/>
        <w:numPr>
          <w:ilvl w:val="0"/>
          <w:numId w:val="22"/>
        </w:numPr>
        <w:rPr>
          <w:szCs w:val="20"/>
        </w:rPr>
      </w:pPr>
      <w:r>
        <w:rPr>
          <w:szCs w:val="20"/>
        </w:rPr>
        <w:t>To s</w:t>
      </w:r>
      <w:r w:rsidR="00A11574" w:rsidRPr="00862EDC">
        <w:rPr>
          <w:szCs w:val="20"/>
        </w:rPr>
        <w:t xml:space="preserve">erve as a peer group for technical discussions </w:t>
      </w:r>
      <w:r w:rsidR="004063F7">
        <w:rPr>
          <w:szCs w:val="20"/>
        </w:rPr>
        <w:t>sharing of plans and</w:t>
      </w:r>
      <w:r w:rsidR="00A11574" w:rsidRPr="00862EDC">
        <w:rPr>
          <w:szCs w:val="20"/>
        </w:rPr>
        <w:t xml:space="preserve"> learning </w:t>
      </w:r>
    </w:p>
    <w:p w14:paraId="1423E153" w14:textId="6801E6B0" w:rsidR="00C41879" w:rsidRPr="00862EDC" w:rsidRDefault="00C41879" w:rsidP="00CC7675">
      <w:pPr>
        <w:pStyle w:val="ListParagraph"/>
        <w:numPr>
          <w:ilvl w:val="0"/>
          <w:numId w:val="22"/>
        </w:numPr>
        <w:rPr>
          <w:szCs w:val="20"/>
        </w:rPr>
      </w:pPr>
      <w:r w:rsidRPr="00862EDC">
        <w:rPr>
          <w:szCs w:val="20"/>
        </w:rPr>
        <w:t xml:space="preserve">Where wider Movement partners are involved, promote a one Movement approach to CVA, in a </w:t>
      </w:r>
      <w:r w:rsidR="00A11574" w:rsidRPr="00862EDC">
        <w:rPr>
          <w:szCs w:val="20"/>
        </w:rPr>
        <w:t xml:space="preserve">harmonized and </w:t>
      </w:r>
      <w:r w:rsidRPr="00862EDC">
        <w:rPr>
          <w:szCs w:val="20"/>
        </w:rPr>
        <w:t>coordinated manner.</w:t>
      </w:r>
    </w:p>
    <w:p w14:paraId="5AD7B4B9" w14:textId="52EF5796" w:rsidR="00C41879" w:rsidRPr="00862EDC" w:rsidRDefault="00C41879" w:rsidP="00CC7675">
      <w:pPr>
        <w:pStyle w:val="ListParagraph"/>
        <w:numPr>
          <w:ilvl w:val="0"/>
          <w:numId w:val="22"/>
        </w:numPr>
        <w:rPr>
          <w:szCs w:val="20"/>
        </w:rPr>
      </w:pPr>
      <w:r w:rsidRPr="00862EDC">
        <w:rPr>
          <w:szCs w:val="20"/>
        </w:rPr>
        <w:t xml:space="preserve">Encourage strategic </w:t>
      </w:r>
      <w:r w:rsidR="00A11574" w:rsidRPr="00862EDC">
        <w:rPr>
          <w:szCs w:val="20"/>
        </w:rPr>
        <w:t>agreements and advocate with government and non-governmental organizations, relevant UN agencies and external stakeholders for a common approach to implementation.</w:t>
      </w:r>
    </w:p>
    <w:p w14:paraId="7A83F20A" w14:textId="77777777" w:rsidR="008C0FA7" w:rsidRDefault="008C0FA7" w:rsidP="00F57D0E">
      <w:pPr>
        <w:rPr>
          <w:b/>
          <w:sz w:val="22"/>
          <w:szCs w:val="22"/>
        </w:rPr>
      </w:pPr>
    </w:p>
    <w:p w14:paraId="0015D476" w14:textId="5EEF0F65" w:rsidR="007706E2" w:rsidRPr="000D5A4C" w:rsidRDefault="008B55B6" w:rsidP="00F57D0E">
      <w:pPr>
        <w:rPr>
          <w:b/>
          <w:sz w:val="24"/>
          <w:szCs w:val="24"/>
        </w:rPr>
      </w:pPr>
      <w:r w:rsidRPr="000D5A4C">
        <w:rPr>
          <w:b/>
          <w:sz w:val="24"/>
          <w:szCs w:val="24"/>
        </w:rPr>
        <w:t>Key</w:t>
      </w:r>
      <w:r w:rsidR="006C7A42" w:rsidRPr="000D5A4C">
        <w:rPr>
          <w:b/>
          <w:sz w:val="24"/>
          <w:szCs w:val="24"/>
        </w:rPr>
        <w:t xml:space="preserve"> </w:t>
      </w:r>
      <w:r w:rsidR="00F57D0E" w:rsidRPr="000D5A4C">
        <w:rPr>
          <w:b/>
          <w:sz w:val="24"/>
          <w:szCs w:val="24"/>
        </w:rPr>
        <w:t>responsibilities</w:t>
      </w:r>
      <w:r w:rsidRPr="000D5A4C">
        <w:rPr>
          <w:b/>
          <w:sz w:val="24"/>
          <w:szCs w:val="24"/>
        </w:rPr>
        <w:t xml:space="preserve"> </w:t>
      </w:r>
    </w:p>
    <w:p w14:paraId="4F886FF9" w14:textId="0D85A2F3" w:rsidR="007706E2" w:rsidRPr="00F57D0E" w:rsidRDefault="007706E2" w:rsidP="007706E2">
      <w:r>
        <w:t xml:space="preserve">The main responsibilities of the </w:t>
      </w:r>
      <w:r w:rsidR="00862EDC">
        <w:t xml:space="preserve">TWG </w:t>
      </w:r>
      <w:r>
        <w:t>are to:</w:t>
      </w:r>
    </w:p>
    <w:p w14:paraId="403C84F0" w14:textId="76A7A758" w:rsidR="007706E2" w:rsidRPr="00CC7675" w:rsidRDefault="007706E2" w:rsidP="00CC7675">
      <w:pPr>
        <w:pStyle w:val="ListParagraph"/>
        <w:numPr>
          <w:ilvl w:val="0"/>
          <w:numId w:val="22"/>
        </w:numPr>
      </w:pPr>
      <w:r w:rsidRPr="00CC7675">
        <w:t xml:space="preserve">Map out the </w:t>
      </w:r>
      <w:r w:rsidR="005E7565" w:rsidRPr="00CC7675">
        <w:t>NS</w:t>
      </w:r>
      <w:r w:rsidRPr="00CC7675">
        <w:t xml:space="preserve"> plans, systems, procedures, capacities, tools, communication, and response mechanisms that are involved in CVA preparedness and emergency response. Identify where there is a need to:</w:t>
      </w:r>
    </w:p>
    <w:p w14:paraId="6CC4D116" w14:textId="53C5FB03" w:rsidR="007706E2" w:rsidRPr="00CC7675" w:rsidRDefault="2E81E988" w:rsidP="00834A1C">
      <w:pPr>
        <w:pStyle w:val="ListParagraph"/>
        <w:numPr>
          <w:ilvl w:val="1"/>
          <w:numId w:val="23"/>
        </w:numPr>
      </w:pPr>
      <w:r w:rsidRPr="00CC7675">
        <w:t xml:space="preserve">Support the </w:t>
      </w:r>
      <w:r w:rsidR="6C4CFC3B" w:rsidRPr="00CC7675">
        <w:t>i</w:t>
      </w:r>
      <w:r w:rsidR="007706E2" w:rsidRPr="00CC7675">
        <w:t>ntegrat</w:t>
      </w:r>
      <w:r w:rsidR="1247AFEF" w:rsidRPr="00CC7675">
        <w:t>ion</w:t>
      </w:r>
      <w:r w:rsidR="007706E2" w:rsidRPr="00CC7675">
        <w:t xml:space="preserve"> and mainstream</w:t>
      </w:r>
      <w:r w:rsidR="145858ED" w:rsidRPr="00CC7675">
        <w:t>ing of</w:t>
      </w:r>
      <w:r w:rsidR="007706E2" w:rsidRPr="00CC7675">
        <w:t xml:space="preserve"> CVA considerations into existing NS systems, plans or tools</w:t>
      </w:r>
    </w:p>
    <w:p w14:paraId="55963A64" w14:textId="77777777" w:rsidR="007706E2" w:rsidRPr="00CC7675" w:rsidRDefault="007706E2" w:rsidP="00834A1C">
      <w:pPr>
        <w:pStyle w:val="ListParagraph"/>
        <w:numPr>
          <w:ilvl w:val="1"/>
          <w:numId w:val="23"/>
        </w:numPr>
      </w:pPr>
      <w:r w:rsidRPr="00CC7675">
        <w:t xml:space="preserve">Develop CVA-specific procedures, capacities, plans or tools (adapted from the </w:t>
      </w:r>
      <w:proofErr w:type="spellStart"/>
      <w:r w:rsidRPr="00CC7675">
        <w:t>CiE</w:t>
      </w:r>
      <w:proofErr w:type="spellEnd"/>
      <w:r w:rsidRPr="00CC7675">
        <w:t xml:space="preserve"> toolkit)</w:t>
      </w:r>
    </w:p>
    <w:p w14:paraId="425A9493" w14:textId="2DD19F2A" w:rsidR="003417FD" w:rsidRPr="00CC7675" w:rsidRDefault="007706E2" w:rsidP="00CC7675">
      <w:pPr>
        <w:pStyle w:val="ListParagraph"/>
        <w:numPr>
          <w:ilvl w:val="0"/>
          <w:numId w:val="22"/>
        </w:numPr>
      </w:pPr>
      <w:r w:rsidRPr="00CC7675">
        <w:t xml:space="preserve">Rank CVA preparedness priority objectives based on the recommendations from CVA workshops, </w:t>
      </w:r>
      <w:r w:rsidR="005E7565" w:rsidRPr="00CC7675">
        <w:t>NS</w:t>
      </w:r>
      <w:r w:rsidRPr="00CC7675">
        <w:t xml:space="preserve"> priorities, </w:t>
      </w:r>
      <w:proofErr w:type="gramStart"/>
      <w:r w:rsidRPr="00CC7675">
        <w:t>resources</w:t>
      </w:r>
      <w:proofErr w:type="gramEnd"/>
      <w:r w:rsidRPr="00CC7675">
        <w:t xml:space="preserve"> and commitments.</w:t>
      </w:r>
      <w:r w:rsidR="000804C9" w:rsidRPr="00CC7675">
        <w:t xml:space="preserve"> Alternatively</w:t>
      </w:r>
      <w:r w:rsidR="003417FD" w:rsidRPr="00CC7675">
        <w:t xml:space="preserve">, </w:t>
      </w:r>
      <w:r w:rsidR="000804C9" w:rsidRPr="00CC7675">
        <w:t xml:space="preserve">at a minimum, </w:t>
      </w:r>
      <w:r w:rsidR="003417FD" w:rsidRPr="00CC7675">
        <w:t>participate in CVA workshops, particularly the initial and iterative assessment</w:t>
      </w:r>
      <w:r w:rsidR="00617DC0" w:rsidRPr="00CC7675">
        <w:t>s.</w:t>
      </w:r>
    </w:p>
    <w:p w14:paraId="7BB8DD40" w14:textId="77777777" w:rsidR="007706E2" w:rsidRPr="00CC7675" w:rsidRDefault="007706E2" w:rsidP="00CC7675">
      <w:pPr>
        <w:pStyle w:val="ListParagraph"/>
        <w:numPr>
          <w:ilvl w:val="0"/>
          <w:numId w:val="22"/>
        </w:numPr>
      </w:pPr>
      <w:r w:rsidRPr="00CC7675">
        <w:t>Develop a CVA Preparedness Plan of Action (</w:t>
      </w:r>
      <w:proofErr w:type="spellStart"/>
      <w:r w:rsidRPr="00CC7675">
        <w:t>PoA</w:t>
      </w:r>
      <w:proofErr w:type="spellEnd"/>
      <w:r w:rsidRPr="00CC7675">
        <w:t>) that is aligned with the five areas of the CVAP guidance:</w:t>
      </w:r>
    </w:p>
    <w:p w14:paraId="7E0CD6DC" w14:textId="77777777" w:rsidR="007706E2" w:rsidRPr="004B3333" w:rsidRDefault="007706E2" w:rsidP="00834A1C">
      <w:pPr>
        <w:pStyle w:val="ListParagraph"/>
        <w:numPr>
          <w:ilvl w:val="1"/>
          <w:numId w:val="23"/>
        </w:numPr>
      </w:pPr>
      <w:r w:rsidRPr="004B3333">
        <w:t>Leadership commitment</w:t>
      </w:r>
    </w:p>
    <w:p w14:paraId="4D9BA471" w14:textId="77777777" w:rsidR="007706E2" w:rsidRPr="004B3333" w:rsidRDefault="007706E2" w:rsidP="00834A1C">
      <w:pPr>
        <w:pStyle w:val="ListParagraph"/>
        <w:numPr>
          <w:ilvl w:val="1"/>
          <w:numId w:val="23"/>
        </w:numPr>
      </w:pPr>
      <w:r w:rsidRPr="004B3333">
        <w:t xml:space="preserve">Processes, </w:t>
      </w:r>
      <w:proofErr w:type="gramStart"/>
      <w:r w:rsidRPr="004B3333">
        <w:t>systems</w:t>
      </w:r>
      <w:proofErr w:type="gramEnd"/>
      <w:r w:rsidRPr="004B3333">
        <w:t xml:space="preserve"> and tools</w:t>
      </w:r>
    </w:p>
    <w:p w14:paraId="670059E4" w14:textId="77777777" w:rsidR="007706E2" w:rsidRPr="004B3333" w:rsidRDefault="007706E2" w:rsidP="00834A1C">
      <w:pPr>
        <w:pStyle w:val="ListParagraph"/>
        <w:numPr>
          <w:ilvl w:val="1"/>
          <w:numId w:val="23"/>
        </w:numPr>
      </w:pPr>
      <w:r w:rsidRPr="004B3333">
        <w:t>Financial and human resources and capacities</w:t>
      </w:r>
    </w:p>
    <w:p w14:paraId="13856DAD" w14:textId="77777777" w:rsidR="007706E2" w:rsidRPr="004B3333" w:rsidRDefault="007706E2" w:rsidP="00834A1C">
      <w:pPr>
        <w:pStyle w:val="ListParagraph"/>
        <w:numPr>
          <w:ilvl w:val="1"/>
          <w:numId w:val="23"/>
        </w:numPr>
      </w:pPr>
      <w:r w:rsidRPr="004B3333">
        <w:t>Community engagement and accountability (CEA), coordination and partnership</w:t>
      </w:r>
    </w:p>
    <w:p w14:paraId="00CD4444" w14:textId="77777777" w:rsidR="007706E2" w:rsidRPr="004B3333" w:rsidRDefault="007706E2" w:rsidP="00834A1C">
      <w:pPr>
        <w:pStyle w:val="ListParagraph"/>
        <w:numPr>
          <w:ilvl w:val="1"/>
          <w:numId w:val="23"/>
        </w:numPr>
      </w:pPr>
      <w:r w:rsidRPr="004B3333">
        <w:t>Test, learn and improve</w:t>
      </w:r>
    </w:p>
    <w:p w14:paraId="7A0647B8" w14:textId="5651C60A" w:rsidR="00617DC0" w:rsidRDefault="00617DC0" w:rsidP="00834A1C">
      <w:pPr>
        <w:pStyle w:val="ListParagraph"/>
        <w:numPr>
          <w:ilvl w:val="0"/>
          <w:numId w:val="22"/>
        </w:numPr>
      </w:pPr>
      <w:r>
        <w:t>Define the criteria and selection process for deciding which Branches will participate in the implementation of the key CVAP activities (</w:t>
      </w:r>
      <w:r w:rsidR="000D5A4C">
        <w:t>self-assessment</w:t>
      </w:r>
      <w:r>
        <w:t xml:space="preserve"> and visioning, </w:t>
      </w:r>
      <w:proofErr w:type="spellStart"/>
      <w:r>
        <w:t>PoA</w:t>
      </w:r>
      <w:proofErr w:type="spellEnd"/>
      <w:r>
        <w:t xml:space="preserve">, market mapping and assessment, mapping FSPs, transfer values for different relief and recovery outcomes etc.). </w:t>
      </w:r>
    </w:p>
    <w:p w14:paraId="5DC0A3F1" w14:textId="65BFA5D5" w:rsidR="007706E2" w:rsidRDefault="007706E2" w:rsidP="00834A1C">
      <w:pPr>
        <w:pStyle w:val="ListParagraph"/>
        <w:numPr>
          <w:ilvl w:val="0"/>
          <w:numId w:val="22"/>
        </w:numPr>
      </w:pPr>
      <w:r w:rsidRPr="004B3333">
        <w:t xml:space="preserve">Implement and monitor the activities and outputs of the CVAP </w:t>
      </w:r>
      <w:proofErr w:type="spellStart"/>
      <w:r w:rsidRPr="004B3333">
        <w:t>PoA</w:t>
      </w:r>
      <w:proofErr w:type="spellEnd"/>
      <w:r w:rsidR="001F24E2">
        <w:t xml:space="preserve"> and </w:t>
      </w:r>
      <w:r w:rsidR="001F24E2" w:rsidRPr="004B3333">
        <w:t xml:space="preserve">oversee a final evaluation of </w:t>
      </w:r>
      <w:r w:rsidR="001F24E2">
        <w:t xml:space="preserve">the </w:t>
      </w:r>
      <w:proofErr w:type="spellStart"/>
      <w:r w:rsidR="001F24E2">
        <w:t>PoA</w:t>
      </w:r>
      <w:proofErr w:type="spellEnd"/>
      <w:r w:rsidR="001F24E2">
        <w:t>.</w:t>
      </w:r>
    </w:p>
    <w:p w14:paraId="05923619" w14:textId="65008CA2" w:rsidR="006724FF" w:rsidRPr="004B3333" w:rsidRDefault="006E712A" w:rsidP="00834A1C">
      <w:pPr>
        <w:pStyle w:val="ListParagraph"/>
        <w:numPr>
          <w:ilvl w:val="0"/>
          <w:numId w:val="22"/>
        </w:numPr>
      </w:pPr>
      <w:r>
        <w:t xml:space="preserve">Develop and roll out </w:t>
      </w:r>
      <w:r w:rsidR="006724FF">
        <w:t>SOPs</w:t>
      </w:r>
      <w:r>
        <w:t xml:space="preserve"> for CVA at NHQ and Branch level and conduct a roles and responsibilities/RACI exercise, where appropriate.</w:t>
      </w:r>
    </w:p>
    <w:p w14:paraId="425E3A14" w14:textId="247FFC51" w:rsidR="007706E2" w:rsidRPr="004B3333" w:rsidRDefault="007706E2" w:rsidP="00834A1C">
      <w:pPr>
        <w:pStyle w:val="ListParagraph"/>
        <w:numPr>
          <w:ilvl w:val="0"/>
          <w:numId w:val="22"/>
        </w:numPr>
      </w:pPr>
      <w:r>
        <w:t>Develop a meetings calendar and participate in regular internal meetings to share and monitor progress and identify bottlenecks and corrective actions needed</w:t>
      </w:r>
      <w:r w:rsidR="15B06848">
        <w:t xml:space="preserve"> in relation to the CVAP </w:t>
      </w:r>
      <w:proofErr w:type="spellStart"/>
      <w:r w:rsidR="15B06848">
        <w:t>PoA</w:t>
      </w:r>
      <w:proofErr w:type="spellEnd"/>
      <w:r w:rsidR="15B06848">
        <w:t xml:space="preserve"> implementation</w:t>
      </w:r>
      <w:r>
        <w:t>.</w:t>
      </w:r>
    </w:p>
    <w:p w14:paraId="33E6FB4A" w14:textId="511FD368" w:rsidR="007706E2" w:rsidRPr="004B3333" w:rsidRDefault="001F24E2" w:rsidP="00834A1C">
      <w:pPr>
        <w:pStyle w:val="ListParagraph"/>
        <w:numPr>
          <w:ilvl w:val="0"/>
          <w:numId w:val="22"/>
        </w:numPr>
      </w:pPr>
      <w:r>
        <w:t>Engage with</w:t>
      </w:r>
      <w:r w:rsidR="007706E2" w:rsidRPr="004B3333">
        <w:t xml:space="preserve"> external CVA meetings when relevant, such as the Cash Working Group and any clusters</w:t>
      </w:r>
      <w:r>
        <w:t xml:space="preserve"> (through the CVA focal point or other TWG deputy representative) </w:t>
      </w:r>
    </w:p>
    <w:p w14:paraId="150196EE" w14:textId="1DEBC302" w:rsidR="007706E2" w:rsidRDefault="007706E2" w:rsidP="00834A1C">
      <w:pPr>
        <w:pStyle w:val="ListParagraph"/>
        <w:numPr>
          <w:ilvl w:val="0"/>
          <w:numId w:val="22"/>
        </w:numPr>
      </w:pPr>
      <w:r w:rsidRPr="004B3333">
        <w:t xml:space="preserve">Be CVA champions and advocate within the </w:t>
      </w:r>
      <w:r w:rsidR="005E7565">
        <w:t>NS</w:t>
      </w:r>
      <w:r w:rsidRPr="004B3333">
        <w:t xml:space="preserve"> and the Movement in the country.</w:t>
      </w:r>
    </w:p>
    <w:p w14:paraId="6084539C" w14:textId="443B2FB2" w:rsidR="007706E2" w:rsidRPr="004B3333" w:rsidRDefault="007706E2" w:rsidP="004B3333">
      <w:pPr>
        <w:rPr>
          <w:color w:val="000000"/>
          <w:szCs w:val="22"/>
          <w:lang w:eastAsia="en-GB"/>
        </w:rPr>
      </w:pPr>
      <w:r w:rsidRPr="00A21648">
        <w:t xml:space="preserve">Each member will have </w:t>
      </w:r>
      <w:proofErr w:type="gramStart"/>
      <w:r w:rsidRPr="00A21648">
        <w:t>particular outputs</w:t>
      </w:r>
      <w:proofErr w:type="gramEnd"/>
      <w:r w:rsidRPr="00A21648">
        <w:t xml:space="preserve"> assigned</w:t>
      </w:r>
      <w:r>
        <w:t xml:space="preserve"> to them in the CVAP</w:t>
      </w:r>
      <w:r w:rsidRPr="00A21648">
        <w:t xml:space="preserve"> </w:t>
      </w:r>
      <w:proofErr w:type="spellStart"/>
      <w:r w:rsidRPr="00A21648">
        <w:t>PoA</w:t>
      </w:r>
      <w:proofErr w:type="spellEnd"/>
      <w:r w:rsidRPr="00A21648">
        <w:t xml:space="preserve"> and will be responsible for monitoring progress and reporting on behalf of their department.</w:t>
      </w:r>
    </w:p>
    <w:p w14:paraId="18CBBFAD" w14:textId="77777777" w:rsidR="005E7565" w:rsidRDefault="005E7565" w:rsidP="004B3333">
      <w:pPr>
        <w:pStyle w:val="Bullet2"/>
        <w:keepNext/>
        <w:numPr>
          <w:ilvl w:val="0"/>
          <w:numId w:val="0"/>
        </w:numPr>
        <w:contextualSpacing w:val="0"/>
        <w:rPr>
          <w:lang w:eastAsia="en-GB"/>
        </w:rPr>
      </w:pPr>
    </w:p>
    <w:p w14:paraId="7BEE30E7" w14:textId="2FEEF2FE" w:rsidR="00862EDC" w:rsidRPr="000D5A4C" w:rsidRDefault="00F57D0E" w:rsidP="00F57D0E">
      <w:pPr>
        <w:rPr>
          <w:b/>
          <w:sz w:val="24"/>
          <w:szCs w:val="24"/>
        </w:rPr>
      </w:pPr>
      <w:r w:rsidRPr="000D5A4C">
        <w:rPr>
          <w:b/>
          <w:sz w:val="24"/>
          <w:szCs w:val="24"/>
        </w:rPr>
        <w:t>Membership</w:t>
      </w:r>
      <w:r w:rsidR="006C7A42" w:rsidRPr="000D5A4C">
        <w:rPr>
          <w:b/>
          <w:sz w:val="24"/>
          <w:szCs w:val="24"/>
        </w:rPr>
        <w:t xml:space="preserve"> and specific roles </w:t>
      </w:r>
    </w:p>
    <w:p w14:paraId="29A448E0" w14:textId="50B613EC" w:rsidR="004D667D" w:rsidRDefault="004D667D" w:rsidP="004D667D">
      <w:pPr>
        <w:rPr>
          <w:color w:val="000000" w:themeColor="text1"/>
          <w:lang w:eastAsia="en-GB"/>
        </w:rPr>
      </w:pPr>
      <w:r w:rsidRPr="066108F4">
        <w:rPr>
          <w:color w:val="000000" w:themeColor="text1"/>
          <w:lang w:eastAsia="en-GB"/>
        </w:rPr>
        <w:t xml:space="preserve">The TWG </w:t>
      </w:r>
      <w:r w:rsidR="00343F71" w:rsidRPr="066108F4">
        <w:rPr>
          <w:color w:val="000000" w:themeColor="text1"/>
          <w:lang w:eastAsia="en-GB"/>
        </w:rPr>
        <w:t>will typically and ideally be</w:t>
      </w:r>
      <w:r w:rsidRPr="066108F4">
        <w:rPr>
          <w:color w:val="000000" w:themeColor="text1"/>
          <w:lang w:eastAsia="en-GB"/>
        </w:rPr>
        <w:t xml:space="preserve"> composed of the following NS </w:t>
      </w:r>
      <w:r w:rsidR="00343F71" w:rsidRPr="066108F4">
        <w:rPr>
          <w:color w:val="000000" w:themeColor="text1"/>
          <w:lang w:eastAsia="en-GB"/>
        </w:rPr>
        <w:t>departments</w:t>
      </w:r>
      <w:r w:rsidRPr="066108F4">
        <w:rPr>
          <w:color w:val="000000" w:themeColor="text1"/>
          <w:lang w:eastAsia="en-GB"/>
        </w:rPr>
        <w:t xml:space="preserve">, </w:t>
      </w:r>
      <w:r w:rsidR="00343F71" w:rsidRPr="066108F4">
        <w:rPr>
          <w:color w:val="000000" w:themeColor="text1"/>
          <w:lang w:eastAsia="en-GB"/>
        </w:rPr>
        <w:t>with</w:t>
      </w:r>
      <w:r w:rsidRPr="066108F4">
        <w:rPr>
          <w:color w:val="000000" w:themeColor="text1"/>
          <w:lang w:eastAsia="en-GB"/>
        </w:rPr>
        <w:t xml:space="preserve"> staff </w:t>
      </w:r>
      <w:r w:rsidR="00343F71" w:rsidRPr="066108F4">
        <w:rPr>
          <w:color w:val="000000" w:themeColor="text1"/>
          <w:lang w:eastAsia="en-GB"/>
        </w:rPr>
        <w:t>who are</w:t>
      </w:r>
      <w:r w:rsidR="006724FF" w:rsidRPr="066108F4">
        <w:rPr>
          <w:color w:val="000000" w:themeColor="text1"/>
          <w:lang w:eastAsia="en-GB"/>
        </w:rPr>
        <w:t>,</w:t>
      </w:r>
      <w:r w:rsidRPr="066108F4">
        <w:rPr>
          <w:color w:val="000000" w:themeColor="text1"/>
          <w:lang w:eastAsia="en-GB"/>
        </w:rPr>
        <w:t xml:space="preserve"> </w:t>
      </w:r>
      <w:r w:rsidR="004B3333" w:rsidRPr="066108F4">
        <w:rPr>
          <w:color w:val="000000" w:themeColor="text1"/>
          <w:lang w:eastAsia="en-GB"/>
        </w:rPr>
        <w:t xml:space="preserve">or will </w:t>
      </w:r>
      <w:r w:rsidR="006724FF" w:rsidRPr="066108F4">
        <w:rPr>
          <w:color w:val="000000" w:themeColor="text1"/>
          <w:lang w:eastAsia="en-GB"/>
        </w:rPr>
        <w:t>be,</w:t>
      </w:r>
      <w:r w:rsidR="004B3333" w:rsidRPr="066108F4">
        <w:rPr>
          <w:color w:val="000000" w:themeColor="text1"/>
          <w:lang w:eastAsia="en-GB"/>
        </w:rPr>
        <w:t xml:space="preserve"> </w:t>
      </w:r>
      <w:r w:rsidRPr="066108F4">
        <w:rPr>
          <w:color w:val="000000" w:themeColor="text1"/>
          <w:lang w:eastAsia="en-GB"/>
        </w:rPr>
        <w:t>involved</w:t>
      </w:r>
      <w:r w:rsidR="004B3333" w:rsidRPr="066108F4">
        <w:rPr>
          <w:color w:val="000000" w:themeColor="text1"/>
          <w:lang w:eastAsia="en-GB"/>
        </w:rPr>
        <w:t xml:space="preserve"> </w:t>
      </w:r>
      <w:r w:rsidR="00343F71" w:rsidRPr="066108F4">
        <w:rPr>
          <w:color w:val="000000" w:themeColor="text1"/>
          <w:lang w:eastAsia="en-GB"/>
        </w:rPr>
        <w:t xml:space="preserve">in CVA </w:t>
      </w:r>
      <w:r w:rsidR="00BB309B" w:rsidRPr="066108F4">
        <w:rPr>
          <w:color w:val="000000" w:themeColor="text1"/>
          <w:lang w:eastAsia="en-GB"/>
        </w:rPr>
        <w:t>implementation</w:t>
      </w:r>
      <w:r w:rsidR="006724FF" w:rsidRPr="066108F4">
        <w:rPr>
          <w:color w:val="000000" w:themeColor="text1"/>
          <w:lang w:eastAsia="en-GB"/>
        </w:rPr>
        <w:t>.</w:t>
      </w:r>
      <w:r w:rsidR="00617DC0">
        <w:rPr>
          <w:color w:val="000000" w:themeColor="text1"/>
          <w:lang w:eastAsia="en-GB"/>
        </w:rPr>
        <w:t xml:space="preserve"> This can be from either NHQ or branches, depending on NS capacity and experience.</w:t>
      </w:r>
    </w:p>
    <w:p w14:paraId="0D26289E" w14:textId="77777777" w:rsidR="00510A94" w:rsidRDefault="00510A94" w:rsidP="00510A94">
      <w:r w:rsidRPr="6F23CE4A">
        <w:rPr>
          <w:lang w:eastAsia="en-GB"/>
        </w:rPr>
        <w:t>Staff of in-country Movement partners (</w:t>
      </w:r>
      <w:r>
        <w:t>IFRC, ICRC and partner NS) may also be invited if they meet the following criteria:</w:t>
      </w:r>
    </w:p>
    <w:p w14:paraId="0BF0E6A1" w14:textId="77777777" w:rsidR="00510A94" w:rsidRPr="004B3333" w:rsidRDefault="00510A94" w:rsidP="00D1665D">
      <w:pPr>
        <w:pStyle w:val="ListParagraph"/>
        <w:numPr>
          <w:ilvl w:val="0"/>
          <w:numId w:val="22"/>
        </w:numPr>
      </w:pPr>
      <w:r w:rsidRPr="004B3333">
        <w:t>Expressed commitment to support technical discussion and development of CVA in the NS</w:t>
      </w:r>
    </w:p>
    <w:p w14:paraId="33CC6EED" w14:textId="77777777" w:rsidR="00510A94" w:rsidRPr="00D1665D" w:rsidRDefault="00510A94" w:rsidP="00D1665D">
      <w:pPr>
        <w:pStyle w:val="ListParagraph"/>
        <w:numPr>
          <w:ilvl w:val="0"/>
          <w:numId w:val="22"/>
        </w:numPr>
      </w:pPr>
      <w:r w:rsidRPr="004B3333">
        <w:t>Actively involved or will be involved (directly or indirectly) in implementing CVA with the NS</w:t>
      </w:r>
    </w:p>
    <w:p w14:paraId="5330AB3D" w14:textId="557F61E4" w:rsidR="00510A94" w:rsidRDefault="00510A94" w:rsidP="004D667D">
      <w:pPr>
        <w:rPr>
          <w:color w:val="000000"/>
          <w:lang w:eastAsia="en-GB"/>
        </w:rPr>
      </w:pPr>
      <w:r w:rsidRPr="6F23CE4A">
        <w:rPr>
          <w:color w:val="000000" w:themeColor="text1"/>
          <w:lang w:eastAsia="en-GB"/>
        </w:rPr>
        <w:lastRenderedPageBreak/>
        <w:t xml:space="preserve">In some contexts, </w:t>
      </w:r>
      <w:r>
        <w:rPr>
          <w:color w:val="000000" w:themeColor="text1"/>
          <w:lang w:eastAsia="en-GB"/>
        </w:rPr>
        <w:t xml:space="preserve">a few select </w:t>
      </w:r>
      <w:r w:rsidRPr="6F23CE4A">
        <w:rPr>
          <w:color w:val="000000" w:themeColor="text1"/>
          <w:lang w:eastAsia="en-GB"/>
        </w:rPr>
        <w:t xml:space="preserve">external participants with relevant experience </w:t>
      </w:r>
      <w:r>
        <w:rPr>
          <w:color w:val="000000" w:themeColor="text1"/>
          <w:lang w:eastAsia="en-GB"/>
        </w:rPr>
        <w:t>may additionally</w:t>
      </w:r>
      <w:r w:rsidRPr="6F23CE4A">
        <w:rPr>
          <w:color w:val="000000" w:themeColor="text1"/>
          <w:lang w:eastAsia="en-GB"/>
        </w:rPr>
        <w:t xml:space="preserve"> be invited to join the TWG</w:t>
      </w:r>
      <w:r>
        <w:rPr>
          <w:color w:val="000000" w:themeColor="text1"/>
          <w:lang w:eastAsia="en-GB"/>
        </w:rPr>
        <w:t>.</w:t>
      </w:r>
    </w:p>
    <w:p w14:paraId="12DB5082" w14:textId="77777777" w:rsidR="00510A94" w:rsidRDefault="00510A94" w:rsidP="004D667D">
      <w:pPr>
        <w:rPr>
          <w:color w:val="000000"/>
          <w:lang w:eastAsia="en-GB"/>
        </w:rPr>
      </w:pPr>
    </w:p>
    <w:tbl>
      <w:tblPr>
        <w:tblStyle w:val="TableGrid"/>
        <w:tblW w:w="9848" w:type="dxa"/>
        <w:tblLook w:val="04A0" w:firstRow="1" w:lastRow="0" w:firstColumn="1" w:lastColumn="0" w:noHBand="0" w:noVBand="1"/>
      </w:tblPr>
      <w:tblGrid>
        <w:gridCol w:w="6487"/>
        <w:gridCol w:w="3361"/>
      </w:tblGrid>
      <w:tr w:rsidR="00343F71" w14:paraId="2D48D7CC" w14:textId="77777777" w:rsidTr="0046094E">
        <w:tc>
          <w:tcPr>
            <w:tcW w:w="6487" w:type="dxa"/>
            <w:shd w:val="clear" w:color="auto" w:fill="DC281E"/>
            <w:vAlign w:val="bottom"/>
          </w:tcPr>
          <w:p w14:paraId="7E90F06A" w14:textId="6E4D7AC1" w:rsidR="00343F71" w:rsidRPr="0046094E" w:rsidRDefault="00510A94" w:rsidP="0046094E">
            <w:pPr>
              <w:pStyle w:val="Default"/>
              <w:spacing w:before="60" w:after="60"/>
              <w:rPr>
                <w:b/>
                <w:color w:val="FFFFFF" w:themeColor="background1"/>
                <w:sz w:val="20"/>
                <w:szCs w:val="20"/>
              </w:rPr>
            </w:pPr>
            <w:r w:rsidRPr="0046094E">
              <w:rPr>
                <w:b/>
                <w:color w:val="FFFFFF" w:themeColor="background1"/>
                <w:sz w:val="20"/>
                <w:szCs w:val="20"/>
              </w:rPr>
              <w:t xml:space="preserve">NS </w:t>
            </w:r>
            <w:r w:rsidR="00343F71" w:rsidRPr="0046094E">
              <w:rPr>
                <w:b/>
                <w:color w:val="FFFFFF" w:themeColor="background1"/>
                <w:sz w:val="20"/>
                <w:szCs w:val="20"/>
              </w:rPr>
              <w:t>Department/Sector</w:t>
            </w:r>
          </w:p>
        </w:tc>
        <w:tc>
          <w:tcPr>
            <w:tcW w:w="3361" w:type="dxa"/>
            <w:shd w:val="clear" w:color="auto" w:fill="DC281E"/>
            <w:vAlign w:val="bottom"/>
          </w:tcPr>
          <w:p w14:paraId="1964060D" w14:textId="162BF043" w:rsidR="00343F71" w:rsidRPr="0046094E" w:rsidRDefault="00343F71" w:rsidP="00311C5D">
            <w:pPr>
              <w:pStyle w:val="Default"/>
              <w:spacing w:before="60" w:after="60"/>
              <w:rPr>
                <w:b/>
                <w:color w:val="FFFFFF" w:themeColor="background1"/>
                <w:lang w:eastAsia="en-GB"/>
              </w:rPr>
            </w:pPr>
            <w:r w:rsidRPr="00311C5D">
              <w:rPr>
                <w:b/>
                <w:color w:val="FFFFFF" w:themeColor="background1"/>
                <w:sz w:val="20"/>
                <w:szCs w:val="20"/>
              </w:rPr>
              <w:t>Role/function</w:t>
            </w:r>
          </w:p>
        </w:tc>
      </w:tr>
      <w:tr w:rsidR="00343F71" w14:paraId="06B94255" w14:textId="77777777" w:rsidTr="00A3686F">
        <w:tc>
          <w:tcPr>
            <w:tcW w:w="6487" w:type="dxa"/>
            <w:shd w:val="clear" w:color="auto" w:fill="E6E6E6"/>
            <w:vAlign w:val="center"/>
          </w:tcPr>
          <w:p w14:paraId="5E8B73FD" w14:textId="17BD86EE" w:rsidR="00343F71" w:rsidRDefault="00343F71" w:rsidP="006D3136">
            <w:pPr>
              <w:jc w:val="left"/>
              <w:rPr>
                <w:color w:val="000000"/>
                <w:lang w:eastAsia="en-GB"/>
              </w:rPr>
            </w:pPr>
            <w:r>
              <w:rPr>
                <w:color w:val="000000"/>
                <w:lang w:eastAsia="en-GB"/>
              </w:rPr>
              <w:t xml:space="preserve">CVA </w:t>
            </w:r>
            <w:r w:rsidR="00DF200C">
              <w:rPr>
                <w:color w:val="000000"/>
                <w:lang w:eastAsia="en-GB"/>
              </w:rPr>
              <w:t>F</w:t>
            </w:r>
            <w:r>
              <w:rPr>
                <w:color w:val="000000"/>
                <w:lang w:eastAsia="en-GB"/>
              </w:rPr>
              <w:t xml:space="preserve">ocal </w:t>
            </w:r>
            <w:r w:rsidR="00DF200C">
              <w:rPr>
                <w:color w:val="000000"/>
                <w:lang w:eastAsia="en-GB"/>
              </w:rPr>
              <w:t>P</w:t>
            </w:r>
            <w:r>
              <w:rPr>
                <w:color w:val="000000"/>
                <w:lang w:eastAsia="en-GB"/>
              </w:rPr>
              <w:t>oint - 1</w:t>
            </w:r>
          </w:p>
        </w:tc>
        <w:tc>
          <w:tcPr>
            <w:tcW w:w="3361" w:type="dxa"/>
            <w:shd w:val="clear" w:color="auto" w:fill="F3F3F3"/>
            <w:vAlign w:val="center"/>
          </w:tcPr>
          <w:p w14:paraId="26EDAAAC" w14:textId="221C5BFF" w:rsidR="00343F71" w:rsidRDefault="00343F71" w:rsidP="006D3136">
            <w:pPr>
              <w:jc w:val="left"/>
              <w:rPr>
                <w:color w:val="000000"/>
                <w:lang w:eastAsia="en-GB"/>
              </w:rPr>
            </w:pPr>
            <w:r>
              <w:rPr>
                <w:color w:val="000000"/>
                <w:lang w:eastAsia="en-GB"/>
              </w:rPr>
              <w:t>Secretariat (Chair)</w:t>
            </w:r>
          </w:p>
        </w:tc>
      </w:tr>
      <w:tr w:rsidR="00343F71" w14:paraId="3ABC38A4" w14:textId="77777777" w:rsidTr="00A3686F">
        <w:tc>
          <w:tcPr>
            <w:tcW w:w="6487" w:type="dxa"/>
            <w:shd w:val="clear" w:color="auto" w:fill="E6E6E6"/>
            <w:vAlign w:val="center"/>
          </w:tcPr>
          <w:p w14:paraId="0C32730D" w14:textId="5483667F" w:rsidR="00343F71" w:rsidRDefault="00343F71" w:rsidP="006D3136">
            <w:pPr>
              <w:jc w:val="left"/>
              <w:rPr>
                <w:color w:val="000000"/>
                <w:lang w:eastAsia="en-GB"/>
              </w:rPr>
            </w:pPr>
            <w:r>
              <w:rPr>
                <w:color w:val="000000"/>
                <w:lang w:eastAsia="en-GB"/>
              </w:rPr>
              <w:t>D</w:t>
            </w:r>
            <w:r w:rsidR="00DF200C">
              <w:rPr>
                <w:color w:val="000000"/>
                <w:lang w:eastAsia="en-GB"/>
              </w:rPr>
              <w:t>isaster Management</w:t>
            </w:r>
            <w:r>
              <w:rPr>
                <w:color w:val="000000"/>
                <w:lang w:eastAsia="en-GB"/>
              </w:rPr>
              <w:t xml:space="preserve"> – 1 (minimum)</w:t>
            </w:r>
          </w:p>
        </w:tc>
        <w:tc>
          <w:tcPr>
            <w:tcW w:w="3361" w:type="dxa"/>
            <w:shd w:val="clear" w:color="auto" w:fill="F3F3F3"/>
            <w:vAlign w:val="center"/>
          </w:tcPr>
          <w:p w14:paraId="067467BC" w14:textId="232C3AF4" w:rsidR="00343F71" w:rsidRDefault="00343F71" w:rsidP="006D3136">
            <w:pPr>
              <w:jc w:val="left"/>
              <w:rPr>
                <w:color w:val="000000"/>
                <w:lang w:eastAsia="en-GB"/>
              </w:rPr>
            </w:pPr>
            <w:r>
              <w:rPr>
                <w:color w:val="000000"/>
                <w:lang w:eastAsia="en-GB"/>
              </w:rPr>
              <w:t>Secretariat (Co-chair)</w:t>
            </w:r>
          </w:p>
        </w:tc>
      </w:tr>
      <w:tr w:rsidR="00343F71" w14:paraId="61539065" w14:textId="77777777" w:rsidTr="00A3686F">
        <w:tc>
          <w:tcPr>
            <w:tcW w:w="6487" w:type="dxa"/>
            <w:shd w:val="clear" w:color="auto" w:fill="E6E6E6"/>
            <w:vAlign w:val="center"/>
          </w:tcPr>
          <w:p w14:paraId="61D5BEE6" w14:textId="3A6376A7" w:rsidR="00343F71" w:rsidRDefault="00343F71" w:rsidP="006D3136">
            <w:pPr>
              <w:jc w:val="left"/>
              <w:rPr>
                <w:color w:val="000000"/>
                <w:lang w:eastAsia="en-GB"/>
              </w:rPr>
            </w:pPr>
            <w:r>
              <w:rPr>
                <w:color w:val="000000"/>
                <w:lang w:eastAsia="en-GB"/>
              </w:rPr>
              <w:t xml:space="preserve">Finance </w:t>
            </w:r>
            <w:r w:rsidR="00DF200C">
              <w:rPr>
                <w:color w:val="000000"/>
                <w:lang w:eastAsia="en-GB"/>
              </w:rPr>
              <w:t>– 1</w:t>
            </w:r>
          </w:p>
        </w:tc>
        <w:tc>
          <w:tcPr>
            <w:tcW w:w="3361" w:type="dxa"/>
            <w:shd w:val="clear" w:color="auto" w:fill="F3F3F3"/>
            <w:vAlign w:val="center"/>
          </w:tcPr>
          <w:p w14:paraId="600956CB" w14:textId="5077A341" w:rsidR="00343F71" w:rsidRDefault="00343F71" w:rsidP="006D3136">
            <w:pPr>
              <w:jc w:val="left"/>
              <w:rPr>
                <w:color w:val="000000"/>
                <w:lang w:eastAsia="en-GB"/>
              </w:rPr>
            </w:pPr>
            <w:r>
              <w:rPr>
                <w:color w:val="000000"/>
                <w:lang w:eastAsia="en-GB"/>
              </w:rPr>
              <w:t>Member</w:t>
            </w:r>
          </w:p>
        </w:tc>
      </w:tr>
      <w:tr w:rsidR="00343F71" w14:paraId="77E4892D" w14:textId="77777777" w:rsidTr="00A3686F">
        <w:tc>
          <w:tcPr>
            <w:tcW w:w="6487" w:type="dxa"/>
            <w:shd w:val="clear" w:color="auto" w:fill="E6E6E6"/>
            <w:vAlign w:val="center"/>
          </w:tcPr>
          <w:p w14:paraId="372E5DD1" w14:textId="0E04B759" w:rsidR="00343F71" w:rsidRDefault="00343F71" w:rsidP="006D3136">
            <w:pPr>
              <w:jc w:val="left"/>
              <w:rPr>
                <w:color w:val="000000"/>
                <w:lang w:eastAsia="en-GB"/>
              </w:rPr>
            </w:pPr>
            <w:r>
              <w:rPr>
                <w:color w:val="000000"/>
                <w:lang w:eastAsia="en-GB"/>
              </w:rPr>
              <w:t>Logistics</w:t>
            </w:r>
            <w:r w:rsidR="00DF200C">
              <w:rPr>
                <w:color w:val="000000"/>
                <w:lang w:eastAsia="en-GB"/>
              </w:rPr>
              <w:t xml:space="preserve"> – 1</w:t>
            </w:r>
          </w:p>
        </w:tc>
        <w:tc>
          <w:tcPr>
            <w:tcW w:w="3361" w:type="dxa"/>
            <w:shd w:val="clear" w:color="auto" w:fill="F3F3F3"/>
            <w:vAlign w:val="center"/>
          </w:tcPr>
          <w:p w14:paraId="08D1E901" w14:textId="6B2E27DF" w:rsidR="00343F71" w:rsidRDefault="00343F71" w:rsidP="006D3136">
            <w:pPr>
              <w:jc w:val="left"/>
              <w:rPr>
                <w:color w:val="000000"/>
                <w:lang w:eastAsia="en-GB"/>
              </w:rPr>
            </w:pPr>
            <w:r>
              <w:rPr>
                <w:color w:val="000000"/>
                <w:lang w:eastAsia="en-GB"/>
              </w:rPr>
              <w:t>Member</w:t>
            </w:r>
          </w:p>
        </w:tc>
      </w:tr>
      <w:tr w:rsidR="00343F71" w14:paraId="3FE77D75" w14:textId="77777777" w:rsidTr="00A3686F">
        <w:tc>
          <w:tcPr>
            <w:tcW w:w="6487" w:type="dxa"/>
            <w:shd w:val="clear" w:color="auto" w:fill="E6E6E6"/>
            <w:vAlign w:val="center"/>
          </w:tcPr>
          <w:p w14:paraId="56D0161F" w14:textId="09CCB1C1" w:rsidR="00343F71" w:rsidRDefault="00343F71" w:rsidP="006D3136">
            <w:pPr>
              <w:jc w:val="left"/>
              <w:rPr>
                <w:color w:val="000000"/>
                <w:lang w:eastAsia="en-GB"/>
              </w:rPr>
            </w:pPr>
            <w:r>
              <w:rPr>
                <w:color w:val="000000"/>
                <w:lang w:eastAsia="en-GB"/>
              </w:rPr>
              <w:t>Procurement</w:t>
            </w:r>
            <w:r w:rsidR="00A31BB9">
              <w:rPr>
                <w:color w:val="000000"/>
                <w:lang w:eastAsia="en-GB"/>
              </w:rPr>
              <w:t xml:space="preserve"> – 1</w:t>
            </w:r>
          </w:p>
        </w:tc>
        <w:tc>
          <w:tcPr>
            <w:tcW w:w="3361" w:type="dxa"/>
            <w:shd w:val="clear" w:color="auto" w:fill="F3F3F3"/>
            <w:vAlign w:val="center"/>
          </w:tcPr>
          <w:p w14:paraId="07ED912F" w14:textId="64BC7E4F" w:rsidR="00343F71" w:rsidRDefault="00343F71" w:rsidP="006D3136">
            <w:pPr>
              <w:jc w:val="left"/>
              <w:rPr>
                <w:color w:val="000000"/>
                <w:lang w:eastAsia="en-GB"/>
              </w:rPr>
            </w:pPr>
            <w:r>
              <w:rPr>
                <w:color w:val="000000"/>
                <w:lang w:eastAsia="en-GB"/>
              </w:rPr>
              <w:t>Member</w:t>
            </w:r>
          </w:p>
        </w:tc>
      </w:tr>
      <w:tr w:rsidR="00343F71" w14:paraId="49A663C7" w14:textId="77777777" w:rsidTr="00A3686F">
        <w:tc>
          <w:tcPr>
            <w:tcW w:w="6487" w:type="dxa"/>
            <w:shd w:val="clear" w:color="auto" w:fill="E6E6E6"/>
            <w:vAlign w:val="center"/>
          </w:tcPr>
          <w:p w14:paraId="29C08324" w14:textId="363F23FC" w:rsidR="00343F71" w:rsidRDefault="00343F71" w:rsidP="006D3136">
            <w:pPr>
              <w:jc w:val="left"/>
              <w:rPr>
                <w:color w:val="000000"/>
                <w:lang w:eastAsia="en-GB"/>
              </w:rPr>
            </w:pPr>
            <w:r>
              <w:rPr>
                <w:color w:val="000000"/>
                <w:lang w:eastAsia="en-GB"/>
              </w:rPr>
              <w:t>Information Management</w:t>
            </w:r>
            <w:r w:rsidR="00A3686F">
              <w:rPr>
                <w:color w:val="000000"/>
                <w:lang w:eastAsia="en-GB"/>
              </w:rPr>
              <w:t xml:space="preserve"> </w:t>
            </w:r>
            <w:r w:rsidR="00A8292C">
              <w:rPr>
                <w:color w:val="000000"/>
                <w:lang w:val="uz-Cyrl-UZ" w:eastAsia="en-GB"/>
              </w:rPr>
              <w:t>/ Technology</w:t>
            </w:r>
            <w:r>
              <w:rPr>
                <w:color w:val="000000"/>
                <w:lang w:eastAsia="en-GB"/>
              </w:rPr>
              <w:t xml:space="preserve"> </w:t>
            </w:r>
            <w:r w:rsidR="00A31BB9">
              <w:rPr>
                <w:color w:val="000000"/>
                <w:lang w:eastAsia="en-GB"/>
              </w:rPr>
              <w:t xml:space="preserve">– 1 </w:t>
            </w:r>
          </w:p>
        </w:tc>
        <w:tc>
          <w:tcPr>
            <w:tcW w:w="3361" w:type="dxa"/>
            <w:shd w:val="clear" w:color="auto" w:fill="F3F3F3"/>
            <w:vAlign w:val="center"/>
          </w:tcPr>
          <w:p w14:paraId="5973C701" w14:textId="2E4696E9" w:rsidR="00343F71" w:rsidRDefault="00343F71" w:rsidP="006D3136">
            <w:pPr>
              <w:jc w:val="left"/>
              <w:rPr>
                <w:color w:val="000000"/>
                <w:lang w:eastAsia="en-GB"/>
              </w:rPr>
            </w:pPr>
            <w:r>
              <w:rPr>
                <w:color w:val="000000"/>
                <w:lang w:eastAsia="en-GB"/>
              </w:rPr>
              <w:t>Member</w:t>
            </w:r>
          </w:p>
        </w:tc>
      </w:tr>
      <w:tr w:rsidR="00343F71" w14:paraId="4D683434" w14:textId="77777777" w:rsidTr="00A3686F">
        <w:tc>
          <w:tcPr>
            <w:tcW w:w="6487" w:type="dxa"/>
            <w:shd w:val="clear" w:color="auto" w:fill="E6E6E6"/>
            <w:vAlign w:val="center"/>
          </w:tcPr>
          <w:p w14:paraId="77A1847C" w14:textId="793F4510" w:rsidR="00343F71" w:rsidRDefault="00343F71" w:rsidP="006D3136">
            <w:pPr>
              <w:jc w:val="left"/>
              <w:rPr>
                <w:color w:val="000000"/>
                <w:lang w:eastAsia="en-GB"/>
              </w:rPr>
            </w:pPr>
            <w:r>
              <w:rPr>
                <w:color w:val="000000"/>
                <w:lang w:eastAsia="en-GB"/>
              </w:rPr>
              <w:t xml:space="preserve">M&amp;E </w:t>
            </w:r>
            <w:r w:rsidR="00A31BB9">
              <w:rPr>
                <w:color w:val="000000"/>
                <w:lang w:eastAsia="en-GB"/>
              </w:rPr>
              <w:t>–</w:t>
            </w:r>
            <w:r>
              <w:rPr>
                <w:color w:val="000000"/>
                <w:lang w:eastAsia="en-GB"/>
              </w:rPr>
              <w:t xml:space="preserve"> 1</w:t>
            </w:r>
            <w:r w:rsidR="00A31BB9">
              <w:rPr>
                <w:color w:val="000000"/>
                <w:lang w:eastAsia="en-GB"/>
              </w:rPr>
              <w:t xml:space="preserve"> </w:t>
            </w:r>
          </w:p>
        </w:tc>
        <w:tc>
          <w:tcPr>
            <w:tcW w:w="3361" w:type="dxa"/>
            <w:shd w:val="clear" w:color="auto" w:fill="F3F3F3"/>
            <w:vAlign w:val="center"/>
          </w:tcPr>
          <w:p w14:paraId="0A6485A8" w14:textId="651825EF" w:rsidR="00343F71" w:rsidRDefault="00343F71" w:rsidP="006D3136">
            <w:pPr>
              <w:jc w:val="left"/>
              <w:rPr>
                <w:color w:val="000000"/>
                <w:lang w:eastAsia="en-GB"/>
              </w:rPr>
            </w:pPr>
            <w:r>
              <w:rPr>
                <w:color w:val="000000"/>
                <w:lang w:eastAsia="en-GB"/>
              </w:rPr>
              <w:t>Member</w:t>
            </w:r>
          </w:p>
        </w:tc>
      </w:tr>
      <w:tr w:rsidR="00343F71" w14:paraId="2619F244" w14:textId="77777777" w:rsidTr="00A3686F">
        <w:tc>
          <w:tcPr>
            <w:tcW w:w="6487" w:type="dxa"/>
            <w:shd w:val="clear" w:color="auto" w:fill="E6E6E6"/>
            <w:vAlign w:val="center"/>
          </w:tcPr>
          <w:p w14:paraId="5425ECCF" w14:textId="439C030D" w:rsidR="00343F71" w:rsidRDefault="00343F71" w:rsidP="006D3136">
            <w:pPr>
              <w:jc w:val="left"/>
              <w:rPr>
                <w:color w:val="000000"/>
                <w:lang w:eastAsia="en-GB"/>
              </w:rPr>
            </w:pPr>
            <w:r>
              <w:rPr>
                <w:color w:val="000000"/>
                <w:lang w:eastAsia="en-GB"/>
              </w:rPr>
              <w:t xml:space="preserve">Communication </w:t>
            </w:r>
            <w:r w:rsidR="00A31BB9">
              <w:rPr>
                <w:color w:val="000000"/>
                <w:lang w:eastAsia="en-GB"/>
              </w:rPr>
              <w:t>–</w:t>
            </w:r>
            <w:r>
              <w:rPr>
                <w:color w:val="000000"/>
                <w:lang w:eastAsia="en-GB"/>
              </w:rPr>
              <w:t xml:space="preserve"> 1</w:t>
            </w:r>
            <w:r w:rsidR="00A31BB9">
              <w:rPr>
                <w:color w:val="000000"/>
                <w:lang w:eastAsia="en-GB"/>
              </w:rPr>
              <w:t xml:space="preserve"> </w:t>
            </w:r>
          </w:p>
        </w:tc>
        <w:tc>
          <w:tcPr>
            <w:tcW w:w="3361" w:type="dxa"/>
            <w:shd w:val="clear" w:color="auto" w:fill="F3F3F3"/>
            <w:vAlign w:val="center"/>
          </w:tcPr>
          <w:p w14:paraId="4DFAB5B6" w14:textId="1CAE0EC5" w:rsidR="00343F71" w:rsidRDefault="00343F71" w:rsidP="006D3136">
            <w:pPr>
              <w:jc w:val="left"/>
              <w:rPr>
                <w:color w:val="000000"/>
                <w:lang w:eastAsia="en-GB"/>
              </w:rPr>
            </w:pPr>
            <w:r>
              <w:rPr>
                <w:color w:val="000000"/>
                <w:lang w:eastAsia="en-GB"/>
              </w:rPr>
              <w:t>Member</w:t>
            </w:r>
          </w:p>
        </w:tc>
      </w:tr>
      <w:tr w:rsidR="00343F71" w14:paraId="260EACFE" w14:textId="77777777" w:rsidTr="00A3686F">
        <w:tc>
          <w:tcPr>
            <w:tcW w:w="6487" w:type="dxa"/>
            <w:shd w:val="clear" w:color="auto" w:fill="E6E6E6"/>
            <w:vAlign w:val="center"/>
          </w:tcPr>
          <w:p w14:paraId="00F73F87" w14:textId="52D66DE0" w:rsidR="00343F71" w:rsidRDefault="00343F71" w:rsidP="006D3136">
            <w:pPr>
              <w:jc w:val="left"/>
              <w:rPr>
                <w:color w:val="000000"/>
                <w:lang w:eastAsia="en-GB"/>
              </w:rPr>
            </w:pPr>
            <w:r>
              <w:rPr>
                <w:color w:val="000000"/>
                <w:lang w:eastAsia="en-GB"/>
              </w:rPr>
              <w:t xml:space="preserve">OD </w:t>
            </w:r>
            <w:r w:rsidR="00506DBF">
              <w:rPr>
                <w:color w:val="000000"/>
                <w:lang w:eastAsia="en-GB"/>
              </w:rPr>
              <w:t>–</w:t>
            </w:r>
            <w:r>
              <w:rPr>
                <w:color w:val="000000"/>
                <w:lang w:eastAsia="en-GB"/>
              </w:rPr>
              <w:t xml:space="preserve"> 1</w:t>
            </w:r>
          </w:p>
        </w:tc>
        <w:tc>
          <w:tcPr>
            <w:tcW w:w="3361" w:type="dxa"/>
            <w:shd w:val="clear" w:color="auto" w:fill="F3F3F3"/>
            <w:vAlign w:val="center"/>
          </w:tcPr>
          <w:p w14:paraId="284CD185" w14:textId="77777777" w:rsidR="00343F71" w:rsidRDefault="00343F71" w:rsidP="006D3136">
            <w:pPr>
              <w:jc w:val="left"/>
              <w:rPr>
                <w:color w:val="000000"/>
                <w:lang w:eastAsia="en-GB"/>
              </w:rPr>
            </w:pPr>
            <w:r>
              <w:rPr>
                <w:color w:val="000000"/>
                <w:lang w:eastAsia="en-GB"/>
              </w:rPr>
              <w:t>Member</w:t>
            </w:r>
          </w:p>
        </w:tc>
      </w:tr>
      <w:tr w:rsidR="00343F71" w14:paraId="4AB06DFB" w14:textId="77777777" w:rsidTr="00A3686F">
        <w:tc>
          <w:tcPr>
            <w:tcW w:w="6487" w:type="dxa"/>
            <w:shd w:val="clear" w:color="auto" w:fill="E6E6E6"/>
            <w:vAlign w:val="center"/>
          </w:tcPr>
          <w:p w14:paraId="75E9A8B2" w14:textId="2A9B9A29" w:rsidR="00343F71" w:rsidRPr="00D32142" w:rsidRDefault="00D32142" w:rsidP="00D32142">
            <w:pPr>
              <w:jc w:val="left"/>
              <w:rPr>
                <w:iCs/>
                <w:color w:val="000000"/>
                <w:lang w:eastAsia="en-GB"/>
              </w:rPr>
            </w:pPr>
            <w:r>
              <w:rPr>
                <w:iCs/>
                <w:color w:val="000000"/>
                <w:lang w:eastAsia="en-GB"/>
              </w:rPr>
              <w:t>Programmes that have</w:t>
            </w:r>
            <w:r w:rsidR="00617DC0" w:rsidRPr="00D32142">
              <w:rPr>
                <w:iCs/>
                <w:color w:val="000000"/>
                <w:lang w:eastAsia="en-GB"/>
              </w:rPr>
              <w:t xml:space="preserve"> a clear link to CVA (</w:t>
            </w:r>
            <w:proofErr w:type="gramStart"/>
            <w:r w:rsidR="00617DC0" w:rsidRPr="00D32142">
              <w:rPr>
                <w:iCs/>
                <w:color w:val="000000"/>
                <w:lang w:eastAsia="en-GB"/>
              </w:rPr>
              <w:t>e.g.</w:t>
            </w:r>
            <w:proofErr w:type="gramEnd"/>
            <w:r w:rsidR="00617DC0" w:rsidRPr="00D32142">
              <w:rPr>
                <w:iCs/>
                <w:color w:val="000000"/>
                <w:lang w:eastAsia="en-GB"/>
              </w:rPr>
              <w:t xml:space="preserve"> FSL, Health, WASH</w:t>
            </w:r>
            <w:r>
              <w:rPr>
                <w:iCs/>
                <w:color w:val="000000"/>
                <w:lang w:eastAsia="en-GB"/>
              </w:rPr>
              <w:t>, DRR</w:t>
            </w:r>
            <w:r w:rsidR="00617DC0" w:rsidRPr="00D32142">
              <w:rPr>
                <w:iCs/>
                <w:color w:val="000000"/>
                <w:lang w:eastAsia="en-GB"/>
              </w:rPr>
              <w:t>)</w:t>
            </w:r>
            <w:r>
              <w:rPr>
                <w:iCs/>
                <w:color w:val="000000"/>
                <w:lang w:eastAsia="en-GB"/>
              </w:rPr>
              <w:t xml:space="preserve"> – as necessary</w:t>
            </w:r>
          </w:p>
        </w:tc>
        <w:tc>
          <w:tcPr>
            <w:tcW w:w="3361" w:type="dxa"/>
            <w:shd w:val="clear" w:color="auto" w:fill="F3F3F3"/>
            <w:vAlign w:val="center"/>
          </w:tcPr>
          <w:p w14:paraId="1FF9BC10" w14:textId="1258FA5C" w:rsidR="00343F71" w:rsidRDefault="00382130" w:rsidP="006D3136">
            <w:pPr>
              <w:jc w:val="left"/>
              <w:rPr>
                <w:color w:val="000000"/>
                <w:lang w:eastAsia="en-GB"/>
              </w:rPr>
            </w:pPr>
            <w:r>
              <w:rPr>
                <w:color w:val="000000"/>
                <w:lang w:eastAsia="en-GB"/>
              </w:rPr>
              <w:t>Member</w:t>
            </w:r>
          </w:p>
        </w:tc>
      </w:tr>
      <w:tr w:rsidR="00343F71" w14:paraId="6DC60B3F" w14:textId="77777777" w:rsidTr="00A3686F">
        <w:tc>
          <w:tcPr>
            <w:tcW w:w="6487" w:type="dxa"/>
            <w:shd w:val="clear" w:color="auto" w:fill="E6E6E6"/>
            <w:vAlign w:val="center"/>
          </w:tcPr>
          <w:p w14:paraId="3C01F258" w14:textId="49D6E590" w:rsidR="00343F71" w:rsidRDefault="00617DC0" w:rsidP="006D3136">
            <w:pPr>
              <w:jc w:val="left"/>
              <w:rPr>
                <w:color w:val="000000"/>
                <w:lang w:eastAsia="en-GB"/>
              </w:rPr>
            </w:pPr>
            <w:r>
              <w:rPr>
                <w:color w:val="000000"/>
                <w:lang w:eastAsia="en-GB"/>
              </w:rPr>
              <w:t>Training</w:t>
            </w:r>
            <w:r w:rsidR="00644235">
              <w:rPr>
                <w:color w:val="000000"/>
                <w:lang w:eastAsia="en-GB"/>
              </w:rPr>
              <w:t xml:space="preserve"> – 1 </w:t>
            </w:r>
            <w:r>
              <w:rPr>
                <w:color w:val="000000"/>
                <w:lang w:eastAsia="en-GB"/>
              </w:rPr>
              <w:t>(as necessary)</w:t>
            </w:r>
          </w:p>
        </w:tc>
        <w:tc>
          <w:tcPr>
            <w:tcW w:w="3361" w:type="dxa"/>
            <w:shd w:val="clear" w:color="auto" w:fill="F3F3F3"/>
            <w:vAlign w:val="center"/>
          </w:tcPr>
          <w:p w14:paraId="31BAFE99" w14:textId="7A89672C" w:rsidR="00343F71" w:rsidRDefault="00382130" w:rsidP="006D3136">
            <w:pPr>
              <w:jc w:val="left"/>
              <w:rPr>
                <w:color w:val="000000"/>
                <w:lang w:eastAsia="en-GB"/>
              </w:rPr>
            </w:pPr>
            <w:r>
              <w:rPr>
                <w:color w:val="000000"/>
                <w:lang w:eastAsia="en-GB"/>
              </w:rPr>
              <w:t>Member</w:t>
            </w:r>
          </w:p>
        </w:tc>
      </w:tr>
      <w:tr w:rsidR="00343F71" w14:paraId="6B2CB0DA" w14:textId="77777777" w:rsidTr="00A3686F">
        <w:tc>
          <w:tcPr>
            <w:tcW w:w="6487" w:type="dxa"/>
            <w:shd w:val="clear" w:color="auto" w:fill="E6E6E6"/>
            <w:vAlign w:val="center"/>
          </w:tcPr>
          <w:p w14:paraId="76D3FEEA" w14:textId="66420E76" w:rsidR="00343F71" w:rsidRDefault="00617DC0" w:rsidP="006D3136">
            <w:pPr>
              <w:jc w:val="left"/>
              <w:rPr>
                <w:color w:val="000000"/>
                <w:lang w:eastAsia="en-GB"/>
              </w:rPr>
            </w:pPr>
            <w:r>
              <w:rPr>
                <w:color w:val="000000"/>
                <w:lang w:eastAsia="en-GB"/>
              </w:rPr>
              <w:t>Youth – 1 (as necessary)</w:t>
            </w:r>
          </w:p>
        </w:tc>
        <w:tc>
          <w:tcPr>
            <w:tcW w:w="3361" w:type="dxa"/>
            <w:shd w:val="clear" w:color="auto" w:fill="F3F3F3"/>
            <w:vAlign w:val="center"/>
          </w:tcPr>
          <w:p w14:paraId="3DE73D6F" w14:textId="0447F554" w:rsidR="00343F71" w:rsidRDefault="00382130" w:rsidP="006D3136">
            <w:pPr>
              <w:jc w:val="left"/>
              <w:rPr>
                <w:color w:val="000000"/>
                <w:lang w:eastAsia="en-GB"/>
              </w:rPr>
            </w:pPr>
            <w:r>
              <w:rPr>
                <w:color w:val="000000"/>
                <w:lang w:eastAsia="en-GB"/>
              </w:rPr>
              <w:t>Member</w:t>
            </w:r>
          </w:p>
        </w:tc>
      </w:tr>
      <w:tr w:rsidR="00343F71" w14:paraId="7B138260" w14:textId="77777777" w:rsidTr="00A3686F">
        <w:tc>
          <w:tcPr>
            <w:tcW w:w="6487" w:type="dxa"/>
            <w:shd w:val="clear" w:color="auto" w:fill="E6E6E6"/>
            <w:vAlign w:val="center"/>
          </w:tcPr>
          <w:p w14:paraId="5C2E962A" w14:textId="73DFAA34" w:rsidR="00343F71" w:rsidRDefault="00617DC0" w:rsidP="006D3136">
            <w:pPr>
              <w:jc w:val="left"/>
              <w:rPr>
                <w:color w:val="000000"/>
                <w:lang w:eastAsia="en-GB"/>
              </w:rPr>
            </w:pPr>
            <w:r>
              <w:rPr>
                <w:color w:val="000000" w:themeColor="text1"/>
                <w:lang w:eastAsia="en-GB"/>
              </w:rPr>
              <w:t xml:space="preserve">Volunteer representative/department </w:t>
            </w:r>
            <w:r w:rsidR="00A31BB9">
              <w:rPr>
                <w:color w:val="000000" w:themeColor="text1"/>
                <w:lang w:eastAsia="en-GB"/>
              </w:rPr>
              <w:t>–</w:t>
            </w:r>
            <w:r>
              <w:rPr>
                <w:color w:val="000000" w:themeColor="text1"/>
                <w:lang w:eastAsia="en-GB"/>
              </w:rPr>
              <w:t xml:space="preserve"> 1</w:t>
            </w:r>
            <w:r w:rsidR="00A31BB9">
              <w:rPr>
                <w:color w:val="000000" w:themeColor="text1"/>
                <w:lang w:eastAsia="en-GB"/>
              </w:rPr>
              <w:t xml:space="preserve"> </w:t>
            </w:r>
            <w:r>
              <w:rPr>
                <w:color w:val="000000" w:themeColor="text1"/>
                <w:lang w:eastAsia="en-GB"/>
              </w:rPr>
              <w:t>(as necessary)</w:t>
            </w:r>
          </w:p>
        </w:tc>
        <w:tc>
          <w:tcPr>
            <w:tcW w:w="3361" w:type="dxa"/>
            <w:shd w:val="clear" w:color="auto" w:fill="F3F3F3"/>
            <w:vAlign w:val="center"/>
          </w:tcPr>
          <w:p w14:paraId="0243B8C1" w14:textId="579B522F" w:rsidR="00343F71" w:rsidRDefault="00382130" w:rsidP="006D3136">
            <w:pPr>
              <w:jc w:val="left"/>
              <w:rPr>
                <w:color w:val="000000"/>
                <w:lang w:eastAsia="en-GB"/>
              </w:rPr>
            </w:pPr>
            <w:r>
              <w:rPr>
                <w:color w:val="000000"/>
                <w:lang w:eastAsia="en-GB"/>
              </w:rPr>
              <w:t>Member</w:t>
            </w:r>
          </w:p>
        </w:tc>
      </w:tr>
    </w:tbl>
    <w:p w14:paraId="1AFAE5B7" w14:textId="77777777" w:rsidR="004862DE" w:rsidRDefault="004862DE" w:rsidP="004862DE">
      <w:pPr>
        <w:pStyle w:val="Bullet2"/>
        <w:keepNext/>
        <w:numPr>
          <w:ilvl w:val="0"/>
          <w:numId w:val="0"/>
        </w:numPr>
        <w:contextualSpacing w:val="0"/>
        <w:rPr>
          <w:lang w:eastAsia="en-GB"/>
        </w:rPr>
      </w:pPr>
    </w:p>
    <w:p w14:paraId="19CF63E1" w14:textId="7112674B" w:rsidR="006724FF" w:rsidRDefault="006724FF" w:rsidP="006724FF">
      <w:pPr>
        <w:pStyle w:val="Bullet2"/>
        <w:keepNext/>
        <w:numPr>
          <w:ilvl w:val="0"/>
          <w:numId w:val="0"/>
        </w:numPr>
        <w:contextualSpacing w:val="0"/>
        <w:rPr>
          <w:lang w:eastAsia="en-GB"/>
        </w:rPr>
      </w:pPr>
      <w:r w:rsidRPr="00A21648">
        <w:rPr>
          <w:lang w:eastAsia="en-GB"/>
        </w:rPr>
        <w:t xml:space="preserve">All the members of the TWG should have either </w:t>
      </w:r>
      <w:r>
        <w:rPr>
          <w:lang w:eastAsia="en-GB"/>
        </w:rPr>
        <w:t>relevant CVA</w:t>
      </w:r>
      <w:r w:rsidRPr="00A21648">
        <w:rPr>
          <w:lang w:eastAsia="en-GB"/>
        </w:rPr>
        <w:t xml:space="preserve"> experience </w:t>
      </w:r>
      <w:r>
        <w:rPr>
          <w:lang w:eastAsia="en-GB"/>
        </w:rPr>
        <w:t xml:space="preserve">or exposure, </w:t>
      </w:r>
      <w:r w:rsidRPr="00A21648">
        <w:rPr>
          <w:lang w:eastAsia="en-GB"/>
        </w:rPr>
        <w:t>or should rece</w:t>
      </w:r>
      <w:r>
        <w:rPr>
          <w:lang w:eastAsia="en-GB"/>
        </w:rPr>
        <w:t xml:space="preserve">ive basic </w:t>
      </w:r>
      <w:r w:rsidR="001F24E2">
        <w:rPr>
          <w:lang w:eastAsia="en-GB"/>
        </w:rPr>
        <w:t xml:space="preserve">CVA </w:t>
      </w:r>
      <w:r>
        <w:rPr>
          <w:lang w:eastAsia="en-GB"/>
        </w:rPr>
        <w:t xml:space="preserve">training or </w:t>
      </w:r>
      <w:r w:rsidR="00BB309B">
        <w:rPr>
          <w:lang w:eastAsia="en-GB"/>
        </w:rPr>
        <w:t>awareness raising</w:t>
      </w:r>
      <w:r w:rsidRPr="00A21648">
        <w:rPr>
          <w:lang w:eastAsia="en-GB"/>
        </w:rPr>
        <w:t>, which can be refreshed o</w:t>
      </w:r>
      <w:r>
        <w:rPr>
          <w:lang w:eastAsia="en-GB"/>
        </w:rPr>
        <w:t xml:space="preserve">ver time through further </w:t>
      </w:r>
      <w:r w:rsidR="00BB309B">
        <w:rPr>
          <w:lang w:eastAsia="en-GB"/>
        </w:rPr>
        <w:t>traini</w:t>
      </w:r>
      <w:r w:rsidR="00BB309B" w:rsidRPr="00A21648">
        <w:rPr>
          <w:lang w:eastAsia="en-GB"/>
        </w:rPr>
        <w:t>ng</w:t>
      </w:r>
      <w:r w:rsidRPr="00A21648">
        <w:rPr>
          <w:lang w:eastAsia="en-GB"/>
        </w:rPr>
        <w:t xml:space="preserve"> or experience. </w:t>
      </w:r>
    </w:p>
    <w:p w14:paraId="4EB57A34" w14:textId="0D4A92FD" w:rsidR="006724FF" w:rsidRPr="004B3333" w:rsidRDefault="006724FF" w:rsidP="006724FF">
      <w:pPr>
        <w:rPr>
          <w:color w:val="000000"/>
          <w:lang w:eastAsia="en-GB"/>
        </w:rPr>
      </w:pPr>
      <w:r w:rsidRPr="6F23CE4A">
        <w:rPr>
          <w:lang w:eastAsia="en-GB"/>
        </w:rPr>
        <w:t>Each TWG member must commit realistic working time to support the work of the group, to ensure comprehensive CVAP progress can be made across the Society.  Not all members may need to commit the same amount of time, depending on their roles.</w:t>
      </w:r>
    </w:p>
    <w:p w14:paraId="231E08B7" w14:textId="77777777" w:rsidR="006724FF" w:rsidRPr="004B3333" w:rsidRDefault="006724FF" w:rsidP="006724FF">
      <w:pPr>
        <w:rPr>
          <w:lang w:eastAsia="en-GB"/>
        </w:rPr>
      </w:pPr>
      <w:r w:rsidRPr="00A21648">
        <w:rPr>
          <w:lang w:eastAsia="en-GB"/>
        </w:rPr>
        <w:t>If members cannot participate</w:t>
      </w:r>
      <w:r>
        <w:rPr>
          <w:lang w:eastAsia="en-GB"/>
        </w:rPr>
        <w:t xml:space="preserve"> in a meeting</w:t>
      </w:r>
      <w:r w:rsidRPr="00A21648">
        <w:rPr>
          <w:lang w:eastAsia="en-GB"/>
        </w:rPr>
        <w:t>, alternative representatives shou</w:t>
      </w:r>
      <w:r>
        <w:rPr>
          <w:lang w:eastAsia="en-GB"/>
        </w:rPr>
        <w:t xml:space="preserve">ld be sought.  </w:t>
      </w:r>
    </w:p>
    <w:p w14:paraId="52411691" w14:textId="77777777" w:rsidR="006724FF" w:rsidRDefault="006724FF" w:rsidP="006724FF">
      <w:pPr>
        <w:rPr>
          <w:color w:val="000000"/>
          <w:lang w:eastAsia="en-GB"/>
        </w:rPr>
      </w:pPr>
      <w:r w:rsidRPr="004B3333">
        <w:rPr>
          <w:color w:val="000000"/>
          <w:lang w:eastAsia="en-GB"/>
        </w:rPr>
        <w:t>Membership is subject to review and amendment by the TWG as necessary and approved by NS management.</w:t>
      </w:r>
    </w:p>
    <w:p w14:paraId="260B9A76" w14:textId="77777777" w:rsidR="006724FF" w:rsidRPr="004B3333" w:rsidRDefault="006724FF" w:rsidP="006724FF">
      <w:pPr>
        <w:rPr>
          <w:color w:val="000000"/>
          <w:lang w:eastAsia="en-GB"/>
        </w:rPr>
      </w:pPr>
      <w:r w:rsidRPr="004B3333">
        <w:rPr>
          <w:color w:val="000000"/>
          <w:lang w:eastAsia="en-GB"/>
        </w:rPr>
        <w:t>For NS with a large disaster management profile, it could be considered to include all DM managers at HQ and from relevant branches as automatic members</w:t>
      </w:r>
      <w:r>
        <w:rPr>
          <w:color w:val="000000"/>
          <w:lang w:eastAsia="en-GB"/>
        </w:rPr>
        <w:t>.</w:t>
      </w:r>
    </w:p>
    <w:p w14:paraId="6C28E6DE" w14:textId="597B24F3" w:rsidR="00617DC0" w:rsidRPr="005E7565" w:rsidRDefault="00617DC0" w:rsidP="6F23CE4A">
      <w:pPr>
        <w:rPr>
          <w:lang w:eastAsia="en-GB"/>
        </w:rPr>
      </w:pPr>
      <w:r>
        <w:rPr>
          <w:lang w:eastAsia="en-GB"/>
        </w:rPr>
        <w:t xml:space="preserve">Members of the TWG may </w:t>
      </w:r>
      <w:r w:rsidR="005E7565">
        <w:rPr>
          <w:lang w:eastAsia="en-GB"/>
        </w:rPr>
        <w:t xml:space="preserve">also </w:t>
      </w:r>
      <w:r>
        <w:rPr>
          <w:lang w:eastAsia="en-GB"/>
        </w:rPr>
        <w:t>be requested to lead on a certain piece within CVAP (</w:t>
      </w:r>
      <w:proofErr w:type="gramStart"/>
      <w:r>
        <w:rPr>
          <w:lang w:eastAsia="en-GB"/>
        </w:rPr>
        <w:t>e.g.</w:t>
      </w:r>
      <w:proofErr w:type="gramEnd"/>
      <w:r>
        <w:rPr>
          <w:lang w:eastAsia="en-GB"/>
        </w:rPr>
        <w:t xml:space="preserve"> mainstreaming of CVA into an existing training curriculum, carrying out FSP procurement processes, establishing IM systems within the NS, development of case studies, </w:t>
      </w:r>
      <w:r w:rsidR="000D5A4C">
        <w:rPr>
          <w:lang w:eastAsia="en-GB"/>
        </w:rPr>
        <w:t>etc.</w:t>
      </w:r>
      <w:r>
        <w:rPr>
          <w:lang w:eastAsia="en-GB"/>
        </w:rPr>
        <w:t>)</w:t>
      </w:r>
    </w:p>
    <w:p w14:paraId="52EFB536" w14:textId="77777777" w:rsidR="005E7565" w:rsidRPr="00D91FC1" w:rsidRDefault="005E7565" w:rsidP="005E7565">
      <w:pPr>
        <w:rPr>
          <w:b/>
          <w:sz w:val="22"/>
          <w:szCs w:val="22"/>
        </w:rPr>
      </w:pPr>
      <w:r w:rsidRPr="6F23CE4A">
        <w:rPr>
          <w:lang w:eastAsia="en-GB"/>
        </w:rPr>
        <w:t>The CVA TWG will be led by the CVA focal point and co-chaired by the Head of DM</w:t>
      </w:r>
    </w:p>
    <w:p w14:paraId="1995508D" w14:textId="77777777" w:rsidR="005E7565" w:rsidRDefault="005E7565" w:rsidP="00F57D0E">
      <w:pPr>
        <w:rPr>
          <w:b/>
          <w:sz w:val="22"/>
          <w:szCs w:val="22"/>
        </w:rPr>
      </w:pPr>
    </w:p>
    <w:p w14:paraId="45986952" w14:textId="2F7A1C3B" w:rsidR="00F57D0E" w:rsidRPr="000D5A4C" w:rsidRDefault="00F57D0E" w:rsidP="00F57D0E">
      <w:pPr>
        <w:rPr>
          <w:b/>
          <w:sz w:val="24"/>
          <w:szCs w:val="24"/>
        </w:rPr>
      </w:pPr>
      <w:r w:rsidRPr="000D5A4C">
        <w:rPr>
          <w:b/>
          <w:sz w:val="24"/>
          <w:szCs w:val="24"/>
        </w:rPr>
        <w:t>Frequency of meetings</w:t>
      </w:r>
    </w:p>
    <w:p w14:paraId="644AB747" w14:textId="612B3C9D" w:rsidR="00A83FA9" w:rsidRPr="00D91FC1" w:rsidRDefault="0F9E80D5" w:rsidP="00F57D0E">
      <w:r>
        <w:t>T</w:t>
      </w:r>
      <w:r w:rsidR="00A83FA9">
        <w:t xml:space="preserve">he TWG </w:t>
      </w:r>
      <w:r w:rsidR="7261C186">
        <w:t>will</w:t>
      </w:r>
      <w:r w:rsidR="00A83FA9">
        <w:t xml:space="preserve"> meet at least monthly for the first six months of its establishment.</w:t>
      </w:r>
      <w:r w:rsidR="00D32142">
        <w:t xml:space="preserve"> This may vary based on whether it is durin</w:t>
      </w:r>
      <w:r w:rsidR="00FA1E3A">
        <w:t>g an emergency or non-emergency. However, the TWG should not duplicate the work of the NS Emergency Task Force.</w:t>
      </w:r>
    </w:p>
    <w:p w14:paraId="030D476F" w14:textId="3B171E76" w:rsidR="00F57D0E" w:rsidRPr="00430A20" w:rsidRDefault="00A83FA9" w:rsidP="00430A20">
      <w:pPr>
        <w:pStyle w:val="ListParagraph"/>
        <w:numPr>
          <w:ilvl w:val="0"/>
          <w:numId w:val="22"/>
        </w:numPr>
      </w:pPr>
      <w:r>
        <w:t xml:space="preserve">The TWG </w:t>
      </w:r>
      <w:r w:rsidR="69A865C1">
        <w:t xml:space="preserve">will </w:t>
      </w:r>
      <w:r>
        <w:t>meet fortnightly</w:t>
      </w:r>
      <w:r w:rsidR="002D585C">
        <w:t>,</w:t>
      </w:r>
      <w:r>
        <w:t xml:space="preserve"> or more frequently</w:t>
      </w:r>
      <w:r w:rsidR="002D585C">
        <w:t>,</w:t>
      </w:r>
      <w:r>
        <w:t xml:space="preserve"> during the initial onset of an emergency, dropping </w:t>
      </w:r>
      <w:r w:rsidR="002D585C">
        <w:t>down</w:t>
      </w:r>
      <w:r>
        <w:t xml:space="preserve"> monthly once the response is underway</w:t>
      </w:r>
      <w:r w:rsidR="00D91FC1">
        <w:t>.</w:t>
      </w:r>
    </w:p>
    <w:p w14:paraId="7B90C7FA" w14:textId="18DBD223" w:rsidR="003F7BAA" w:rsidRPr="004B3333" w:rsidRDefault="003F7BAA" w:rsidP="00430A20">
      <w:pPr>
        <w:pStyle w:val="ListParagraph"/>
        <w:numPr>
          <w:ilvl w:val="0"/>
          <w:numId w:val="22"/>
        </w:numPr>
      </w:pPr>
      <w:r>
        <w:t xml:space="preserve">Needs during non-emergencies </w:t>
      </w:r>
      <w:r w:rsidR="46C45D9C">
        <w:t>will</w:t>
      </w:r>
      <w:r>
        <w:t xml:space="preserve"> be </w:t>
      </w:r>
      <w:r w:rsidR="002D585C">
        <w:t xml:space="preserve">agreed and reviewed by the NS. </w:t>
      </w:r>
      <w:r w:rsidR="004862DE">
        <w:t>Once CVAP is underway, s</w:t>
      </w:r>
      <w:r w:rsidR="002D585C">
        <w:t>uggested</w:t>
      </w:r>
      <w:r w:rsidR="00382130">
        <w:t xml:space="preserve"> frequency will be every two months or quarterly, or as </w:t>
      </w:r>
      <w:r w:rsidR="00551584">
        <w:t>specified by the CVAP monitoring and reporting tools.</w:t>
      </w:r>
    </w:p>
    <w:p w14:paraId="10EFC60E" w14:textId="5C81B871" w:rsidR="003F7BAA" w:rsidRPr="004B3333" w:rsidRDefault="00382130" w:rsidP="00430A20">
      <w:pPr>
        <w:pStyle w:val="ListParagraph"/>
        <w:numPr>
          <w:ilvl w:val="0"/>
          <w:numId w:val="22"/>
        </w:numPr>
      </w:pPr>
      <w:r>
        <w:t>While movement restrictions, (including Covid) are in place, r</w:t>
      </w:r>
      <w:r w:rsidR="003F7BAA">
        <w:t xml:space="preserve">emote Skype meetings can be held </w:t>
      </w:r>
      <w:r w:rsidR="002D585C">
        <w:t xml:space="preserve">as an option, </w:t>
      </w:r>
      <w:r w:rsidR="003F7BAA">
        <w:t xml:space="preserve">depending on the urgency of the </w:t>
      </w:r>
      <w:r w:rsidR="004862DE">
        <w:t>agenda</w:t>
      </w:r>
      <w:r w:rsidR="003F7BAA">
        <w:t>.</w:t>
      </w:r>
    </w:p>
    <w:p w14:paraId="41843BFB" w14:textId="5DC7B150" w:rsidR="002D585C" w:rsidRPr="004B3333" w:rsidRDefault="002D585C" w:rsidP="00430A20">
      <w:pPr>
        <w:pStyle w:val="ListParagraph"/>
        <w:numPr>
          <w:ilvl w:val="0"/>
          <w:numId w:val="22"/>
        </w:numPr>
      </w:pPr>
      <w:r w:rsidRPr="004B3333">
        <w:t xml:space="preserve">Funding may also limit the frequency of </w:t>
      </w:r>
      <w:r w:rsidR="00BB309B" w:rsidRPr="004B3333">
        <w:t>face-to-face</w:t>
      </w:r>
      <w:r w:rsidRPr="004B3333">
        <w:t xml:space="preserve"> meetings</w:t>
      </w:r>
      <w:r w:rsidR="00D91FC1" w:rsidRPr="004B3333">
        <w:t>.</w:t>
      </w:r>
    </w:p>
    <w:p w14:paraId="768E7E1B" w14:textId="77777777" w:rsidR="00A31BB9" w:rsidRDefault="00A31BB9" w:rsidP="00F57D0E">
      <w:pPr>
        <w:rPr>
          <w:b/>
          <w:sz w:val="24"/>
          <w:szCs w:val="24"/>
        </w:rPr>
      </w:pPr>
    </w:p>
    <w:p w14:paraId="7A99D208" w14:textId="66917DA8" w:rsidR="00F57D0E" w:rsidRPr="000D5A4C" w:rsidRDefault="00F57D0E" w:rsidP="00F57D0E">
      <w:pPr>
        <w:rPr>
          <w:b/>
          <w:sz w:val="24"/>
          <w:szCs w:val="24"/>
        </w:rPr>
      </w:pPr>
      <w:r w:rsidRPr="000D5A4C">
        <w:rPr>
          <w:b/>
          <w:sz w:val="24"/>
          <w:szCs w:val="24"/>
        </w:rPr>
        <w:t>Reporting</w:t>
      </w:r>
    </w:p>
    <w:p w14:paraId="28D56873" w14:textId="001D586F" w:rsidR="004862DE" w:rsidRDefault="004862DE" w:rsidP="00F57D0E">
      <w:r>
        <w:t xml:space="preserve">All </w:t>
      </w:r>
      <w:r w:rsidR="003F7BAA">
        <w:t xml:space="preserve">TWG meetings </w:t>
      </w:r>
      <w:r w:rsidR="3B166D85">
        <w:t>must</w:t>
      </w:r>
      <w:r>
        <w:t xml:space="preserve"> be</w:t>
      </w:r>
      <w:r w:rsidR="003F7BAA">
        <w:t xml:space="preserve"> </w:t>
      </w:r>
      <w:r w:rsidR="000D5A4C">
        <w:t>documented,</w:t>
      </w:r>
      <w:r w:rsidR="003F7BAA">
        <w:t xml:space="preserve"> and minutes made available for attendees, and wider Movement audiences</w:t>
      </w:r>
      <w:r>
        <w:t xml:space="preserve"> at HQ, the Branches and within the Movement, when necessary. </w:t>
      </w:r>
    </w:p>
    <w:p w14:paraId="4807B0A0" w14:textId="6B5129CD" w:rsidR="003F7BAA" w:rsidRDefault="003F7BAA" w:rsidP="00F57D0E">
      <w:r>
        <w:t xml:space="preserve">The CVA focal point </w:t>
      </w:r>
      <w:r w:rsidR="7A038624">
        <w:t>is</w:t>
      </w:r>
      <w:r>
        <w:t xml:space="preserve"> responsible for ensuring that accurate minutes are taken </w:t>
      </w:r>
      <w:r w:rsidR="004862DE">
        <w:t>and disseminated.</w:t>
      </w:r>
    </w:p>
    <w:p w14:paraId="2EA52A96" w14:textId="366E1A6D" w:rsidR="00D91FC1" w:rsidRPr="003F7BAA" w:rsidRDefault="002D585C" w:rsidP="00F57D0E">
      <w:r>
        <w:t xml:space="preserve">The CVA focal point </w:t>
      </w:r>
      <w:r w:rsidR="63AEFD77">
        <w:t>will</w:t>
      </w:r>
      <w:r>
        <w:t xml:space="preserve"> ensure an </w:t>
      </w:r>
      <w:r w:rsidR="000D5A4C">
        <w:t>up-to-date</w:t>
      </w:r>
      <w:r>
        <w:t xml:space="preserve"> log of decisions, risk register and </w:t>
      </w:r>
      <w:r w:rsidR="004862DE">
        <w:t xml:space="preserve">CVAP </w:t>
      </w:r>
      <w:r>
        <w:t>planning tracker is kept.</w:t>
      </w:r>
    </w:p>
    <w:p w14:paraId="2905F285" w14:textId="77777777" w:rsidR="00F57D0E" w:rsidRPr="00A21648" w:rsidRDefault="00F57D0E" w:rsidP="00F57D0E">
      <w:pPr>
        <w:pStyle w:val="Bullet2"/>
        <w:numPr>
          <w:ilvl w:val="0"/>
          <w:numId w:val="0"/>
        </w:numPr>
        <w:contextualSpacing w:val="0"/>
        <w:rPr>
          <w:lang w:eastAsia="en-GB"/>
        </w:rPr>
      </w:pPr>
    </w:p>
    <w:sectPr w:rsidR="00F57D0E" w:rsidRPr="00A21648" w:rsidSect="0098529C">
      <w:headerReference w:type="default" r:id="rId10"/>
      <w:footerReference w:type="even" r:id="rId11"/>
      <w:footerReference w:type="default" r:id="rId12"/>
      <w:footerReference w:type="first" r:id="rId13"/>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EF5F" w14:textId="77777777" w:rsidR="003B6607" w:rsidRDefault="003B6607" w:rsidP="00AF5FEA">
      <w:r>
        <w:separator/>
      </w:r>
    </w:p>
    <w:p w14:paraId="5102E215" w14:textId="77777777" w:rsidR="003B6607" w:rsidRDefault="003B6607"/>
  </w:endnote>
  <w:endnote w:type="continuationSeparator" w:id="0">
    <w:p w14:paraId="2ADD1725" w14:textId="77777777" w:rsidR="003B6607" w:rsidRDefault="003B6607" w:rsidP="00AF5FEA">
      <w:r>
        <w:continuationSeparator/>
      </w:r>
    </w:p>
    <w:p w14:paraId="7ECDB6B0" w14:textId="77777777" w:rsidR="003B6607" w:rsidRDefault="003B6607"/>
  </w:endnote>
  <w:endnote w:type="continuationNotice" w:id="1">
    <w:p w14:paraId="06D8BB8E" w14:textId="77777777" w:rsidR="003B6607" w:rsidRDefault="003B66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DC58" w14:textId="2DB7CDDA" w:rsidR="00551584" w:rsidRDefault="00551584" w:rsidP="00B57B50">
    <w:pPr>
      <w:pStyle w:val="Footer"/>
      <w:framePr w:wrap="around" w:vAnchor="text" w:hAnchor="margin" w:xAlign="right" w:y="1"/>
      <w:rPr>
        <w:rStyle w:val="PageNumber"/>
      </w:rPr>
    </w:pPr>
    <w:r>
      <w:rPr>
        <w:b/>
        <w:noProof/>
      </w:rPr>
      <mc:AlternateContent>
        <mc:Choice Requires="wps">
          <w:drawing>
            <wp:anchor distT="0" distB="0" distL="0" distR="0" simplePos="0" relativeHeight="251658241" behindDoc="0" locked="0" layoutInCell="1" allowOverlap="1" wp14:anchorId="7F60E8AD" wp14:editId="6518D693">
              <wp:simplePos x="635" y="635"/>
              <wp:positionH relativeFrom="leftMargin">
                <wp:align>left</wp:align>
              </wp:positionH>
              <wp:positionV relativeFrom="paragraph">
                <wp:posOffset>635</wp:posOffset>
              </wp:positionV>
              <wp:extent cx="469265" cy="231140"/>
              <wp:effectExtent l="0" t="0" r="6985" b="16510"/>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69265" cy="231140"/>
                      </a:xfrm>
                      <a:prstGeom prst="rect">
                        <a:avLst/>
                      </a:prstGeom>
                      <a:noFill/>
                      <a:ln>
                        <a:noFill/>
                      </a:ln>
                    </wps:spPr>
                    <wps:txbx>
                      <w:txbxContent>
                        <w:p w14:paraId="3B01CFDC" w14:textId="4F8FF8C6" w:rsidR="00551584" w:rsidRPr="00482F89" w:rsidRDefault="00551584">
                          <w:pPr>
                            <w:rPr>
                              <w:rFonts w:ascii="Calibri" w:eastAsia="Calibri" w:hAnsi="Calibri" w:cs="Calibri"/>
                              <w:color w:val="000000"/>
                            </w:rPr>
                          </w:pPr>
                          <w:r w:rsidRPr="00482F89">
                            <w:rPr>
                              <w:rFonts w:ascii="Calibri" w:eastAsia="Calibri" w:hAnsi="Calibri" w:cs="Calibri"/>
                              <w:color w:val="00000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F60E8AD" id="_x0000_t202" coordsize="21600,21600" o:spt="202" path="m,l,21600r21600,l21600,xe">
              <v:stroke joinstyle="miter"/>
              <v:path gradientshapeok="t" o:connecttype="rect"/>
            </v:shapetype>
            <v:shape id="Text Box 2" o:spid="_x0000_s1026" type="#_x0000_t202" alt="Internal" style="position:absolute;margin-left:0;margin-top:.05pt;width:36.95pt;height:18.2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" filled="f" stroked="f">
              <v:textbox style="mso-fit-shape-to-text:t" inset="5pt,0,0,0">
                <w:txbxContent>
                  <w:p w14:paraId="3B01CFDC" w14:textId="4F8FF8C6" w:rsidR="00551584" w:rsidRPr="00482F89" w:rsidRDefault="00551584">
                    <w:pPr>
                      <w:rPr>
                        <w:rFonts w:ascii="Calibri" w:eastAsia="Calibri" w:hAnsi="Calibri" w:cs="Calibri"/>
                        <w:color w:val="000000"/>
                      </w:rPr>
                    </w:pPr>
                    <w:r w:rsidRPr="00482F89">
                      <w:rPr>
                        <w:rFonts w:ascii="Calibri" w:eastAsia="Calibri" w:hAnsi="Calibri" w:cs="Calibri"/>
                        <w:color w:val="000000"/>
                      </w:rPr>
                      <w:t>Internal</w:t>
                    </w:r>
                  </w:p>
                </w:txbxContent>
              </v:textbox>
              <w10:wrap type="square" anchorx="margin"/>
            </v:shape>
          </w:pict>
        </mc:Fallback>
      </mc:AlternateConten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2DF058" w14:textId="77777777" w:rsidR="00551584" w:rsidRDefault="00551584" w:rsidP="00B57B50">
    <w:pPr>
      <w:pStyle w:val="Footer"/>
      <w:ind w:right="360"/>
    </w:pPr>
  </w:p>
  <w:p w14:paraId="4A640F0E" w14:textId="77777777" w:rsidR="00551584" w:rsidRDefault="005515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9FF" w14:textId="5F86B938" w:rsidR="00551584" w:rsidRPr="00211B44" w:rsidRDefault="00D320A7" w:rsidP="00DE61F7">
    <w:pPr>
      <w:pStyle w:val="Footer"/>
    </w:pPr>
    <w:r w:rsidRPr="00CA1F17">
      <w:rPr>
        <w:color w:val="DC281E"/>
      </w:rPr>
      <w:t xml:space="preserve">Component 1.2 Organizational structure </w:t>
    </w:r>
    <w:r w:rsidRPr="002B5D03">
      <w:rPr>
        <w:rStyle w:val="PageNumber"/>
        <w:bCs/>
        <w:szCs w:val="16"/>
      </w:rPr>
      <w:t>I</w:t>
    </w:r>
    <w:r>
      <w:rPr>
        <w:rStyle w:val="PageNumber"/>
        <w:bCs/>
        <w:szCs w:val="16"/>
      </w:rPr>
      <w:t xml:space="preserve"> </w:t>
    </w:r>
    <w:r w:rsidR="00211B44">
      <w:rPr>
        <w:rStyle w:val="PageNumber"/>
        <w:bCs/>
        <w:szCs w:val="16"/>
      </w:rPr>
      <w:t>Terms of Reference</w:t>
    </w:r>
    <w:r w:rsidR="00CA1F17">
      <w:rPr>
        <w:rStyle w:val="PageNumber"/>
        <w:bCs/>
        <w:szCs w:val="16"/>
      </w:rPr>
      <w:t xml:space="preserve"> (</w:t>
    </w:r>
    <w:proofErr w:type="spellStart"/>
    <w:r w:rsidR="00CA1F17">
      <w:rPr>
        <w:rStyle w:val="PageNumber"/>
        <w:bCs/>
        <w:szCs w:val="16"/>
      </w:rPr>
      <w:t>ToR</w:t>
    </w:r>
    <w:proofErr w:type="spellEnd"/>
    <w:r w:rsidR="00CA1F17">
      <w:rPr>
        <w:rStyle w:val="PageNumber"/>
        <w:bCs/>
        <w:szCs w:val="16"/>
      </w:rPr>
      <w:t>)</w:t>
    </w:r>
    <w:r w:rsidR="00211B44">
      <w:rPr>
        <w:rStyle w:val="PageNumber"/>
        <w:bCs/>
        <w:szCs w:val="16"/>
      </w:rPr>
      <w:t xml:space="preserve"> – CVA Technical Working Group (TWG)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53E6" w14:textId="4A754123" w:rsidR="00551584" w:rsidRDefault="00551584">
    <w:pPr>
      <w:pStyle w:val="Footer"/>
    </w:pPr>
    <w:r>
      <w:rPr>
        <w:noProof/>
      </w:rPr>
      <mc:AlternateContent>
        <mc:Choice Requires="wps">
          <w:drawing>
            <wp:anchor distT="0" distB="0" distL="0" distR="0" simplePos="0" relativeHeight="251658240" behindDoc="0" locked="0" layoutInCell="1" allowOverlap="1" wp14:anchorId="0F50C00C" wp14:editId="73FC672F">
              <wp:simplePos x="635" y="635"/>
              <wp:positionH relativeFrom="leftMargin">
                <wp:align>left</wp:align>
              </wp:positionH>
              <wp:positionV relativeFrom="paragraph">
                <wp:posOffset>635</wp:posOffset>
              </wp:positionV>
              <wp:extent cx="469265" cy="231140"/>
              <wp:effectExtent l="0" t="0" r="6985" b="1651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69265" cy="231140"/>
                      </a:xfrm>
                      <a:prstGeom prst="rect">
                        <a:avLst/>
                      </a:prstGeom>
                      <a:noFill/>
                      <a:ln>
                        <a:noFill/>
                      </a:ln>
                    </wps:spPr>
                    <wps:txbx>
                      <w:txbxContent>
                        <w:p w14:paraId="4A5D93C3" w14:textId="02FA714A" w:rsidR="00551584" w:rsidRPr="00482F89" w:rsidRDefault="00551584">
                          <w:pPr>
                            <w:rPr>
                              <w:rFonts w:ascii="Calibri" w:eastAsia="Calibri" w:hAnsi="Calibri" w:cs="Calibri"/>
                              <w:color w:val="000000"/>
                            </w:rPr>
                          </w:pPr>
                          <w:r w:rsidRPr="00482F89">
                            <w:rPr>
                              <w:rFonts w:ascii="Calibri" w:eastAsia="Calibri" w:hAnsi="Calibri" w:cs="Calibri"/>
                              <w:color w:val="00000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50C00C" id="_x0000_t202" coordsize="21600,21600" o:spt="202" path="m,l,21600r21600,l21600,xe">
              <v:stroke joinstyle="miter"/>
              <v:path gradientshapeok="t" o:connecttype="rect"/>
            </v:shapetype>
            <v:shape id="Text Box 1" o:spid="_x0000_s1027" type="#_x0000_t202" alt="Internal" style="position:absolute;margin-left:0;margin-top:.05pt;width:36.95pt;height:18.2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" filled="f" stroked="f">
              <v:textbox style="mso-fit-shape-to-text:t" inset="5pt,0,0,0">
                <w:txbxContent>
                  <w:p w14:paraId="4A5D93C3" w14:textId="02FA714A" w:rsidR="00551584" w:rsidRPr="00482F89" w:rsidRDefault="00551584">
                    <w:pPr>
                      <w:rPr>
                        <w:rFonts w:ascii="Calibri" w:eastAsia="Calibri" w:hAnsi="Calibri" w:cs="Calibri"/>
                        <w:color w:val="000000"/>
                      </w:rPr>
                    </w:pPr>
                    <w:r w:rsidRPr="00482F89">
                      <w:rPr>
                        <w:rFonts w:ascii="Calibri" w:eastAsia="Calibri" w:hAnsi="Calibri" w:cs="Calibri"/>
                        <w:color w:val="000000"/>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E606" w14:textId="77777777" w:rsidR="003B6607" w:rsidRDefault="003B6607" w:rsidP="00F24AD6">
      <w:pPr>
        <w:spacing w:after="0"/>
      </w:pPr>
      <w:r>
        <w:separator/>
      </w:r>
    </w:p>
  </w:footnote>
  <w:footnote w:type="continuationSeparator" w:id="0">
    <w:p w14:paraId="1D164E59" w14:textId="77777777" w:rsidR="003B6607" w:rsidRDefault="003B6607" w:rsidP="00AF5FEA">
      <w:r>
        <w:continuationSeparator/>
      </w:r>
    </w:p>
    <w:p w14:paraId="7BC87D1B" w14:textId="77777777" w:rsidR="003B6607" w:rsidRDefault="003B6607"/>
  </w:footnote>
  <w:footnote w:type="continuationNotice" w:id="1">
    <w:p w14:paraId="6C52CCF2" w14:textId="77777777" w:rsidR="003B6607" w:rsidRDefault="003B66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8316" w14:textId="77777777" w:rsidR="00551584" w:rsidRPr="00074036" w:rsidRDefault="00551584" w:rsidP="00DE61F7">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51DE0"/>
    <w:multiLevelType w:val="hybridMultilevel"/>
    <w:tmpl w:val="BA4EE8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E981CB5"/>
    <w:multiLevelType w:val="hybridMultilevel"/>
    <w:tmpl w:val="70D2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19A1"/>
    <w:multiLevelType w:val="hybridMultilevel"/>
    <w:tmpl w:val="C4D809F8"/>
    <w:lvl w:ilvl="0" w:tplc="5C8A9D78">
      <w:start w:val="1"/>
      <w:numFmt w:val="bullet"/>
      <w:lvlText w:val=""/>
      <w:lvlJc w:val="left"/>
      <w:pPr>
        <w:ind w:left="720" w:hanging="360"/>
      </w:pPr>
      <w:rPr>
        <w:rFonts w:ascii="Symbol" w:hAnsi="Symbol" w:hint="default"/>
        <w:color w:val="DC281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164"/>
    <w:multiLevelType w:val="hybridMultilevel"/>
    <w:tmpl w:val="9C644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07EF4"/>
    <w:multiLevelType w:val="hybridMultilevel"/>
    <w:tmpl w:val="CEAC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B16AB"/>
    <w:multiLevelType w:val="hybridMultilevel"/>
    <w:tmpl w:val="0EAA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881"/>
    <w:multiLevelType w:val="hybridMultilevel"/>
    <w:tmpl w:val="DFE4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219AB"/>
    <w:multiLevelType w:val="hybridMultilevel"/>
    <w:tmpl w:val="BEFC6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73369F"/>
    <w:multiLevelType w:val="hybridMultilevel"/>
    <w:tmpl w:val="8666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B4F52"/>
    <w:multiLevelType w:val="hybridMultilevel"/>
    <w:tmpl w:val="E6CCAA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40C56"/>
    <w:multiLevelType w:val="hybridMultilevel"/>
    <w:tmpl w:val="CAAA55CA"/>
    <w:lvl w:ilvl="0" w:tplc="5C8A9D78">
      <w:start w:val="1"/>
      <w:numFmt w:val="bullet"/>
      <w:lvlText w:val=""/>
      <w:lvlJc w:val="left"/>
      <w:pPr>
        <w:ind w:left="720" w:hanging="360"/>
      </w:pPr>
      <w:rPr>
        <w:rFonts w:ascii="Symbol" w:hAnsi="Symbol" w:hint="default"/>
        <w:color w:val="DC281E"/>
      </w:rPr>
    </w:lvl>
    <w:lvl w:ilvl="1" w:tplc="C5DE6562">
      <w:start w:val="1"/>
      <w:numFmt w:val="bullet"/>
      <w:lvlText w:val=""/>
      <w:lvlJc w:val="left"/>
      <w:pPr>
        <w:ind w:left="1440" w:hanging="360"/>
      </w:pPr>
      <w:rPr>
        <w:rFonts w:ascii="Symbol" w:hAnsi="Symbol" w:hint="default"/>
        <w:b/>
        <w:color w:val="DC281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00AFB"/>
    <w:multiLevelType w:val="hybridMultilevel"/>
    <w:tmpl w:val="E4C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E51A8"/>
    <w:multiLevelType w:val="hybridMultilevel"/>
    <w:tmpl w:val="155A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03915"/>
    <w:multiLevelType w:val="hybridMultilevel"/>
    <w:tmpl w:val="42BA2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2A79CE"/>
    <w:multiLevelType w:val="hybridMultilevel"/>
    <w:tmpl w:val="2B12B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35C7E23"/>
    <w:multiLevelType w:val="hybridMultilevel"/>
    <w:tmpl w:val="92706D8A"/>
    <w:lvl w:ilvl="0" w:tplc="CAD4AE2E">
      <w:start w:val="1"/>
      <w:numFmt w:val="bullet"/>
      <w:pStyle w:val="Bullet3"/>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5680756"/>
    <w:multiLevelType w:val="hybridMultilevel"/>
    <w:tmpl w:val="4B3C9DA8"/>
    <w:lvl w:ilvl="0" w:tplc="04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A00AB5"/>
    <w:multiLevelType w:val="hybridMultilevel"/>
    <w:tmpl w:val="15FE1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17"/>
  </w:num>
  <w:num w:numId="5">
    <w:abstractNumId w:val="20"/>
  </w:num>
  <w:num w:numId="6">
    <w:abstractNumId w:val="19"/>
  </w:num>
  <w:num w:numId="7">
    <w:abstractNumId w:val="2"/>
  </w:num>
  <w:num w:numId="8">
    <w:abstractNumId w:val="7"/>
  </w:num>
  <w:num w:numId="9">
    <w:abstractNumId w:val="11"/>
  </w:num>
  <w:num w:numId="10">
    <w:abstractNumId w:val="14"/>
  </w:num>
  <w:num w:numId="11">
    <w:abstractNumId w:val="5"/>
  </w:num>
  <w:num w:numId="12">
    <w:abstractNumId w:val="21"/>
  </w:num>
  <w:num w:numId="13">
    <w:abstractNumId w:val="16"/>
  </w:num>
  <w:num w:numId="14">
    <w:abstractNumId w:val="15"/>
  </w:num>
  <w:num w:numId="15">
    <w:abstractNumId w:val="1"/>
  </w:num>
  <w:num w:numId="16">
    <w:abstractNumId w:val="8"/>
  </w:num>
  <w:num w:numId="17">
    <w:abstractNumId w:val="13"/>
  </w:num>
  <w:num w:numId="18">
    <w:abstractNumId w:val="9"/>
  </w:num>
  <w:num w:numId="19">
    <w:abstractNumId w:val="4"/>
  </w:num>
  <w:num w:numId="20">
    <w:abstractNumId w:val="10"/>
  </w:num>
  <w:num w:numId="21">
    <w:abstractNumId w:val="22"/>
  </w:num>
  <w:num w:numId="22">
    <w:abstractNumId w:val="3"/>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0E"/>
    <w:rsid w:val="0003746D"/>
    <w:rsid w:val="000804C9"/>
    <w:rsid w:val="0009493B"/>
    <w:rsid w:val="000A5A0E"/>
    <w:rsid w:val="000C0108"/>
    <w:rsid w:val="000C015A"/>
    <w:rsid w:val="000D5A4C"/>
    <w:rsid w:val="000E2664"/>
    <w:rsid w:val="00127BF5"/>
    <w:rsid w:val="0015176D"/>
    <w:rsid w:val="00164699"/>
    <w:rsid w:val="001705E9"/>
    <w:rsid w:val="00170678"/>
    <w:rsid w:val="001A5FCE"/>
    <w:rsid w:val="001B304A"/>
    <w:rsid w:val="001C6BC7"/>
    <w:rsid w:val="001F170C"/>
    <w:rsid w:val="001F24E2"/>
    <w:rsid w:val="001F5B26"/>
    <w:rsid w:val="002037D4"/>
    <w:rsid w:val="00211B44"/>
    <w:rsid w:val="00281157"/>
    <w:rsid w:val="002D3AA7"/>
    <w:rsid w:val="002D585C"/>
    <w:rsid w:val="00311C5D"/>
    <w:rsid w:val="003302F9"/>
    <w:rsid w:val="00340AAA"/>
    <w:rsid w:val="003417FD"/>
    <w:rsid w:val="00342964"/>
    <w:rsid w:val="00343F71"/>
    <w:rsid w:val="00345A64"/>
    <w:rsid w:val="003600D0"/>
    <w:rsid w:val="003652BF"/>
    <w:rsid w:val="00382130"/>
    <w:rsid w:val="003B6607"/>
    <w:rsid w:val="003C6E1C"/>
    <w:rsid w:val="003D05DB"/>
    <w:rsid w:val="003F7BAA"/>
    <w:rsid w:val="004063F7"/>
    <w:rsid w:val="004131DF"/>
    <w:rsid w:val="00430A20"/>
    <w:rsid w:val="00431C6C"/>
    <w:rsid w:val="00447D73"/>
    <w:rsid w:val="0046094E"/>
    <w:rsid w:val="00482F89"/>
    <w:rsid w:val="004862DE"/>
    <w:rsid w:val="00495680"/>
    <w:rsid w:val="004A4558"/>
    <w:rsid w:val="004B330F"/>
    <w:rsid w:val="004B3333"/>
    <w:rsid w:val="004D667D"/>
    <w:rsid w:val="004E6F53"/>
    <w:rsid w:val="004F665C"/>
    <w:rsid w:val="00506DBF"/>
    <w:rsid w:val="00510A94"/>
    <w:rsid w:val="00511FF0"/>
    <w:rsid w:val="0052052A"/>
    <w:rsid w:val="0054634C"/>
    <w:rsid w:val="00551584"/>
    <w:rsid w:val="005574F8"/>
    <w:rsid w:val="005A4BEF"/>
    <w:rsid w:val="005E7565"/>
    <w:rsid w:val="005F243C"/>
    <w:rsid w:val="00600A49"/>
    <w:rsid w:val="00617DC0"/>
    <w:rsid w:val="00644235"/>
    <w:rsid w:val="006724FF"/>
    <w:rsid w:val="00695B45"/>
    <w:rsid w:val="006C7A42"/>
    <w:rsid w:val="006D3136"/>
    <w:rsid w:val="006E6E2B"/>
    <w:rsid w:val="006E712A"/>
    <w:rsid w:val="007036B2"/>
    <w:rsid w:val="007312DE"/>
    <w:rsid w:val="00736385"/>
    <w:rsid w:val="00751C69"/>
    <w:rsid w:val="007706E2"/>
    <w:rsid w:val="007E041F"/>
    <w:rsid w:val="007F7D9D"/>
    <w:rsid w:val="00806822"/>
    <w:rsid w:val="00834A1C"/>
    <w:rsid w:val="00862EDC"/>
    <w:rsid w:val="00884591"/>
    <w:rsid w:val="008B55B6"/>
    <w:rsid w:val="008C0FA7"/>
    <w:rsid w:val="008F3060"/>
    <w:rsid w:val="00917FAC"/>
    <w:rsid w:val="0098529C"/>
    <w:rsid w:val="00990576"/>
    <w:rsid w:val="009A3566"/>
    <w:rsid w:val="009A3FD0"/>
    <w:rsid w:val="009D683F"/>
    <w:rsid w:val="00A10002"/>
    <w:rsid w:val="00A11574"/>
    <w:rsid w:val="00A21648"/>
    <w:rsid w:val="00A31BB9"/>
    <w:rsid w:val="00A3686F"/>
    <w:rsid w:val="00A8292C"/>
    <w:rsid w:val="00A833A3"/>
    <w:rsid w:val="00A83FA9"/>
    <w:rsid w:val="00A8400E"/>
    <w:rsid w:val="00A853F9"/>
    <w:rsid w:val="00AB21CA"/>
    <w:rsid w:val="00AE110C"/>
    <w:rsid w:val="00AF5FEA"/>
    <w:rsid w:val="00B27558"/>
    <w:rsid w:val="00B36CDC"/>
    <w:rsid w:val="00B57B50"/>
    <w:rsid w:val="00B6256B"/>
    <w:rsid w:val="00B67F24"/>
    <w:rsid w:val="00BB309B"/>
    <w:rsid w:val="00BD352E"/>
    <w:rsid w:val="00BD6921"/>
    <w:rsid w:val="00BD7271"/>
    <w:rsid w:val="00BE131C"/>
    <w:rsid w:val="00BF01EE"/>
    <w:rsid w:val="00BF0FB1"/>
    <w:rsid w:val="00C02990"/>
    <w:rsid w:val="00C054D8"/>
    <w:rsid w:val="00C1718C"/>
    <w:rsid w:val="00C3478B"/>
    <w:rsid w:val="00C41879"/>
    <w:rsid w:val="00C5530A"/>
    <w:rsid w:val="00C62B57"/>
    <w:rsid w:val="00C9099E"/>
    <w:rsid w:val="00CA1F17"/>
    <w:rsid w:val="00CC7675"/>
    <w:rsid w:val="00CE6435"/>
    <w:rsid w:val="00D109F3"/>
    <w:rsid w:val="00D1665D"/>
    <w:rsid w:val="00D222A3"/>
    <w:rsid w:val="00D25960"/>
    <w:rsid w:val="00D320A7"/>
    <w:rsid w:val="00D32142"/>
    <w:rsid w:val="00D829A9"/>
    <w:rsid w:val="00D91FC1"/>
    <w:rsid w:val="00DA6CB2"/>
    <w:rsid w:val="00DB6863"/>
    <w:rsid w:val="00DD4F0D"/>
    <w:rsid w:val="00DD7109"/>
    <w:rsid w:val="00DE61F7"/>
    <w:rsid w:val="00DF200C"/>
    <w:rsid w:val="00E07E15"/>
    <w:rsid w:val="00E27BFE"/>
    <w:rsid w:val="00E34C5C"/>
    <w:rsid w:val="00E40A2E"/>
    <w:rsid w:val="00E55BF2"/>
    <w:rsid w:val="00E70465"/>
    <w:rsid w:val="00E7193B"/>
    <w:rsid w:val="00E945A9"/>
    <w:rsid w:val="00E970DC"/>
    <w:rsid w:val="00EA1CF2"/>
    <w:rsid w:val="00EA4946"/>
    <w:rsid w:val="00EA79E5"/>
    <w:rsid w:val="00ED4949"/>
    <w:rsid w:val="00F012F5"/>
    <w:rsid w:val="00F24AD6"/>
    <w:rsid w:val="00F25912"/>
    <w:rsid w:val="00F30E98"/>
    <w:rsid w:val="00F33EB4"/>
    <w:rsid w:val="00F41831"/>
    <w:rsid w:val="00F57D0E"/>
    <w:rsid w:val="00F7672F"/>
    <w:rsid w:val="00F80A98"/>
    <w:rsid w:val="00FA1E3A"/>
    <w:rsid w:val="00FF3CC9"/>
    <w:rsid w:val="036EF699"/>
    <w:rsid w:val="03DF6667"/>
    <w:rsid w:val="066108F4"/>
    <w:rsid w:val="06960FBD"/>
    <w:rsid w:val="07B2D423"/>
    <w:rsid w:val="09CE9338"/>
    <w:rsid w:val="0A285B52"/>
    <w:rsid w:val="0CDB3318"/>
    <w:rsid w:val="0DB4FCA7"/>
    <w:rsid w:val="0F9E80D5"/>
    <w:rsid w:val="0FA82A04"/>
    <w:rsid w:val="1247AFEF"/>
    <w:rsid w:val="14516F7A"/>
    <w:rsid w:val="145858ED"/>
    <w:rsid w:val="15B06848"/>
    <w:rsid w:val="179FF67A"/>
    <w:rsid w:val="1B978256"/>
    <w:rsid w:val="2006AE0A"/>
    <w:rsid w:val="223A1A50"/>
    <w:rsid w:val="28672565"/>
    <w:rsid w:val="2E81E988"/>
    <w:rsid w:val="30411882"/>
    <w:rsid w:val="32688619"/>
    <w:rsid w:val="33332ADD"/>
    <w:rsid w:val="371A8367"/>
    <w:rsid w:val="387322F9"/>
    <w:rsid w:val="3A2372B9"/>
    <w:rsid w:val="3A42A905"/>
    <w:rsid w:val="3A975E44"/>
    <w:rsid w:val="3B166D85"/>
    <w:rsid w:val="3BAF99BB"/>
    <w:rsid w:val="3FA51649"/>
    <w:rsid w:val="400206A5"/>
    <w:rsid w:val="43883B34"/>
    <w:rsid w:val="46C45D9C"/>
    <w:rsid w:val="4721104C"/>
    <w:rsid w:val="48C4E9F4"/>
    <w:rsid w:val="48C8E08B"/>
    <w:rsid w:val="519C8BF5"/>
    <w:rsid w:val="53A40714"/>
    <w:rsid w:val="5AFC79E0"/>
    <w:rsid w:val="5C549456"/>
    <w:rsid w:val="5D3BAC66"/>
    <w:rsid w:val="60F38E44"/>
    <w:rsid w:val="61AB8353"/>
    <w:rsid w:val="61F1A932"/>
    <w:rsid w:val="63AEFD77"/>
    <w:rsid w:val="643F5AA1"/>
    <w:rsid w:val="64F85AFB"/>
    <w:rsid w:val="657256E6"/>
    <w:rsid w:val="69A865C1"/>
    <w:rsid w:val="6B8B949B"/>
    <w:rsid w:val="6C4CFC3B"/>
    <w:rsid w:val="6DBD36AE"/>
    <w:rsid w:val="6F23CE4A"/>
    <w:rsid w:val="7261C186"/>
    <w:rsid w:val="72716A9D"/>
    <w:rsid w:val="73F33235"/>
    <w:rsid w:val="75BF6898"/>
    <w:rsid w:val="75DDE5AB"/>
    <w:rsid w:val="75E9195B"/>
    <w:rsid w:val="7705DDC1"/>
    <w:rsid w:val="7800755F"/>
    <w:rsid w:val="784276F6"/>
    <w:rsid w:val="790B8337"/>
    <w:rsid w:val="7920BA1D"/>
    <w:rsid w:val="7A038624"/>
    <w:rsid w:val="7C585ADF"/>
    <w:rsid w:val="7C64BF2D"/>
    <w:rsid w:val="7DDB00B3"/>
    <w:rsid w:val="7E17424E"/>
    <w:rsid w:val="7F8FFBA1"/>
    <w:rsid w:val="7FA6AA5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E6AF0"/>
  <w15:docId w15:val="{F244A9D6-FDC5-4838-8A15-1994C407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18C"/>
    <w:pPr>
      <w:spacing w:after="120"/>
      <w:jc w:val="both"/>
    </w:pPr>
    <w:rPr>
      <w:rFonts w:ascii="Arial" w:hAnsi="Arial" w:cs="Times New Roman"/>
    </w:rPr>
  </w:style>
  <w:style w:type="paragraph" w:styleId="Heading1">
    <w:name w:val="heading 1"/>
    <w:basedOn w:val="H1"/>
    <w:next w:val="Normal"/>
    <w:link w:val="Heading1Char"/>
    <w:uiPriority w:val="9"/>
    <w:rsid w:val="00C1718C"/>
  </w:style>
  <w:style w:type="paragraph" w:styleId="Heading2">
    <w:name w:val="heading 2"/>
    <w:basedOn w:val="Normal"/>
    <w:next w:val="Normal"/>
    <w:link w:val="Heading2Char"/>
    <w:autoRedefine/>
    <w:uiPriority w:val="9"/>
    <w:unhideWhenUsed/>
    <w:qFormat/>
    <w:rsid w:val="00C1718C"/>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C1718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718C"/>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C1718C"/>
    <w:pPr>
      <w:spacing w:after="0"/>
    </w:pPr>
    <w:rPr>
      <w:sz w:val="16"/>
      <w:szCs w:val="22"/>
    </w:rPr>
  </w:style>
  <w:style w:type="character" w:customStyle="1" w:styleId="FootnoteTextChar">
    <w:name w:val="Footnote Text Char"/>
    <w:basedOn w:val="DefaultParagraphFont"/>
    <w:link w:val="FootnoteText"/>
    <w:uiPriority w:val="99"/>
    <w:rsid w:val="00C1718C"/>
    <w:rPr>
      <w:rFonts w:ascii="Arial" w:hAnsi="Arial" w:cs="Times New Roman"/>
      <w:sz w:val="16"/>
      <w:szCs w:val="22"/>
    </w:rPr>
  </w:style>
  <w:style w:type="character" w:styleId="FootnoteReference">
    <w:name w:val="footnote reference"/>
    <w:basedOn w:val="DefaultParagraphFont"/>
    <w:uiPriority w:val="99"/>
    <w:unhideWhenUsed/>
    <w:rsid w:val="00C1718C"/>
    <w:rPr>
      <w:vertAlign w:val="superscript"/>
    </w:rPr>
  </w:style>
  <w:style w:type="paragraph" w:styleId="Footer">
    <w:name w:val="footer"/>
    <w:basedOn w:val="Normal"/>
    <w:link w:val="FooterChar"/>
    <w:uiPriority w:val="99"/>
    <w:unhideWhenUsed/>
    <w:rsid w:val="00C1718C"/>
    <w:pPr>
      <w:spacing w:after="0"/>
      <w:jc w:val="left"/>
    </w:pPr>
    <w:rPr>
      <w:sz w:val="16"/>
      <w:szCs w:val="18"/>
    </w:rPr>
  </w:style>
  <w:style w:type="character" w:customStyle="1" w:styleId="FooterChar">
    <w:name w:val="Footer Char"/>
    <w:basedOn w:val="DefaultParagraphFont"/>
    <w:link w:val="Footer"/>
    <w:uiPriority w:val="99"/>
    <w:rsid w:val="00C1718C"/>
    <w:rPr>
      <w:rFonts w:ascii="Arial" w:hAnsi="Arial" w:cs="Times New Roman"/>
      <w:sz w:val="16"/>
      <w:szCs w:val="18"/>
    </w:rPr>
  </w:style>
  <w:style w:type="character" w:styleId="PageNumber">
    <w:name w:val="page number"/>
    <w:basedOn w:val="DefaultParagraphFont"/>
    <w:uiPriority w:val="99"/>
    <w:unhideWhenUsed/>
    <w:rsid w:val="00C1718C"/>
    <w:rPr>
      <w:b/>
    </w:rPr>
  </w:style>
  <w:style w:type="paragraph" w:styleId="Header">
    <w:name w:val="header"/>
    <w:basedOn w:val="Normal"/>
    <w:link w:val="HeaderChar"/>
    <w:uiPriority w:val="99"/>
    <w:unhideWhenUsed/>
    <w:rsid w:val="00C1718C"/>
    <w:pPr>
      <w:spacing w:after="0" w:line="288" w:lineRule="auto"/>
      <w:jc w:val="left"/>
    </w:pPr>
    <w:rPr>
      <w:sz w:val="16"/>
    </w:rPr>
  </w:style>
  <w:style w:type="character" w:customStyle="1" w:styleId="HeaderChar">
    <w:name w:val="Header Char"/>
    <w:basedOn w:val="DefaultParagraphFont"/>
    <w:link w:val="Header"/>
    <w:uiPriority w:val="99"/>
    <w:rsid w:val="00C1718C"/>
    <w:rPr>
      <w:rFonts w:ascii="Arial" w:hAnsi="Arial" w:cs="Times New Roman"/>
      <w:sz w:val="16"/>
    </w:rPr>
  </w:style>
  <w:style w:type="paragraph" w:styleId="NoSpacing">
    <w:name w:val="No Spacing"/>
    <w:uiPriority w:val="1"/>
    <w:qFormat/>
    <w:rsid w:val="00495680"/>
    <w:rPr>
      <w:rFonts w:ascii="Calibri" w:eastAsia="Times New Roman" w:hAnsi="Calibri" w:cs="Times New Roman"/>
      <w:sz w:val="22"/>
      <w:szCs w:val="22"/>
    </w:rPr>
  </w:style>
  <w:style w:type="paragraph" w:styleId="ListParagraph">
    <w:name w:val="List Paragraph"/>
    <w:basedOn w:val="Normal"/>
    <w:link w:val="ListParagraphChar"/>
    <w:uiPriority w:val="34"/>
    <w:qFormat/>
    <w:rsid w:val="00C1718C"/>
    <w:pPr>
      <w:spacing w:after="240"/>
      <w:ind w:left="720"/>
      <w:contextualSpacing/>
    </w:pPr>
    <w:rPr>
      <w:rFonts w:eastAsiaTheme="minorHAnsi" w:cstheme="minorBidi"/>
      <w:szCs w:val="22"/>
    </w:rPr>
  </w:style>
  <w:style w:type="paragraph" w:customStyle="1" w:styleId="Bullet3">
    <w:name w:val="Bullet 3"/>
    <w:basedOn w:val="ListParagraph"/>
    <w:qFormat/>
    <w:rsid w:val="00C1718C"/>
    <w:pPr>
      <w:numPr>
        <w:numId w:val="5"/>
      </w:numPr>
      <w:spacing w:before="120" w:after="120"/>
      <w:ind w:right="425"/>
    </w:pPr>
    <w:rPr>
      <w:rFonts w:cs="Arial"/>
      <w:i/>
      <w:iCs/>
    </w:rPr>
  </w:style>
  <w:style w:type="character" w:customStyle="1" w:styleId="Heading3Char">
    <w:name w:val="Heading 3 Char"/>
    <w:basedOn w:val="DefaultParagraphFont"/>
    <w:link w:val="Heading3"/>
    <w:uiPriority w:val="9"/>
    <w:rsid w:val="00C1718C"/>
    <w:rPr>
      <w:rFonts w:ascii="Arial" w:hAnsi="Arial" w:cs="Times New Roman"/>
      <w:b/>
      <w:sz w:val="22"/>
      <w:szCs w:val="24"/>
    </w:rPr>
  </w:style>
  <w:style w:type="table" w:styleId="TableGrid">
    <w:name w:val="Table Grid"/>
    <w:basedOn w:val="TableNormal"/>
    <w:uiPriority w:val="59"/>
    <w:rsid w:val="00C1718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C6BC7"/>
    <w:pPr>
      <w:spacing w:before="120"/>
    </w:pPr>
    <w:rPr>
      <w:rFonts w:asciiTheme="minorHAnsi" w:eastAsiaTheme="minorHAnsi" w:hAnsiTheme="minorHAnsi" w:cstheme="minorBidi"/>
      <w:b/>
      <w:bCs/>
      <w:color w:val="943634" w:themeColor="accent2" w:themeShade="BF"/>
      <w:sz w:val="18"/>
      <w:szCs w:val="18"/>
    </w:rPr>
  </w:style>
  <w:style w:type="character" w:customStyle="1" w:styleId="Heading1Char">
    <w:name w:val="Heading 1 Char"/>
    <w:basedOn w:val="DefaultParagraphFont"/>
    <w:link w:val="Heading1"/>
    <w:uiPriority w:val="9"/>
    <w:rsid w:val="00C1718C"/>
    <w:rPr>
      <w:rFonts w:ascii="Arial" w:hAnsi="Arial" w:cs="Times New Roman"/>
      <w:b/>
      <w:sz w:val="40"/>
      <w:szCs w:val="52"/>
    </w:rPr>
  </w:style>
  <w:style w:type="character" w:customStyle="1" w:styleId="Heading2Char">
    <w:name w:val="Heading 2 Char"/>
    <w:basedOn w:val="DefaultParagraphFont"/>
    <w:link w:val="Heading2"/>
    <w:uiPriority w:val="9"/>
    <w:rsid w:val="00C1718C"/>
    <w:rPr>
      <w:rFonts w:ascii="Arial" w:hAnsi="Arial" w:cs="Times New Roman"/>
      <w:b/>
      <w:caps/>
      <w:sz w:val="24"/>
      <w:szCs w:val="26"/>
    </w:rPr>
  </w:style>
  <w:style w:type="character" w:styleId="CommentReference">
    <w:name w:val="annotation reference"/>
    <w:basedOn w:val="DefaultParagraphFont"/>
    <w:uiPriority w:val="99"/>
    <w:semiHidden/>
    <w:unhideWhenUsed/>
    <w:rsid w:val="00C1718C"/>
    <w:rPr>
      <w:sz w:val="18"/>
      <w:szCs w:val="18"/>
    </w:rPr>
  </w:style>
  <w:style w:type="paragraph" w:styleId="CommentText">
    <w:name w:val="annotation text"/>
    <w:basedOn w:val="Normal"/>
    <w:link w:val="CommentTextChar"/>
    <w:uiPriority w:val="99"/>
    <w:semiHidden/>
    <w:unhideWhenUsed/>
    <w:rsid w:val="0098529C"/>
  </w:style>
  <w:style w:type="character" w:customStyle="1" w:styleId="CommentTextChar">
    <w:name w:val="Comment Text Char"/>
    <w:basedOn w:val="DefaultParagraphFont"/>
    <w:link w:val="CommentText"/>
    <w:uiPriority w:val="99"/>
    <w:semiHidden/>
    <w:rsid w:val="0098529C"/>
    <w:rPr>
      <w:rFonts w:ascii="Arial" w:hAnsi="Arial" w:cs="Arial"/>
      <w:lang w:val="en-GB"/>
    </w:rPr>
  </w:style>
  <w:style w:type="paragraph" w:styleId="CommentSubject">
    <w:name w:val="annotation subject"/>
    <w:basedOn w:val="Normal"/>
    <w:link w:val="CommentSubjectChar"/>
    <w:uiPriority w:val="99"/>
    <w:semiHidden/>
    <w:unhideWhenUsed/>
    <w:rsid w:val="00C1718C"/>
    <w:rPr>
      <w:b/>
      <w:bCs/>
    </w:rPr>
  </w:style>
  <w:style w:type="character" w:customStyle="1" w:styleId="CommentSubjectChar">
    <w:name w:val="Comment Subject Char"/>
    <w:basedOn w:val="DefaultParagraphFont"/>
    <w:link w:val="CommentSubject"/>
    <w:uiPriority w:val="99"/>
    <w:semiHidden/>
    <w:rsid w:val="00C1718C"/>
    <w:rPr>
      <w:rFonts w:ascii="Arial" w:hAnsi="Arial" w:cs="Times New Roman"/>
      <w:b/>
      <w:bCs/>
    </w:rPr>
  </w:style>
  <w:style w:type="paragraph" w:styleId="BalloonText">
    <w:name w:val="Balloon Text"/>
    <w:basedOn w:val="Normal"/>
    <w:link w:val="BalloonTextChar"/>
    <w:uiPriority w:val="99"/>
    <w:semiHidden/>
    <w:unhideWhenUsed/>
    <w:rsid w:val="00C171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18C"/>
    <w:rPr>
      <w:rFonts w:ascii="Lucida Grande" w:hAnsi="Lucida Grande" w:cs="Lucida Grande"/>
      <w:sz w:val="18"/>
      <w:szCs w:val="18"/>
    </w:rPr>
  </w:style>
  <w:style w:type="character" w:styleId="Hyperlink">
    <w:name w:val="Hyperlink"/>
    <w:basedOn w:val="DefaultParagraphFont"/>
    <w:uiPriority w:val="99"/>
    <w:unhideWhenUsed/>
    <w:rsid w:val="00C1718C"/>
    <w:rPr>
      <w:color w:val="0000FF" w:themeColor="hyperlink"/>
      <w:u w:val="single"/>
    </w:rPr>
  </w:style>
  <w:style w:type="character" w:styleId="FollowedHyperlink">
    <w:name w:val="FollowedHyperlink"/>
    <w:basedOn w:val="DefaultParagraphFont"/>
    <w:uiPriority w:val="99"/>
    <w:semiHidden/>
    <w:unhideWhenUsed/>
    <w:rsid w:val="00C1718C"/>
    <w:rPr>
      <w:color w:val="800080" w:themeColor="followedHyperlink"/>
      <w:u w:val="single"/>
    </w:rPr>
  </w:style>
  <w:style w:type="paragraph" w:styleId="Revision">
    <w:name w:val="Revision"/>
    <w:hidden/>
    <w:uiPriority w:val="99"/>
    <w:semiHidden/>
    <w:rsid w:val="00C1718C"/>
    <w:rPr>
      <w:rFonts w:ascii="Arial" w:hAnsi="Arial" w:cs="Arial"/>
      <w:sz w:val="21"/>
      <w:szCs w:val="21"/>
    </w:rPr>
  </w:style>
  <w:style w:type="paragraph" w:customStyle="1" w:styleId="BasicParagraph">
    <w:name w:val="[Basic Paragraph]"/>
    <w:basedOn w:val="Normal"/>
    <w:uiPriority w:val="99"/>
    <w:rsid w:val="00C1718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1718C"/>
    <w:pPr>
      <w:spacing w:before="360" w:after="240"/>
      <w:jc w:val="left"/>
      <w:outlineLvl w:val="0"/>
    </w:pPr>
    <w:rPr>
      <w:b/>
      <w:sz w:val="40"/>
      <w:szCs w:val="52"/>
    </w:rPr>
  </w:style>
  <w:style w:type="paragraph" w:customStyle="1" w:styleId="Bullet1">
    <w:name w:val="Bullet 1"/>
    <w:basedOn w:val="Normal"/>
    <w:autoRedefine/>
    <w:rsid w:val="00C1718C"/>
    <w:pPr>
      <w:numPr>
        <w:numId w:val="1"/>
      </w:numPr>
      <w:spacing w:before="60"/>
      <w:jc w:val="left"/>
    </w:pPr>
    <w:rPr>
      <w:rFonts w:eastAsia="Times New Roman"/>
      <w:color w:val="000000"/>
    </w:rPr>
  </w:style>
  <w:style w:type="paragraph" w:customStyle="1" w:styleId="RefItem1">
    <w:name w:val="Ref Item 1"/>
    <w:basedOn w:val="Normal"/>
    <w:rsid w:val="00C1718C"/>
    <w:pPr>
      <w:jc w:val="left"/>
    </w:pPr>
    <w:rPr>
      <w:color w:val="000000"/>
      <w:szCs w:val="24"/>
      <w:lang w:eastAsia="it-IT"/>
    </w:rPr>
  </w:style>
  <w:style w:type="paragraph" w:customStyle="1" w:styleId="RefTitre">
    <w:name w:val="Ref Titre"/>
    <w:basedOn w:val="Normal"/>
    <w:rsid w:val="00C1718C"/>
    <w:pPr>
      <w:jc w:val="left"/>
    </w:pPr>
    <w:rPr>
      <w:rFonts w:eastAsia="Times New Roman"/>
      <w:b/>
      <w:bCs/>
      <w:sz w:val="26"/>
      <w:szCs w:val="26"/>
    </w:rPr>
  </w:style>
  <w:style w:type="paragraph" w:customStyle="1" w:styleId="Header1">
    <w:name w:val="Header 1"/>
    <w:basedOn w:val="Header"/>
    <w:rsid w:val="00C1718C"/>
    <w:rPr>
      <w:b/>
      <w:sz w:val="24"/>
      <w:szCs w:val="24"/>
    </w:rPr>
  </w:style>
  <w:style w:type="character" w:customStyle="1" w:styleId="Pantone485">
    <w:name w:val="Pantone 485"/>
    <w:basedOn w:val="DefaultParagraphFont"/>
    <w:uiPriority w:val="1"/>
    <w:qFormat/>
    <w:rsid w:val="00C1718C"/>
    <w:rPr>
      <w:rFonts w:cs="Caecilia-Light"/>
      <w:color w:val="DC281E"/>
      <w:szCs w:val="16"/>
    </w:rPr>
  </w:style>
  <w:style w:type="character" w:customStyle="1" w:styleId="H1Char">
    <w:name w:val="H1 Char"/>
    <w:basedOn w:val="DefaultParagraphFont"/>
    <w:link w:val="H1"/>
    <w:rsid w:val="00C1718C"/>
    <w:rPr>
      <w:rFonts w:ascii="Arial" w:hAnsi="Arial" w:cs="Times New Roman"/>
      <w:b/>
      <w:sz w:val="40"/>
      <w:szCs w:val="52"/>
    </w:rPr>
  </w:style>
  <w:style w:type="table" w:customStyle="1" w:styleId="TableGray">
    <w:name w:val="Table Gray"/>
    <w:basedOn w:val="TableNormal"/>
    <w:uiPriority w:val="99"/>
    <w:rsid w:val="00C1718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F24AD6"/>
    <w:pPr>
      <w:numPr>
        <w:numId w:val="2"/>
      </w:numPr>
      <w:tabs>
        <w:tab w:val="left" w:pos="7230"/>
      </w:tabs>
      <w:spacing w:before="60" w:after="120"/>
      <w:ind w:left="714" w:hanging="357"/>
    </w:pPr>
    <w:rPr>
      <w:rFonts w:cs="Arial"/>
    </w:rPr>
  </w:style>
  <w:style w:type="paragraph" w:customStyle="1" w:styleId="ListNumber1">
    <w:name w:val="List Number 1"/>
    <w:basedOn w:val="Normal"/>
    <w:rsid w:val="00C1718C"/>
    <w:pPr>
      <w:numPr>
        <w:ilvl w:val="1"/>
        <w:numId w:val="3"/>
      </w:numPr>
      <w:contextualSpacing/>
    </w:pPr>
    <w:rPr>
      <w:rFonts w:eastAsiaTheme="minorHAnsi" w:cstheme="minorHAnsi"/>
      <w:szCs w:val="22"/>
    </w:rPr>
  </w:style>
  <w:style w:type="character" w:customStyle="1" w:styleId="ListParagraphChar">
    <w:name w:val="List Paragraph Char"/>
    <w:basedOn w:val="DefaultParagraphFont"/>
    <w:link w:val="ListParagraph"/>
    <w:uiPriority w:val="34"/>
    <w:rsid w:val="00C1718C"/>
    <w:rPr>
      <w:rFonts w:ascii="Arial" w:eastAsiaTheme="minorHAnsi" w:hAnsi="Arial" w:cstheme="minorBidi"/>
      <w:szCs w:val="22"/>
    </w:rPr>
  </w:style>
  <w:style w:type="paragraph" w:customStyle="1" w:styleId="NormalNo">
    <w:name w:val="Normal + No"/>
    <w:basedOn w:val="Normal"/>
    <w:qFormat/>
    <w:rsid w:val="00C1718C"/>
    <w:pPr>
      <w:numPr>
        <w:numId w:val="4"/>
      </w:numPr>
    </w:pPr>
    <w:rPr>
      <w:rFonts w:eastAsia="MS Mincho"/>
      <w:b/>
      <w:sz w:val="22"/>
    </w:rPr>
  </w:style>
  <w:style w:type="paragraph" w:customStyle="1" w:styleId="Indent">
    <w:name w:val="Indent"/>
    <w:basedOn w:val="Normal"/>
    <w:qFormat/>
    <w:rsid w:val="00C1718C"/>
    <w:pPr>
      <w:ind w:left="567"/>
    </w:pPr>
    <w:rPr>
      <w:rFonts w:cs="Arial"/>
      <w:b/>
    </w:rPr>
  </w:style>
  <w:style w:type="paragraph" w:customStyle="1" w:styleId="TitreTableau">
    <w:name w:val="Titre Tableau"/>
    <w:basedOn w:val="Normal"/>
    <w:qFormat/>
    <w:rsid w:val="00C1718C"/>
    <w:pPr>
      <w:spacing w:before="120"/>
      <w:jc w:val="center"/>
    </w:pPr>
    <w:rPr>
      <w:rFonts w:cs="Arial"/>
      <w:b/>
      <w:bCs/>
      <w:color w:val="FFFFFF" w:themeColor="background1"/>
      <w:lang w:val="en-CA"/>
    </w:rPr>
  </w:style>
  <w:style w:type="paragraph" w:customStyle="1" w:styleId="BulletTableau">
    <w:name w:val="Bullet Tableau"/>
    <w:basedOn w:val="Bullet2"/>
    <w:qFormat/>
    <w:rsid w:val="00C1718C"/>
    <w:pPr>
      <w:keepNext/>
      <w:keepLines/>
      <w:framePr w:hSpace="141" w:wrap="around" w:vAnchor="text" w:hAnchor="margin" w:y="402"/>
      <w:numPr>
        <w:numId w:val="6"/>
      </w:numPr>
      <w:spacing w:beforeLines="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0e0d46-bfc3-4fcf-89a2-869473193083">
      <Terms xmlns="http://schemas.microsoft.com/office/infopath/2007/PartnerControls"/>
    </lcf76f155ced4ddcb4097134ff3c332f>
    <TaxCatchAll xmlns="2022f264-a01a-479c-9a1f-db50914a6761" xsi:nil="true"/>
  </documentManagement>
</p:properties>
</file>

<file path=customXml/itemProps1.xml><?xml version="1.0" encoding="utf-8"?>
<ds:datastoreItem xmlns:ds="http://schemas.openxmlformats.org/officeDocument/2006/customXml" ds:itemID="{29A58B02-768B-41E3-94FF-367EF809747E}"/>
</file>

<file path=customXml/itemProps2.xml><?xml version="1.0" encoding="utf-8"?>
<ds:datastoreItem xmlns:ds="http://schemas.openxmlformats.org/officeDocument/2006/customXml" ds:itemID="{89CBFB01-48B2-4536-B116-F9A441EA903B}">
  <ds:schemaRefs>
    <ds:schemaRef ds:uri="http://schemas.microsoft.com/sharepoint/v3/contenttype/forms"/>
  </ds:schemaRefs>
</ds:datastoreItem>
</file>

<file path=customXml/itemProps3.xml><?xml version="1.0" encoding="utf-8"?>
<ds:datastoreItem xmlns:ds="http://schemas.openxmlformats.org/officeDocument/2006/customXml" ds:itemID="{9F928832-B5C4-44A8-B2FA-5550D4FADD40}">
  <ds:schemaRefs>
    <ds:schemaRef ds:uri="http://schemas.microsoft.com/office/2006/metadata/properties"/>
    <ds:schemaRef ds:uri="http://schemas.microsoft.com/office/infopath/2007/PartnerControls"/>
    <ds:schemaRef ds:uri="1f0e0d46-bfc3-4fcf-89a2-869473193083"/>
    <ds:schemaRef ds:uri="2022f264-a01a-479c-9a1f-db50914a6761"/>
  </ds:schemaRefs>
</ds:datastoreItem>
</file>

<file path=docProps/app.xml><?xml version="1.0" encoding="utf-8"?>
<Properties xmlns="http://schemas.openxmlformats.org/officeDocument/2006/extended-properties" xmlns:vt="http://schemas.openxmlformats.org/officeDocument/2006/docPropsVTypes">
  <Template>ICRC_Template.dotx</Template>
  <TotalTime>17</TotalTime>
  <Pages>4</Pages>
  <Words>1229</Words>
  <Characters>7497</Characters>
  <Application>Microsoft Office Word</Application>
  <DocSecurity>0</DocSecurity>
  <Lines>62</Lines>
  <Paragraphs>17</Paragraphs>
  <ScaleCrop>false</ScaleCrop>
  <Company>Private</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Lisbet M. Elvekjær</cp:lastModifiedBy>
  <cp:revision>24</cp:revision>
  <cp:lastPrinted>2015-09-17T02:31:00Z</cp:lastPrinted>
  <dcterms:created xsi:type="dcterms:W3CDTF">2022-10-31T14:37:00Z</dcterms:created>
  <dcterms:modified xsi:type="dcterms:W3CDTF">2022-10-31T14:53:00Z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Internal</vt:lpwstr>
  </property>
  <property fmtid="{D5CDD505-2E9C-101B-9397-08002B2CF9AE}" pid="6" name="MSIP_Label_6627b15a-80ec-4ef7-8353-f32e3c89bf3e_Enabled">
    <vt:lpwstr>true</vt:lpwstr>
  </property>
  <property fmtid="{D5CDD505-2E9C-101B-9397-08002B2CF9AE}" pid="7" name="MSIP_Label_6627b15a-80ec-4ef7-8353-f32e3c89bf3e_SetDate">
    <vt:lpwstr>2021-06-29T13:49:21Z</vt:lpwstr>
  </property>
  <property fmtid="{D5CDD505-2E9C-101B-9397-08002B2CF9AE}" pid="8" name="MSIP_Label_6627b15a-80ec-4ef7-8353-f32e3c89bf3e_Method">
    <vt:lpwstr>Privileged</vt:lpwstr>
  </property>
  <property fmtid="{D5CDD505-2E9C-101B-9397-08002B2CF9AE}" pid="9" name="MSIP_Label_6627b15a-80ec-4ef7-8353-f32e3c89bf3e_Name">
    <vt:lpwstr>IFRC Internal</vt:lpwstr>
  </property>
  <property fmtid="{D5CDD505-2E9C-101B-9397-08002B2CF9AE}" pid="10" name="MSIP_Label_6627b15a-80ec-4ef7-8353-f32e3c89bf3e_SiteId">
    <vt:lpwstr>a2b53be5-734e-4e6c-ab0d-d184f60fd917</vt:lpwstr>
  </property>
  <property fmtid="{D5CDD505-2E9C-101B-9397-08002B2CF9AE}" pid="11" name="MSIP_Label_6627b15a-80ec-4ef7-8353-f32e3c89bf3e_ActionId">
    <vt:lpwstr>97a8597b-fca9-45ba-bf9f-f90cebc14357</vt:lpwstr>
  </property>
  <property fmtid="{D5CDD505-2E9C-101B-9397-08002B2CF9AE}" pid="12" name="MSIP_Label_6627b15a-80ec-4ef7-8353-f32e3c89bf3e_ContentBits">
    <vt:lpwstr>2</vt:lpwstr>
  </property>
  <property fmtid="{D5CDD505-2E9C-101B-9397-08002B2CF9AE}" pid="13" name="MediaServiceImageTags">
    <vt:lpwstr/>
  </property>
</Properties>
</file>