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0519C" w14:textId="41FBD289" w:rsidR="00331FA2" w:rsidRPr="00526902" w:rsidRDefault="00331FA2" w:rsidP="007C3700">
      <w:pPr>
        <w:pStyle w:val="H1"/>
        <w:spacing w:after="480"/>
        <w:jc w:val="both"/>
        <w:rPr>
          <w:rFonts w:cs="Arial"/>
          <w:sz w:val="22"/>
          <w:szCs w:val="22"/>
        </w:rPr>
      </w:pPr>
      <w:r w:rsidRPr="00526902">
        <w:rPr>
          <w:rFonts w:cs="Arial"/>
          <w:lang w:val="en-GB"/>
        </w:rPr>
        <w:t>BCA key information checklist</w:t>
      </w:r>
      <w:bookmarkStart w:id="0" w:name="_GoBack"/>
      <w:bookmarkEnd w:id="0"/>
    </w:p>
    <w:p w14:paraId="24A67AFD" w14:textId="77777777" w:rsidR="00331FA2" w:rsidRDefault="00331FA2" w:rsidP="007C3700">
      <w:pPr>
        <w:pStyle w:val="H1"/>
        <w:spacing w:before="0" w:after="0"/>
        <w:jc w:val="both"/>
        <w:rPr>
          <w:rFonts w:cs="Arial"/>
          <w:b w:val="0"/>
          <w:sz w:val="24"/>
          <w:lang w:val="en-GB"/>
        </w:rPr>
      </w:pPr>
      <w:r w:rsidRPr="001A41E5">
        <w:rPr>
          <w:rFonts w:cs="Arial"/>
          <w:b w:val="0"/>
          <w:sz w:val="24"/>
          <w:lang w:val="en-GB"/>
        </w:rPr>
        <w:t xml:space="preserve">This chart is intended to </w:t>
      </w:r>
      <w:r>
        <w:rPr>
          <w:rFonts w:cs="Arial"/>
          <w:b w:val="0"/>
          <w:sz w:val="24"/>
          <w:lang w:val="en-GB"/>
        </w:rPr>
        <w:t xml:space="preserve">be used as a template </w:t>
      </w:r>
      <w:r w:rsidRPr="001A41E5">
        <w:rPr>
          <w:rFonts w:cs="Arial"/>
          <w:b w:val="0"/>
          <w:sz w:val="24"/>
          <w:lang w:val="en-GB"/>
        </w:rPr>
        <w:t>highlight</w:t>
      </w:r>
      <w:r>
        <w:rPr>
          <w:rFonts w:cs="Arial"/>
          <w:b w:val="0"/>
          <w:sz w:val="24"/>
          <w:lang w:val="en-GB"/>
        </w:rPr>
        <w:t>ing all</w:t>
      </w:r>
      <w:r w:rsidRPr="001A41E5">
        <w:rPr>
          <w:rFonts w:cs="Arial"/>
          <w:b w:val="0"/>
          <w:sz w:val="24"/>
          <w:lang w:val="en-GB"/>
        </w:rPr>
        <w:t xml:space="preserve"> key information that your team should prepare </w:t>
      </w:r>
      <w:r>
        <w:rPr>
          <w:rFonts w:cs="Arial"/>
          <w:b w:val="0"/>
          <w:sz w:val="24"/>
          <w:lang w:val="en-GB"/>
        </w:rPr>
        <w:t xml:space="preserve">to better organise the programme </w:t>
      </w:r>
      <w:r w:rsidRPr="001A41E5">
        <w:rPr>
          <w:rFonts w:cs="Arial"/>
          <w:b w:val="0"/>
          <w:sz w:val="24"/>
          <w:lang w:val="en-GB"/>
        </w:rPr>
        <w:t>and be ready to communicate to beneficiaries during different phases of the program cycle.</w:t>
      </w:r>
      <w:r>
        <w:rPr>
          <w:rFonts w:cs="Arial"/>
          <w:b w:val="0"/>
          <w:sz w:val="24"/>
          <w:lang w:val="en-GB"/>
        </w:rPr>
        <w:t xml:space="preserve"> This can be used as a basis for programme design, volunteer training on the programme and, as a final step, as beneficiary communication.</w:t>
      </w:r>
    </w:p>
    <w:p w14:paraId="62768C18" w14:textId="77777777" w:rsidR="001A41E5" w:rsidRPr="001A41E5" w:rsidRDefault="001A41E5" w:rsidP="00FE7BB1">
      <w:pPr>
        <w:pStyle w:val="H1"/>
        <w:spacing w:before="0" w:after="0"/>
        <w:rPr>
          <w:rFonts w:cs="Arial"/>
          <w:b w:val="0"/>
          <w:sz w:val="24"/>
          <w:lang w:val="en-GB"/>
        </w:rPr>
      </w:pPr>
    </w:p>
    <w:tbl>
      <w:tblPr>
        <w:tblStyle w:val="LightShading-Accent1"/>
        <w:tblpPr w:leftFromText="180" w:rightFromText="180" w:vertAnchor="text" w:horzAnchor="page" w:tblpXSpec="center" w:tblpY="67"/>
        <w:tblW w:w="5132" w:type="pct"/>
        <w:tblLook w:val="0400" w:firstRow="0" w:lastRow="0" w:firstColumn="0" w:lastColumn="0" w:noHBand="0" w:noVBand="1"/>
      </w:tblPr>
      <w:tblGrid>
        <w:gridCol w:w="1440"/>
        <w:gridCol w:w="5767"/>
        <w:gridCol w:w="8238"/>
      </w:tblGrid>
      <w:tr w:rsidR="00331FA2" w:rsidRPr="00EE40C6" w14:paraId="5ED8616C" w14:textId="72B7F0EC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tcW w:w="466" w:type="pct"/>
            <w:tcBorders>
              <w:top w:val="single" w:sz="8" w:space="0" w:color="4F81BD" w:themeColor="accent1"/>
              <w:bottom w:val="nil"/>
              <w:right w:val="single" w:sz="4" w:space="0" w:color="A6A6A6" w:themeColor="background1" w:themeShade="A6"/>
            </w:tcBorders>
            <w:shd w:val="clear" w:color="auto" w:fill="DC281E"/>
          </w:tcPr>
          <w:p w14:paraId="387736DA" w14:textId="77777777" w:rsidR="00714480" w:rsidRPr="00EE40C6" w:rsidRDefault="00714480" w:rsidP="001F7321">
            <w:pPr>
              <w:pStyle w:val="Defaul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E40C6">
              <w:rPr>
                <w:b/>
                <w:color w:val="FFFFFF" w:themeColor="background1"/>
                <w:sz w:val="20"/>
                <w:szCs w:val="20"/>
              </w:rPr>
              <w:t>When?</w:t>
            </w:r>
          </w:p>
        </w:tc>
        <w:tc>
          <w:tcPr>
            <w:tcW w:w="1867" w:type="pct"/>
            <w:tcBorders>
              <w:top w:val="single" w:sz="8" w:space="0" w:color="4F81BD" w:themeColor="accent1"/>
              <w:left w:val="single" w:sz="4" w:space="0" w:color="A6A6A6" w:themeColor="background1" w:themeShade="A6"/>
              <w:bottom w:val="nil"/>
              <w:right w:val="single" w:sz="4" w:space="0" w:color="auto"/>
            </w:tcBorders>
            <w:shd w:val="clear" w:color="auto" w:fill="DC281E"/>
          </w:tcPr>
          <w:p w14:paraId="50802355" w14:textId="77777777" w:rsidR="00714480" w:rsidRPr="00EE40C6" w:rsidRDefault="00714480" w:rsidP="001F7321">
            <w:pPr>
              <w:pStyle w:val="Defaul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E40C6">
              <w:rPr>
                <w:b/>
                <w:color w:val="FFFFFF" w:themeColor="background1"/>
                <w:sz w:val="20"/>
                <w:szCs w:val="20"/>
              </w:rPr>
              <w:t>Key points</w:t>
            </w:r>
          </w:p>
        </w:tc>
        <w:tc>
          <w:tcPr>
            <w:tcW w:w="2667" w:type="pct"/>
            <w:tcBorders>
              <w:top w:val="single" w:sz="8" w:space="0" w:color="4F81BD" w:themeColor="accent1"/>
              <w:left w:val="single" w:sz="4" w:space="0" w:color="auto"/>
              <w:bottom w:val="nil"/>
            </w:tcBorders>
            <w:shd w:val="clear" w:color="auto" w:fill="DC281E"/>
          </w:tcPr>
          <w:p w14:paraId="15A29189" w14:textId="1C10EEF4" w:rsidR="00714480" w:rsidRPr="00EE40C6" w:rsidRDefault="00714480" w:rsidP="001F7321">
            <w:pPr>
              <w:pStyle w:val="Defaul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Inputs</w:t>
            </w:r>
          </w:p>
        </w:tc>
      </w:tr>
      <w:tr w:rsidR="001F7321" w:rsidRPr="00EE40C6" w14:paraId="210187D7" w14:textId="18B5FBBB" w:rsidTr="001F7321">
        <w:trPr>
          <w:trHeight w:val="652"/>
        </w:trPr>
        <w:tc>
          <w:tcPr>
            <w:tcW w:w="466" w:type="pct"/>
            <w:vMerge w:val="restart"/>
            <w:tcBorders>
              <w:top w:val="nil"/>
              <w:right w:val="single" w:sz="4" w:space="0" w:color="A6A6A6" w:themeColor="background1" w:themeShade="A6"/>
            </w:tcBorders>
            <w:shd w:val="clear" w:color="auto" w:fill="F3F3F3"/>
          </w:tcPr>
          <w:p w14:paraId="2E1E5B81" w14:textId="312C99C1" w:rsidR="001F7321" w:rsidRPr="00EE40C6" w:rsidRDefault="001F7321" w:rsidP="001F7321">
            <w:pPr>
              <w:pStyle w:val="Default"/>
              <w:spacing w:before="120" w:after="120"/>
              <w:rPr>
                <w:color w:val="auto"/>
                <w:sz w:val="20"/>
                <w:szCs w:val="20"/>
              </w:rPr>
            </w:pPr>
            <w:r w:rsidRPr="00EE40C6">
              <w:rPr>
                <w:b/>
                <w:bCs/>
                <w:color w:val="auto"/>
                <w:sz w:val="20"/>
                <w:szCs w:val="20"/>
              </w:rPr>
              <w:t xml:space="preserve">Consultation </w:t>
            </w:r>
          </w:p>
        </w:tc>
        <w:tc>
          <w:tcPr>
            <w:tcW w:w="1867" w:type="pct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70CDC4BD" w14:textId="3DCC29E5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Inclusion criteria – how to decide who should </w:t>
            </w:r>
            <w:r>
              <w:rPr>
                <w:color w:val="auto"/>
                <w:szCs w:val="20"/>
              </w:rPr>
              <w:t>be selected as a beneficiary</w:t>
            </w:r>
          </w:p>
        </w:tc>
        <w:tc>
          <w:tcPr>
            <w:tcW w:w="2667" w:type="pct"/>
            <w:tcBorders>
              <w:top w:val="nil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1886E8F0" w14:textId="20B40D3C" w:rsidR="001F7321" w:rsidRPr="00331FA2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05E80B02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6"/>
        </w:trPr>
        <w:tc>
          <w:tcPr>
            <w:tcW w:w="466" w:type="pct"/>
            <w:vMerge/>
            <w:tcBorders>
              <w:right w:val="single" w:sz="4" w:space="0" w:color="A6A6A6" w:themeColor="background1" w:themeShade="A6"/>
            </w:tcBorders>
            <w:shd w:val="clear" w:color="auto" w:fill="F3F3F3"/>
          </w:tcPr>
          <w:p w14:paraId="35151AA2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05AB788B" w14:textId="40ADC24D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What modalities are familiar/acceptable to </w:t>
            </w:r>
            <w:r>
              <w:rPr>
                <w:color w:val="auto"/>
                <w:szCs w:val="20"/>
              </w:rPr>
              <w:t>beneficiaries?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1E3C2F1C" w14:textId="77777777" w:rsidR="001F7321" w:rsidRPr="00331FA2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5D33F704" w14:textId="77777777" w:rsidTr="001F7321">
        <w:trPr>
          <w:trHeight w:val="789"/>
        </w:trPr>
        <w:tc>
          <w:tcPr>
            <w:tcW w:w="466" w:type="pct"/>
            <w:vMerge/>
            <w:tcBorders>
              <w:right w:val="single" w:sz="4" w:space="0" w:color="A6A6A6" w:themeColor="background1" w:themeShade="A6"/>
            </w:tcBorders>
            <w:shd w:val="clear" w:color="auto" w:fill="F3F3F3"/>
          </w:tcPr>
          <w:p w14:paraId="687D8DC9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33B539CD" w14:textId="1EEB371B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What payment methods are familiar/</w:t>
            </w:r>
            <w:r>
              <w:rPr>
                <w:color w:val="auto"/>
                <w:szCs w:val="20"/>
              </w:rPr>
              <w:t xml:space="preserve"> </w:t>
            </w:r>
            <w:r w:rsidRPr="00EE40C6">
              <w:rPr>
                <w:color w:val="auto"/>
                <w:szCs w:val="20"/>
              </w:rPr>
              <w:t xml:space="preserve">acceptable / accessible to beneficiaries or traders? Do these differ for men and women </w:t>
            </w:r>
            <w:r>
              <w:rPr>
                <w:color w:val="auto"/>
                <w:szCs w:val="20"/>
              </w:rPr>
              <w:t>or for other vulnerable groups?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4A7748E3" w14:textId="77777777" w:rsidR="001F7321" w:rsidRPr="00331FA2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1B3B8C71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3"/>
        </w:trPr>
        <w:tc>
          <w:tcPr>
            <w:tcW w:w="466" w:type="pct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F3F3F3"/>
          </w:tcPr>
          <w:p w14:paraId="3ACF8DE1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uto"/>
            </w:tcBorders>
            <w:shd w:val="clear" w:color="auto" w:fill="F3F3F3"/>
          </w:tcPr>
          <w:p w14:paraId="4782D07F" w14:textId="2D096B48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What forms of identification do people have, and which verification processes are appropriate/acceptable?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nil"/>
            </w:tcBorders>
            <w:shd w:val="clear" w:color="auto" w:fill="F3F3F3"/>
          </w:tcPr>
          <w:p w14:paraId="0085773A" w14:textId="77777777" w:rsidR="001F7321" w:rsidRPr="00331FA2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2AFA38B0" w14:textId="0AA2F4EA" w:rsidTr="001F7321">
        <w:trPr>
          <w:trHeight w:val="480"/>
        </w:trPr>
        <w:tc>
          <w:tcPr>
            <w:tcW w:w="466" w:type="pct"/>
            <w:vMerge w:val="restart"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52C4FC46" w14:textId="20C7CBB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  <w:r w:rsidRPr="00EE40C6">
              <w:rPr>
                <w:b/>
                <w:bCs/>
                <w:color w:val="auto"/>
                <w:sz w:val="20"/>
                <w:szCs w:val="20"/>
              </w:rPr>
              <w:t xml:space="preserve">Project design </w:t>
            </w:r>
          </w:p>
        </w:tc>
        <w:tc>
          <w:tcPr>
            <w:tcW w:w="1867" w:type="pct"/>
            <w:tcBorders>
              <w:top w:val="nil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0F6B85D7" w14:textId="6AAF42D8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Objectives</w:t>
            </w:r>
          </w:p>
        </w:tc>
        <w:tc>
          <w:tcPr>
            <w:tcW w:w="2667" w:type="pct"/>
            <w:tcBorders>
              <w:top w:val="nil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289A718D" w14:textId="77777777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7717AB1F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4C01085C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5EAA9D78" w14:textId="53407402" w:rsidR="001F7321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>
              <w:rPr>
                <w:color w:val="auto"/>
                <w:szCs w:val="20"/>
              </w:rPr>
              <w:t>Inclusion criteria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5267E70C" w14:textId="77777777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0E15B9F6" w14:textId="77777777" w:rsidTr="001F7321">
        <w:trPr>
          <w:trHeight w:val="395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48A638F0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2BE33863" w14:textId="7A9899AA" w:rsidR="001F7321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>
              <w:rPr>
                <w:color w:val="auto"/>
                <w:szCs w:val="20"/>
              </w:rPr>
              <w:t>Project duration and location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46F708B4" w14:textId="77777777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26218113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36F46515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58D6AAFF" w14:textId="7D9EB86D" w:rsidR="001F7321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>
              <w:rPr>
                <w:color w:val="auto"/>
                <w:szCs w:val="20"/>
              </w:rPr>
              <w:t>Frequency of transfers or distributions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3E6AE6B5" w14:textId="77777777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37F21CFF" w14:textId="77777777" w:rsidTr="001F7321">
        <w:trPr>
          <w:trHeight w:val="480"/>
        </w:trPr>
        <w:tc>
          <w:tcPr>
            <w:tcW w:w="466" w:type="pct"/>
            <w:vMerge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6E6E6"/>
          </w:tcPr>
          <w:p w14:paraId="12569948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1F4318DA" w14:textId="6DAB90CA" w:rsidR="001F7321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Conditionality and other processes as applicable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6C1D37C9" w14:textId="77777777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43C338D9" w14:textId="4802FF12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tcW w:w="466" w:type="pct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3F3F3"/>
          </w:tcPr>
          <w:p w14:paraId="5C5D7886" w14:textId="1CF15313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  <w:r w:rsidRPr="00EE40C6">
              <w:rPr>
                <w:b/>
                <w:bCs/>
                <w:color w:val="auto"/>
                <w:sz w:val="20"/>
                <w:szCs w:val="20"/>
              </w:rPr>
              <w:t>Before the project begins</w:t>
            </w: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6FC06A84" w14:textId="44D713AF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color w:val="auto"/>
                <w:szCs w:val="20"/>
              </w:rPr>
            </w:pPr>
            <w:r w:rsidRPr="00EE40C6">
              <w:rPr>
                <w:color w:val="auto"/>
                <w:szCs w:val="20"/>
              </w:rPr>
              <w:t>How the transfer amount will be calculated and how inflation w</w:t>
            </w:r>
            <w:r>
              <w:rPr>
                <w:color w:val="auto"/>
                <w:szCs w:val="20"/>
              </w:rPr>
              <w:t>ill be dealt with (if relevant)?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36002F01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3E632A65" w14:textId="77777777" w:rsidTr="001F7321">
        <w:trPr>
          <w:trHeight w:val="549"/>
        </w:trPr>
        <w:tc>
          <w:tcPr>
            <w:tcW w:w="466" w:type="pct"/>
            <w:vMerge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3F3F3"/>
          </w:tcPr>
          <w:p w14:paraId="65876A42" w14:textId="77777777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17045FBD" w14:textId="4F7A0745" w:rsidR="00331FA2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>
              <w:rPr>
                <w:color w:val="auto"/>
                <w:szCs w:val="20"/>
              </w:rPr>
              <w:t>How the details of the in-kind package will be established?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1DD98F82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00B0F557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F3F3F3"/>
          </w:tcPr>
          <w:p w14:paraId="3ABDCCD4" w14:textId="77777777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1E67B457" w14:textId="6C5FD21A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Who will receive the transfer </w:t>
            </w:r>
            <w:r>
              <w:rPr>
                <w:color w:val="auto"/>
                <w:szCs w:val="20"/>
              </w:rPr>
              <w:t xml:space="preserve">or in-kind package </w:t>
            </w:r>
            <w:r w:rsidRPr="00EE40C6">
              <w:rPr>
                <w:color w:val="auto"/>
                <w:szCs w:val="20"/>
              </w:rPr>
              <w:t>(head of household, women) and why?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0B7E207C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1F7321" w:rsidRPr="00EE40C6" w14:paraId="79AF90B3" w14:textId="77777777" w:rsidTr="001F7321">
        <w:trPr>
          <w:trHeight w:val="362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F3F3F3"/>
          </w:tcPr>
          <w:p w14:paraId="3C5AFD94" w14:textId="77777777" w:rsidR="001F7321" w:rsidRPr="00EE40C6" w:rsidRDefault="001F7321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09BED9E8" w14:textId="0ECD1308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>
              <w:rPr>
                <w:color w:val="auto"/>
                <w:szCs w:val="20"/>
              </w:rPr>
              <w:t>How to register?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</w:tcBorders>
            <w:shd w:val="clear" w:color="auto" w:fill="F3F3F3"/>
          </w:tcPr>
          <w:p w14:paraId="79BA432A" w14:textId="77777777" w:rsidR="001F7321" w:rsidRPr="00EE40C6" w:rsidRDefault="001F7321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63E8282B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F3F3F3"/>
          </w:tcPr>
          <w:p w14:paraId="22274776" w14:textId="77777777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57ED4D69" w14:textId="6C3D37F2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How t</w:t>
            </w:r>
            <w:r>
              <w:rPr>
                <w:color w:val="auto"/>
                <w:szCs w:val="20"/>
              </w:rPr>
              <w:t>o verify the list of recipients?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45BFA34A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509AF16C" w14:textId="77777777" w:rsidTr="001F7321">
        <w:trPr>
          <w:trHeight w:val="656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F3F3F3"/>
          </w:tcPr>
          <w:p w14:paraId="7C880FF1" w14:textId="77777777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0AD88CA3" w14:textId="3F65B299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Participating traders, banks, remittance </w:t>
            </w:r>
            <w:r>
              <w:rPr>
                <w:color w:val="auto"/>
                <w:szCs w:val="20"/>
              </w:rPr>
              <w:t>agencies or shops as applicable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3097F4E6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2739FCCE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4"/>
        </w:trPr>
        <w:tc>
          <w:tcPr>
            <w:tcW w:w="466" w:type="pct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F3F3F3"/>
          </w:tcPr>
          <w:p w14:paraId="218D17EF" w14:textId="77777777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uto"/>
            </w:tcBorders>
            <w:shd w:val="clear" w:color="auto" w:fill="F3F3F3"/>
          </w:tcPr>
          <w:p w14:paraId="3CDBE525" w14:textId="6291198B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What will be the roles and responsibilities of community leaders, local and national authorities, and other aid organizations?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nil"/>
            </w:tcBorders>
            <w:shd w:val="clear" w:color="auto" w:fill="F3F3F3"/>
          </w:tcPr>
          <w:p w14:paraId="5AF2948E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478B5CE6" w14:textId="40180E8F" w:rsidTr="001F7321">
        <w:trPr>
          <w:trHeight w:val="343"/>
        </w:trPr>
        <w:tc>
          <w:tcPr>
            <w:tcW w:w="466" w:type="pct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6E6E6"/>
          </w:tcPr>
          <w:p w14:paraId="3368B014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color w:val="auto"/>
                <w:szCs w:val="20"/>
              </w:rPr>
            </w:pPr>
            <w:r w:rsidRPr="00714480">
              <w:rPr>
                <w:b/>
                <w:color w:val="auto"/>
                <w:szCs w:val="20"/>
              </w:rPr>
              <w:t xml:space="preserve">Distribution phase </w:t>
            </w: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12E3C864" w14:textId="140295FA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color w:val="000000"/>
                <w:szCs w:val="20"/>
              </w:rPr>
            </w:pPr>
            <w:r>
              <w:rPr>
                <w:color w:val="auto"/>
                <w:szCs w:val="20"/>
              </w:rPr>
              <w:t>Transfer amount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75F34B94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28FE02BF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45210D9A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2013B267" w14:textId="1D3EF9D1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How the transfer will be made (payment method) an</w:t>
            </w:r>
            <w:r>
              <w:rPr>
                <w:color w:val="auto"/>
                <w:szCs w:val="20"/>
              </w:rPr>
              <w:t>d what processes need to happen?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2EAFCAA6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6DAC5063" w14:textId="77777777" w:rsidTr="001F7321">
        <w:trPr>
          <w:trHeight w:val="857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4FF7CCBF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7076AD46" w14:textId="678D2F04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When and where the transfer </w:t>
            </w:r>
            <w:r w:rsidR="001F7321">
              <w:rPr>
                <w:color w:val="auto"/>
                <w:szCs w:val="20"/>
              </w:rPr>
              <w:t xml:space="preserve"> or distribution </w:t>
            </w:r>
            <w:r w:rsidRPr="00EE40C6">
              <w:rPr>
                <w:color w:val="auto"/>
                <w:szCs w:val="20"/>
              </w:rPr>
              <w:t>will take place and what recipients need to do or bring (what identification will be</w:t>
            </w:r>
            <w:r>
              <w:rPr>
                <w:color w:val="auto"/>
                <w:szCs w:val="20"/>
              </w:rPr>
              <w:t xml:space="preserve"> required)?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13E25A3B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07F090C5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15ADD501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48D14302" w14:textId="15994815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How to receive training or help (if the transfer m</w:t>
            </w:r>
            <w:r>
              <w:rPr>
                <w:color w:val="auto"/>
                <w:szCs w:val="20"/>
              </w:rPr>
              <w:t>ethod is unfamiliar)?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1F046DAF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35AB5BE1" w14:textId="77777777" w:rsidTr="001F7321">
        <w:trPr>
          <w:trHeight w:val="600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0782BF13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3DE8ED6E" w14:textId="387A2B66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Who will be able to collect the transfer </w:t>
            </w:r>
            <w:r w:rsidR="001F7321">
              <w:rPr>
                <w:color w:val="auto"/>
                <w:szCs w:val="20"/>
              </w:rPr>
              <w:t xml:space="preserve"> or in-kind commodities?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2BE97146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013DF997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71C7ADA6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145DB863" w14:textId="5F395C51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 xml:space="preserve">How to nominate someone to collect the transfer </w:t>
            </w:r>
            <w:r w:rsidR="001F7321">
              <w:rPr>
                <w:color w:val="auto"/>
                <w:szCs w:val="20"/>
              </w:rPr>
              <w:t xml:space="preserve"> or in-kind commodities </w:t>
            </w:r>
            <w:r>
              <w:rPr>
                <w:color w:val="auto"/>
                <w:szCs w:val="20"/>
              </w:rPr>
              <w:t>on another person’s behalf?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6A7763D6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34F1ABD2" w14:textId="77777777" w:rsidTr="001F7321">
        <w:trPr>
          <w:trHeight w:val="652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3829BA5A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33DEEF21" w14:textId="23D61B38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Who to contact if something</w:t>
            </w:r>
            <w:r>
              <w:rPr>
                <w:color w:val="auto"/>
                <w:szCs w:val="20"/>
              </w:rPr>
              <w:t xml:space="preserve"> goes wrong, and what to expect?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0A889610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3560EE71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9"/>
        </w:trPr>
        <w:tc>
          <w:tcPr>
            <w:tcW w:w="466" w:type="pct"/>
            <w:vMerge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6E6E6"/>
          </w:tcPr>
          <w:p w14:paraId="069EFFE8" w14:textId="77777777" w:rsidR="00331FA2" w:rsidRPr="00714480" w:rsidRDefault="00331FA2" w:rsidP="001F7321">
            <w:pPr>
              <w:pStyle w:val="BulletTableau"/>
              <w:framePr w:hSpace="0" w:wrap="auto" w:vAnchor="margin" w:hAnchor="text" w:yAlign="inline"/>
              <w:numPr>
                <w:ilvl w:val="0"/>
                <w:numId w:val="0"/>
              </w:numPr>
              <w:spacing w:before="144" w:after="48"/>
              <w:rPr>
                <w:b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1CCC172A" w14:textId="2E9168DA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EE40C6">
              <w:rPr>
                <w:color w:val="auto"/>
                <w:szCs w:val="20"/>
              </w:rPr>
              <w:t>What would constitute corruption/fraud and how to</w:t>
            </w:r>
            <w:r w:rsidRPr="00EE40C6">
              <w:rPr>
                <w:color w:val="000000"/>
                <w:szCs w:val="20"/>
              </w:rPr>
              <w:t xml:space="preserve"> report it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5CA15C5B" w14:textId="77777777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219C5E2F" w14:textId="11A75F7C" w:rsidTr="001F7321">
        <w:trPr>
          <w:trHeight w:val="463"/>
        </w:trPr>
        <w:tc>
          <w:tcPr>
            <w:tcW w:w="466" w:type="pct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3F3F3"/>
          </w:tcPr>
          <w:p w14:paraId="16362C86" w14:textId="6987E1E1" w:rsidR="00331FA2" w:rsidRPr="00EE40C6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  <w:r w:rsidRPr="00714480">
              <w:rPr>
                <w:b/>
                <w:bCs/>
                <w:color w:val="auto"/>
                <w:sz w:val="20"/>
                <w:szCs w:val="20"/>
              </w:rPr>
              <w:t>Post-distribution phase</w:t>
            </w: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12F6D029" w14:textId="31C57488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How to provide feedback?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5D06CF1E" w14:textId="77777777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41DC654D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466" w:type="pct"/>
            <w:vMerge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3F3F3"/>
          </w:tcPr>
          <w:p w14:paraId="77E8AAA6" w14:textId="77777777" w:rsidR="00331FA2" w:rsidRPr="00714480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F3F3F3"/>
          </w:tcPr>
          <w:p w14:paraId="33E78822" w14:textId="3865BB0B" w:rsidR="00331FA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526902">
              <w:rPr>
                <w:color w:val="auto"/>
                <w:szCs w:val="20"/>
              </w:rPr>
              <w:t>How to report a grievance, abuse or fraud</w:t>
            </w:r>
            <w:r>
              <w:rPr>
                <w:color w:val="auto"/>
                <w:szCs w:val="20"/>
              </w:rPr>
              <w:t>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F3F3F3"/>
          </w:tcPr>
          <w:p w14:paraId="545E547F" w14:textId="77777777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042C14B9" w14:textId="69449F24" w:rsidTr="001F7321">
        <w:trPr>
          <w:trHeight w:val="754"/>
        </w:trPr>
        <w:tc>
          <w:tcPr>
            <w:tcW w:w="466" w:type="pct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E6E6E6"/>
          </w:tcPr>
          <w:p w14:paraId="2EC2F5BD" w14:textId="414C7C4C" w:rsidR="00331FA2" w:rsidRPr="00714480" w:rsidRDefault="00331FA2" w:rsidP="001F7321">
            <w:pPr>
              <w:pStyle w:val="Default"/>
              <w:spacing w:before="120" w:after="120"/>
              <w:rPr>
                <w:b/>
                <w:szCs w:val="20"/>
              </w:rPr>
            </w:pPr>
            <w:r w:rsidRPr="00714480">
              <w:rPr>
                <w:b/>
                <w:bCs/>
                <w:color w:val="auto"/>
                <w:sz w:val="20"/>
                <w:szCs w:val="20"/>
              </w:rPr>
              <w:lastRenderedPageBreak/>
              <w:t>Before project closing</w:t>
            </w: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085A1D8B" w14:textId="772BEA01" w:rsidR="00331FA2" w:rsidRPr="00EE40C6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526902">
              <w:rPr>
                <w:color w:val="auto"/>
                <w:szCs w:val="20"/>
              </w:rPr>
              <w:t xml:space="preserve">When the project will end and when the last transfer </w:t>
            </w:r>
            <w:r>
              <w:rPr>
                <w:color w:val="auto"/>
                <w:szCs w:val="20"/>
              </w:rPr>
              <w:t>or distribution will take place?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089A21D7" w14:textId="77777777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7C285866" w14:textId="77777777" w:rsidTr="001F7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tcW w:w="466" w:type="pct"/>
            <w:vMerge/>
            <w:tcBorders>
              <w:top w:val="nil"/>
              <w:right w:val="single" w:sz="4" w:space="0" w:color="A6A6A6" w:themeColor="background1" w:themeShade="A6"/>
            </w:tcBorders>
            <w:shd w:val="clear" w:color="auto" w:fill="E6E6E6"/>
          </w:tcPr>
          <w:p w14:paraId="0D47AFA9" w14:textId="77777777" w:rsidR="00331FA2" w:rsidRPr="00714480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uto"/>
            </w:tcBorders>
            <w:shd w:val="clear" w:color="auto" w:fill="E6E6E6"/>
          </w:tcPr>
          <w:p w14:paraId="122A9993" w14:textId="47893E68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526902">
              <w:rPr>
                <w:color w:val="auto"/>
                <w:szCs w:val="20"/>
              </w:rPr>
              <w:t xml:space="preserve">What plans have been made for ongoing support and what other support is available (if applicable)? 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single" w:sz="4" w:space="0" w:color="A6A6A6" w:themeColor="background1" w:themeShade="A6"/>
            </w:tcBorders>
            <w:shd w:val="clear" w:color="auto" w:fill="E6E6E6"/>
          </w:tcPr>
          <w:p w14:paraId="07525234" w14:textId="77777777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  <w:tr w:rsidR="00331FA2" w:rsidRPr="00EE40C6" w14:paraId="09D4F6D4" w14:textId="77777777" w:rsidTr="001F7321">
        <w:trPr>
          <w:trHeight w:val="549"/>
        </w:trPr>
        <w:tc>
          <w:tcPr>
            <w:tcW w:w="466" w:type="pct"/>
            <w:vMerge/>
            <w:tcBorders>
              <w:bottom w:val="nil"/>
              <w:right w:val="single" w:sz="4" w:space="0" w:color="A6A6A6" w:themeColor="background1" w:themeShade="A6"/>
            </w:tcBorders>
            <w:shd w:val="clear" w:color="auto" w:fill="E6E6E6"/>
          </w:tcPr>
          <w:p w14:paraId="0A659484" w14:textId="77777777" w:rsidR="00331FA2" w:rsidRPr="00714480" w:rsidRDefault="00331FA2" w:rsidP="001F7321">
            <w:pPr>
              <w:pStyle w:val="Default"/>
              <w:spacing w:before="120" w:after="12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nil"/>
              <w:right w:val="single" w:sz="4" w:space="0" w:color="auto"/>
            </w:tcBorders>
            <w:shd w:val="clear" w:color="auto" w:fill="E6E6E6"/>
          </w:tcPr>
          <w:p w14:paraId="75FF3589" w14:textId="36976E23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="144" w:after="48"/>
              <w:ind w:left="0" w:firstLine="0"/>
              <w:jc w:val="left"/>
              <w:rPr>
                <w:szCs w:val="20"/>
              </w:rPr>
            </w:pPr>
            <w:r w:rsidRPr="00526902">
              <w:rPr>
                <w:color w:val="auto"/>
                <w:szCs w:val="20"/>
              </w:rPr>
              <w:t xml:space="preserve">If a phased withdrawal </w:t>
            </w:r>
            <w:r w:rsidR="001F7321">
              <w:rPr>
                <w:color w:val="auto"/>
                <w:szCs w:val="20"/>
              </w:rPr>
              <w:t xml:space="preserve">or distribution </w:t>
            </w:r>
            <w:r w:rsidRPr="00526902">
              <w:rPr>
                <w:color w:val="auto"/>
                <w:szCs w:val="20"/>
              </w:rPr>
              <w:t>is planned, what are the selection criteria and time frames?</w:t>
            </w:r>
          </w:p>
        </w:tc>
        <w:tc>
          <w:tcPr>
            <w:tcW w:w="2667" w:type="pct"/>
            <w:tcBorders>
              <w:top w:val="single" w:sz="4" w:space="0" w:color="A6A6A6" w:themeColor="background1" w:themeShade="A6"/>
              <w:left w:val="single" w:sz="4" w:space="0" w:color="auto"/>
              <w:bottom w:val="nil"/>
            </w:tcBorders>
            <w:shd w:val="clear" w:color="auto" w:fill="E6E6E6"/>
          </w:tcPr>
          <w:p w14:paraId="5AB5C1B4" w14:textId="77777777" w:rsidR="00331FA2" w:rsidRPr="00526902" w:rsidRDefault="00331FA2" w:rsidP="001F7321">
            <w:pPr>
              <w:pStyle w:val="BulletTableau"/>
              <w:framePr w:hSpace="0" w:wrap="auto" w:vAnchor="margin" w:hAnchor="text" w:yAlign="inline"/>
              <w:spacing w:beforeLines="0" w:before="120" w:afterLines="0" w:after="120"/>
              <w:ind w:left="0" w:firstLine="0"/>
              <w:jc w:val="left"/>
              <w:rPr>
                <w:szCs w:val="20"/>
              </w:rPr>
            </w:pPr>
          </w:p>
        </w:tc>
      </w:tr>
    </w:tbl>
    <w:p w14:paraId="3FD427B9" w14:textId="70C03AC0" w:rsidR="00906F01" w:rsidRPr="00526902" w:rsidRDefault="00906F01" w:rsidP="0005106F">
      <w:pPr>
        <w:rPr>
          <w:rFonts w:cs="Arial"/>
          <w:b/>
        </w:rPr>
      </w:pPr>
    </w:p>
    <w:sectPr w:rsidR="00906F01" w:rsidRPr="00526902" w:rsidSect="00714480">
      <w:headerReference w:type="default" r:id="rId7"/>
      <w:footerReference w:type="even" r:id="rId8"/>
      <w:footerReference w:type="default" r:id="rId9"/>
      <w:pgSz w:w="16817" w:h="11901" w:orient="landscape"/>
      <w:pgMar w:top="851" w:right="851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ECCAD" w14:textId="77777777" w:rsidR="00F34A3F" w:rsidRDefault="00F34A3F" w:rsidP="006F51B5">
      <w:r>
        <w:separator/>
      </w:r>
    </w:p>
  </w:endnote>
  <w:endnote w:type="continuationSeparator" w:id="0">
    <w:p w14:paraId="2279859B" w14:textId="77777777" w:rsidR="00F34A3F" w:rsidRDefault="00F34A3F" w:rsidP="006F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B797D" w14:textId="77777777" w:rsidR="006F51B5" w:rsidRDefault="006F51B5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3673F6" w14:textId="77777777" w:rsidR="006F51B5" w:rsidRDefault="006F51B5" w:rsidP="006F51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4B456" w14:textId="5987B695" w:rsidR="00526902" w:rsidRPr="00B45C74" w:rsidRDefault="0052690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C3700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B0720C9" w14:textId="7A33B0FD" w:rsidR="00526902" w:rsidRPr="003A3500" w:rsidRDefault="00526902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41C51" w14:textId="77777777" w:rsidR="00F34A3F" w:rsidRDefault="00F34A3F" w:rsidP="006F51B5">
      <w:r>
        <w:separator/>
      </w:r>
    </w:p>
  </w:footnote>
  <w:footnote w:type="continuationSeparator" w:id="0">
    <w:p w14:paraId="0527B8A7" w14:textId="77777777" w:rsidR="00F34A3F" w:rsidRDefault="00F34A3F" w:rsidP="006F5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9596A" w14:textId="77777777" w:rsidR="00526902" w:rsidRPr="00074036" w:rsidRDefault="0052690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C4F"/>
    <w:multiLevelType w:val="hybridMultilevel"/>
    <w:tmpl w:val="AB8232B2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E5703"/>
    <w:multiLevelType w:val="hybridMultilevel"/>
    <w:tmpl w:val="014C1C08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27C71"/>
    <w:multiLevelType w:val="hybridMultilevel"/>
    <w:tmpl w:val="943C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96B93"/>
    <w:multiLevelType w:val="hybridMultilevel"/>
    <w:tmpl w:val="608A1C6E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20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01"/>
    <w:rsid w:val="00027962"/>
    <w:rsid w:val="000333E3"/>
    <w:rsid w:val="000426BC"/>
    <w:rsid w:val="0005106F"/>
    <w:rsid w:val="000A5BBF"/>
    <w:rsid w:val="000B7937"/>
    <w:rsid w:val="000D4E7D"/>
    <w:rsid w:val="00133BB9"/>
    <w:rsid w:val="001401B2"/>
    <w:rsid w:val="001A41E5"/>
    <w:rsid w:val="001F7321"/>
    <w:rsid w:val="00331FA2"/>
    <w:rsid w:val="003C693E"/>
    <w:rsid w:val="004775C7"/>
    <w:rsid w:val="0048560D"/>
    <w:rsid w:val="004D181C"/>
    <w:rsid w:val="00526902"/>
    <w:rsid w:val="00572647"/>
    <w:rsid w:val="005D5B86"/>
    <w:rsid w:val="00632AE6"/>
    <w:rsid w:val="00665EFF"/>
    <w:rsid w:val="0069046A"/>
    <w:rsid w:val="006F51B5"/>
    <w:rsid w:val="00713485"/>
    <w:rsid w:val="00714480"/>
    <w:rsid w:val="00783B17"/>
    <w:rsid w:val="007C3700"/>
    <w:rsid w:val="008B7224"/>
    <w:rsid w:val="00906F01"/>
    <w:rsid w:val="009963AF"/>
    <w:rsid w:val="009A50AB"/>
    <w:rsid w:val="00A77A04"/>
    <w:rsid w:val="00AD61D9"/>
    <w:rsid w:val="00BC0F0B"/>
    <w:rsid w:val="00C42A83"/>
    <w:rsid w:val="00C62B57"/>
    <w:rsid w:val="00C813F7"/>
    <w:rsid w:val="00D310F1"/>
    <w:rsid w:val="00D33B1A"/>
    <w:rsid w:val="00DD1A9B"/>
    <w:rsid w:val="00E42551"/>
    <w:rsid w:val="00EA3F82"/>
    <w:rsid w:val="00EE40C6"/>
    <w:rsid w:val="00F0196E"/>
    <w:rsid w:val="00F34A3F"/>
    <w:rsid w:val="00F36568"/>
    <w:rsid w:val="00FE7B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37D5C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81C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D181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181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181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181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D181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Shading-Accent1">
    <w:name w:val="Light Shading Accent 1"/>
    <w:basedOn w:val="TableNormal"/>
    <w:uiPriority w:val="60"/>
    <w:rsid w:val="005D5B8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4D181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D181C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D181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D181C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4D181C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4D181C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D181C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D181C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D181C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4D181C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18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9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902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D181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D181C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81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1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D18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181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D181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D181C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D181C"/>
    <w:rPr>
      <w:vertAlign w:val="superscript"/>
    </w:rPr>
  </w:style>
  <w:style w:type="paragraph" w:styleId="Revision">
    <w:name w:val="Revision"/>
    <w:hidden/>
    <w:uiPriority w:val="99"/>
    <w:semiHidden/>
    <w:rsid w:val="004D181C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D181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D181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D181C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D181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D181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D181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D181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D181C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D181C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D181C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D181C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D181C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D181C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D181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D181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D181C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70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Claire HOLMAN</cp:lastModifiedBy>
  <cp:revision>38</cp:revision>
  <cp:lastPrinted>2015-10-09T14:54:00Z</cp:lastPrinted>
  <dcterms:created xsi:type="dcterms:W3CDTF">2014-12-02T21:46:00Z</dcterms:created>
  <dcterms:modified xsi:type="dcterms:W3CDTF">2017-02-23T19:34:00Z</dcterms:modified>
</cp:coreProperties>
</file>