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8BE243" w14:textId="77777777" w:rsidR="00500FE4" w:rsidRDefault="00500FE4" w:rsidP="00F9312C">
      <w:pPr>
        <w:spacing w:after="120"/>
        <w:jc w:val="both"/>
        <w:rPr>
          <w:rFonts w:ascii="Calibri" w:eastAsia="+mj-ea" w:hAnsi="Calibri" w:cs="+mj-cs"/>
          <w:b/>
          <w:bCs/>
          <w:color w:val="7F7F7F"/>
          <w:kern w:val="24"/>
          <w:sz w:val="40"/>
          <w:szCs w:val="40"/>
        </w:rPr>
      </w:pPr>
    </w:p>
    <w:p w14:paraId="72C9F393" w14:textId="6D481DA5" w:rsidR="00500FE4" w:rsidRPr="00500FE4" w:rsidRDefault="00500FE4" w:rsidP="00F9312C">
      <w:pPr>
        <w:spacing w:after="120"/>
        <w:jc w:val="both"/>
        <w:rPr>
          <w:b/>
          <w:sz w:val="36"/>
          <w:szCs w:val="36"/>
        </w:rPr>
      </w:pPr>
      <w:r w:rsidRPr="00500FE4">
        <w:rPr>
          <w:rFonts w:ascii="Calibri" w:eastAsia="+mj-ea" w:hAnsi="Calibri" w:cs="+mj-cs"/>
          <w:b/>
          <w:bCs/>
          <w:color w:val="7F7F7F"/>
          <w:kern w:val="24"/>
          <w:sz w:val="36"/>
          <w:szCs w:val="36"/>
        </w:rPr>
        <w:t>International Red Cross and Red Crescent Movement</w:t>
      </w:r>
    </w:p>
    <w:p w14:paraId="4E944387" w14:textId="4D820495" w:rsidR="00F9312C" w:rsidRPr="00500FE4" w:rsidRDefault="002373C3" w:rsidP="00F9312C">
      <w:pPr>
        <w:spacing w:after="120"/>
        <w:jc w:val="both"/>
        <w:rPr>
          <w:b/>
          <w:color w:val="C00000"/>
          <w:sz w:val="40"/>
          <w:szCs w:val="40"/>
        </w:rPr>
      </w:pPr>
      <w:r w:rsidRPr="00500FE4">
        <w:rPr>
          <w:b/>
          <w:color w:val="C00000"/>
          <w:sz w:val="40"/>
          <w:szCs w:val="40"/>
        </w:rPr>
        <w:t>Cash in Emergencies Toolkit</w:t>
      </w:r>
    </w:p>
    <w:p w14:paraId="28EF7D1E" w14:textId="77777777" w:rsidR="002373C3" w:rsidRPr="00500FE4" w:rsidRDefault="002373C3" w:rsidP="00F9312C">
      <w:pPr>
        <w:spacing w:after="120"/>
        <w:jc w:val="both"/>
        <w:rPr>
          <w:b/>
          <w:color w:val="808080" w:themeColor="background1" w:themeShade="80"/>
          <w:sz w:val="36"/>
          <w:szCs w:val="36"/>
        </w:rPr>
      </w:pPr>
      <w:r w:rsidRPr="00500FE4">
        <w:rPr>
          <w:b/>
          <w:color w:val="808080" w:themeColor="background1" w:themeShade="80"/>
          <w:sz w:val="36"/>
          <w:szCs w:val="36"/>
        </w:rPr>
        <w:t>Introduction</w:t>
      </w:r>
    </w:p>
    <w:p w14:paraId="069FB108" w14:textId="77777777" w:rsidR="00F9312C" w:rsidRDefault="00F9312C" w:rsidP="002373C3">
      <w:pPr>
        <w:spacing w:before="120" w:after="120"/>
        <w:jc w:val="both"/>
        <w:rPr>
          <w:b/>
          <w:color w:val="C0504D" w:themeColor="accent2"/>
          <w:sz w:val="28"/>
        </w:rPr>
      </w:pPr>
    </w:p>
    <w:p w14:paraId="37573E2C" w14:textId="002973B8" w:rsidR="002373C3" w:rsidRPr="000D1B85" w:rsidRDefault="002373C3" w:rsidP="002373C3">
      <w:pPr>
        <w:spacing w:before="120" w:after="120"/>
        <w:jc w:val="both"/>
        <w:rPr>
          <w:b/>
          <w:color w:val="C0504D" w:themeColor="accent2"/>
          <w:sz w:val="28"/>
        </w:rPr>
      </w:pPr>
      <w:r w:rsidRPr="000D1B85">
        <w:rPr>
          <w:b/>
          <w:color w:val="C0504D" w:themeColor="accent2"/>
          <w:sz w:val="28"/>
        </w:rPr>
        <w:t xml:space="preserve">Purpose of the </w:t>
      </w:r>
      <w:r w:rsidR="00302A88">
        <w:rPr>
          <w:b/>
          <w:color w:val="C0504D" w:themeColor="accent2"/>
          <w:sz w:val="28"/>
        </w:rPr>
        <w:t>Cash in Emergencies (</w:t>
      </w:r>
      <w:r w:rsidRPr="000D1B85">
        <w:rPr>
          <w:b/>
          <w:color w:val="C0504D" w:themeColor="accent2"/>
          <w:sz w:val="28"/>
        </w:rPr>
        <w:t>CiE</w:t>
      </w:r>
      <w:r w:rsidR="00302A88">
        <w:rPr>
          <w:b/>
          <w:color w:val="C0504D" w:themeColor="accent2"/>
          <w:sz w:val="28"/>
        </w:rPr>
        <w:t>)</w:t>
      </w:r>
      <w:r w:rsidRPr="000D1B85">
        <w:rPr>
          <w:b/>
          <w:color w:val="C0504D" w:themeColor="accent2"/>
          <w:sz w:val="28"/>
        </w:rPr>
        <w:t xml:space="preserve"> Toolkit</w:t>
      </w:r>
    </w:p>
    <w:p w14:paraId="28F8F5A7" w14:textId="410865D4" w:rsidR="002373C3" w:rsidRPr="007D6F62" w:rsidRDefault="002373C3" w:rsidP="002373C3">
      <w:pPr>
        <w:spacing w:after="120"/>
        <w:jc w:val="both"/>
        <w:rPr>
          <w:sz w:val="20"/>
        </w:rPr>
      </w:pPr>
      <w:r>
        <w:rPr>
          <w:sz w:val="20"/>
        </w:rPr>
        <w:t xml:space="preserve">The humanitarian sector increasingly recognizes </w:t>
      </w:r>
      <w:r w:rsidR="00302A88">
        <w:rPr>
          <w:sz w:val="20"/>
        </w:rPr>
        <w:t>cash transfer programming (</w:t>
      </w:r>
      <w:r>
        <w:rPr>
          <w:sz w:val="20"/>
        </w:rPr>
        <w:t>CTP</w:t>
      </w:r>
      <w:r w:rsidR="00302A88">
        <w:rPr>
          <w:sz w:val="20"/>
        </w:rPr>
        <w:t>)</w:t>
      </w:r>
      <w:r>
        <w:rPr>
          <w:sz w:val="20"/>
        </w:rPr>
        <w:t xml:space="preserve"> as an effective way to support people affected by emergencies,</w:t>
      </w:r>
      <w:r w:rsidR="00302A88">
        <w:rPr>
          <w:sz w:val="20"/>
        </w:rPr>
        <w:t xml:space="preserve"> it maintains</w:t>
      </w:r>
      <w:r>
        <w:rPr>
          <w:sz w:val="20"/>
        </w:rPr>
        <w:t xml:space="preserve"> their dignity and choice, while fostering local economies.</w:t>
      </w:r>
      <w:r w:rsidRPr="006711CD">
        <w:rPr>
          <w:sz w:val="20"/>
        </w:rPr>
        <w:t xml:space="preserve"> </w:t>
      </w:r>
      <w:r w:rsidRPr="000A702A">
        <w:rPr>
          <w:sz w:val="20"/>
        </w:rPr>
        <w:t>CTP includes all forms of cash and voucher-based assistance.</w:t>
      </w:r>
    </w:p>
    <w:p w14:paraId="71F4CF12" w14:textId="36232762" w:rsidR="002373C3" w:rsidRPr="00F9312C" w:rsidRDefault="002373C3" w:rsidP="00F9312C">
      <w:pPr>
        <w:spacing w:after="120"/>
        <w:jc w:val="both"/>
        <w:rPr>
          <w:sz w:val="20"/>
        </w:rPr>
      </w:pPr>
      <w:r w:rsidRPr="00350692">
        <w:rPr>
          <w:sz w:val="20"/>
        </w:rPr>
        <w:t>When responding to emergencies, especially rapid onset disasters, humanitarian agencies face numerous challenges and</w:t>
      </w:r>
      <w:r w:rsidR="00302A88">
        <w:rPr>
          <w:sz w:val="20"/>
        </w:rPr>
        <w:t xml:space="preserve"> there is</w:t>
      </w:r>
      <w:r w:rsidRPr="00350692">
        <w:rPr>
          <w:sz w:val="20"/>
        </w:rPr>
        <w:t xml:space="preserve"> intense pressure on their resources and capacities. The </w:t>
      </w:r>
      <w:r>
        <w:rPr>
          <w:sz w:val="20"/>
        </w:rPr>
        <w:t xml:space="preserve">CiE </w:t>
      </w:r>
      <w:r w:rsidRPr="00350692">
        <w:rPr>
          <w:sz w:val="20"/>
        </w:rPr>
        <w:t xml:space="preserve">Toolkit has been devised by the </w:t>
      </w:r>
      <w:r w:rsidRPr="002373C3">
        <w:rPr>
          <w:sz w:val="20"/>
        </w:rPr>
        <w:t xml:space="preserve">International Red Cross and Red Crescent Movement </w:t>
      </w:r>
      <w:r w:rsidR="00302A88">
        <w:rPr>
          <w:sz w:val="20"/>
        </w:rPr>
        <w:t xml:space="preserve">(the Movement) </w:t>
      </w:r>
      <w:r w:rsidRPr="002373C3">
        <w:rPr>
          <w:sz w:val="20"/>
        </w:rPr>
        <w:t>as a means to make tools, practical</w:t>
      </w:r>
      <w:r w:rsidRPr="00350692">
        <w:rPr>
          <w:sz w:val="20"/>
        </w:rPr>
        <w:t xml:space="preserve"> guidance, minimum standards and good practice easily accessible to fie</w:t>
      </w:r>
      <w:r w:rsidR="00302A88">
        <w:rPr>
          <w:sz w:val="20"/>
        </w:rPr>
        <w:t>ld staff and volunteers</w:t>
      </w:r>
      <w:r w:rsidRPr="00350692">
        <w:rPr>
          <w:sz w:val="20"/>
        </w:rPr>
        <w:t xml:space="preserve">. </w:t>
      </w:r>
      <w:r w:rsidRPr="00350692">
        <w:rPr>
          <w:sz w:val="20"/>
          <w:szCs w:val="22"/>
        </w:rPr>
        <w:t xml:space="preserve">The toolkit will be disseminated within </w:t>
      </w:r>
      <w:r w:rsidRPr="002373C3">
        <w:rPr>
          <w:sz w:val="20"/>
          <w:szCs w:val="22"/>
        </w:rPr>
        <w:t>the Movement</w:t>
      </w:r>
      <w:r w:rsidRPr="00350692">
        <w:rPr>
          <w:sz w:val="20"/>
          <w:szCs w:val="22"/>
        </w:rPr>
        <w:t xml:space="preserve"> to inform and guide CTP implementation. </w:t>
      </w:r>
      <w:r w:rsidRPr="00350692">
        <w:rPr>
          <w:sz w:val="20"/>
        </w:rPr>
        <w:t>The goal is to improve the quality of CTP at the differ</w:t>
      </w:r>
      <w:r>
        <w:rPr>
          <w:sz w:val="20"/>
        </w:rPr>
        <w:t>ent phases of the project cycle</w:t>
      </w:r>
      <w:r w:rsidRPr="00350692">
        <w:rPr>
          <w:sz w:val="20"/>
        </w:rPr>
        <w:t>.</w:t>
      </w:r>
      <w:r w:rsidRPr="00350692">
        <w:rPr>
          <w:sz w:val="20"/>
          <w:szCs w:val="22"/>
        </w:rPr>
        <w:t xml:space="preserve"> In the spirit of trans</w:t>
      </w:r>
      <w:r w:rsidR="00302A88">
        <w:rPr>
          <w:sz w:val="20"/>
          <w:szCs w:val="22"/>
        </w:rPr>
        <w:t>parency and collaboration, the t</w:t>
      </w:r>
      <w:r w:rsidRPr="00350692">
        <w:rPr>
          <w:sz w:val="20"/>
          <w:szCs w:val="22"/>
        </w:rPr>
        <w:t>oolkit will be made available to other organizations and CTP networks.</w:t>
      </w:r>
    </w:p>
    <w:p w14:paraId="57B8E9B6" w14:textId="77777777" w:rsidR="00F9312C" w:rsidRDefault="00F9312C" w:rsidP="002373C3">
      <w:pPr>
        <w:spacing w:before="120" w:after="120"/>
        <w:jc w:val="both"/>
        <w:rPr>
          <w:b/>
          <w:color w:val="C0504D" w:themeColor="accent2"/>
          <w:sz w:val="28"/>
        </w:rPr>
      </w:pPr>
    </w:p>
    <w:p w14:paraId="6BEAD4D7" w14:textId="77777777" w:rsidR="002373C3" w:rsidRPr="000D1B85" w:rsidRDefault="002373C3" w:rsidP="002373C3">
      <w:pPr>
        <w:spacing w:before="120" w:after="120"/>
        <w:jc w:val="both"/>
        <w:rPr>
          <w:b/>
          <w:color w:val="C0504D" w:themeColor="accent2"/>
          <w:sz w:val="28"/>
        </w:rPr>
      </w:pPr>
      <w:r w:rsidRPr="000D1B85">
        <w:rPr>
          <w:b/>
          <w:color w:val="C0504D" w:themeColor="accent2"/>
          <w:sz w:val="28"/>
        </w:rPr>
        <w:t>How the CiE Toolkit is organized</w:t>
      </w:r>
    </w:p>
    <w:p w14:paraId="2AF42143" w14:textId="66AD60B2" w:rsidR="002373C3" w:rsidRDefault="002373C3" w:rsidP="002373C3">
      <w:pPr>
        <w:spacing w:after="120"/>
        <w:jc w:val="both"/>
        <w:rPr>
          <w:sz w:val="20"/>
        </w:rPr>
      </w:pPr>
      <w:r w:rsidRPr="0043734B">
        <w:rPr>
          <w:sz w:val="20"/>
        </w:rPr>
        <w:t xml:space="preserve">The CiE Toolkit is organized in </w:t>
      </w:r>
      <w:r w:rsidRPr="00420DD3">
        <w:rPr>
          <w:b/>
          <w:color w:val="C0504D" w:themeColor="accent2"/>
          <w:sz w:val="20"/>
        </w:rPr>
        <w:t>modules</w:t>
      </w:r>
      <w:r>
        <w:rPr>
          <w:sz w:val="20"/>
        </w:rPr>
        <w:t>, each</w:t>
      </w:r>
      <w:r w:rsidRPr="0043734B">
        <w:rPr>
          <w:sz w:val="20"/>
        </w:rPr>
        <w:t xml:space="preserve"> corresponding </w:t>
      </w:r>
      <w:r>
        <w:rPr>
          <w:sz w:val="20"/>
        </w:rPr>
        <w:t>to a different phase</w:t>
      </w:r>
      <w:r w:rsidR="00E22D0E">
        <w:rPr>
          <w:sz w:val="20"/>
        </w:rPr>
        <w:t xml:space="preserve"> of the project cycle: </w:t>
      </w:r>
      <w:r w:rsidR="00A955CB">
        <w:rPr>
          <w:sz w:val="20"/>
        </w:rPr>
        <w:t xml:space="preserve">1. </w:t>
      </w:r>
      <w:r w:rsidR="00E22D0E">
        <w:rPr>
          <w:sz w:val="20"/>
        </w:rPr>
        <w:t xml:space="preserve">preparedness, </w:t>
      </w:r>
      <w:r w:rsidR="00A955CB">
        <w:rPr>
          <w:sz w:val="20"/>
        </w:rPr>
        <w:t xml:space="preserve">2. </w:t>
      </w:r>
      <w:r w:rsidR="00E22D0E">
        <w:rPr>
          <w:sz w:val="20"/>
        </w:rPr>
        <w:t xml:space="preserve">assessment, </w:t>
      </w:r>
      <w:r w:rsidR="00A955CB">
        <w:rPr>
          <w:sz w:val="20"/>
        </w:rPr>
        <w:t xml:space="preserve">3. </w:t>
      </w:r>
      <w:r w:rsidRPr="0043734B">
        <w:rPr>
          <w:sz w:val="20"/>
        </w:rPr>
        <w:t xml:space="preserve">response analysis, </w:t>
      </w:r>
      <w:r w:rsidR="00A955CB">
        <w:rPr>
          <w:sz w:val="20"/>
        </w:rPr>
        <w:t xml:space="preserve">4. </w:t>
      </w:r>
      <w:r w:rsidRPr="0043734B">
        <w:rPr>
          <w:sz w:val="20"/>
        </w:rPr>
        <w:t xml:space="preserve">set-up </w:t>
      </w:r>
      <w:r w:rsidR="00302A88">
        <w:rPr>
          <w:sz w:val="20"/>
        </w:rPr>
        <w:t>and</w:t>
      </w:r>
      <w:r w:rsidRPr="0043734B">
        <w:rPr>
          <w:sz w:val="20"/>
        </w:rPr>
        <w:t xml:space="preserve"> implementation, and </w:t>
      </w:r>
      <w:r w:rsidR="00A955CB">
        <w:rPr>
          <w:sz w:val="20"/>
        </w:rPr>
        <w:t xml:space="preserve">5. </w:t>
      </w:r>
      <w:r w:rsidRPr="0043734B">
        <w:rPr>
          <w:sz w:val="20"/>
        </w:rPr>
        <w:t xml:space="preserve">monitoring </w:t>
      </w:r>
      <w:r w:rsidR="00302A88">
        <w:rPr>
          <w:sz w:val="20"/>
        </w:rPr>
        <w:t>and</w:t>
      </w:r>
      <w:r w:rsidRPr="0043734B">
        <w:rPr>
          <w:sz w:val="20"/>
        </w:rPr>
        <w:t xml:space="preserve"> evalua</w:t>
      </w:r>
      <w:r w:rsidR="00302A88">
        <w:rPr>
          <w:sz w:val="20"/>
        </w:rPr>
        <w:t xml:space="preserve">tion. </w:t>
      </w:r>
    </w:p>
    <w:p w14:paraId="72ACC334" w14:textId="5ACF4EF5" w:rsidR="002373C3" w:rsidRPr="00A15D8A" w:rsidRDefault="002373C3" w:rsidP="002373C3">
      <w:pPr>
        <w:spacing w:after="120"/>
        <w:jc w:val="both"/>
        <w:rPr>
          <w:b/>
          <w:sz w:val="20"/>
        </w:rPr>
      </w:pPr>
      <w:r>
        <w:rPr>
          <w:sz w:val="20"/>
        </w:rPr>
        <w:t xml:space="preserve">Each module is divided in </w:t>
      </w:r>
      <w:r w:rsidRPr="00420DD3">
        <w:rPr>
          <w:b/>
          <w:color w:val="C0504D" w:themeColor="accent2"/>
          <w:sz w:val="20"/>
        </w:rPr>
        <w:t>steps and sub-steps</w:t>
      </w:r>
      <w:r>
        <w:rPr>
          <w:sz w:val="20"/>
        </w:rPr>
        <w:t>. They are indicative and not necessarily sequential. The user may need</w:t>
      </w:r>
      <w:r w:rsidR="00302A88">
        <w:rPr>
          <w:sz w:val="20"/>
        </w:rPr>
        <w:t xml:space="preserve"> to move back and forth to find the information required</w:t>
      </w:r>
      <w:r>
        <w:rPr>
          <w:sz w:val="20"/>
        </w:rPr>
        <w:t xml:space="preserve">. </w:t>
      </w:r>
      <w:r w:rsidR="00302A88">
        <w:rPr>
          <w:sz w:val="20"/>
        </w:rPr>
        <w:t>Also, t</w:t>
      </w:r>
      <w:r>
        <w:rPr>
          <w:sz w:val="20"/>
        </w:rPr>
        <w:t>he user may need to skip some of the steps or sub-steps proposed, due to</w:t>
      </w:r>
      <w:r w:rsidR="00302A88">
        <w:rPr>
          <w:sz w:val="20"/>
        </w:rPr>
        <w:t xml:space="preserve"> the</w:t>
      </w:r>
      <w:r>
        <w:rPr>
          <w:sz w:val="20"/>
        </w:rPr>
        <w:t xml:space="preserve"> time and resource c</w:t>
      </w:r>
      <w:r w:rsidR="00302A88">
        <w:rPr>
          <w:sz w:val="20"/>
        </w:rPr>
        <w:t>onstraints that are common in</w:t>
      </w:r>
      <w:r>
        <w:rPr>
          <w:sz w:val="20"/>
        </w:rPr>
        <w:t xml:space="preserve"> emergency context</w:t>
      </w:r>
      <w:r w:rsidR="00302A88">
        <w:rPr>
          <w:sz w:val="20"/>
        </w:rPr>
        <w:t>s</w:t>
      </w:r>
      <w:r>
        <w:rPr>
          <w:sz w:val="20"/>
        </w:rPr>
        <w:t xml:space="preserve">. </w:t>
      </w:r>
    </w:p>
    <w:p w14:paraId="1B1CDBE1" w14:textId="77777777" w:rsidR="00F9312C" w:rsidRDefault="00F9312C" w:rsidP="002373C3">
      <w:pPr>
        <w:spacing w:before="120" w:after="120"/>
        <w:jc w:val="both"/>
        <w:rPr>
          <w:b/>
          <w:color w:val="C0504D" w:themeColor="accent2"/>
          <w:sz w:val="28"/>
        </w:rPr>
      </w:pPr>
    </w:p>
    <w:p w14:paraId="3D2C0022" w14:textId="77777777" w:rsidR="002373C3" w:rsidRPr="000D1B85" w:rsidRDefault="002373C3" w:rsidP="002373C3">
      <w:pPr>
        <w:spacing w:before="120" w:after="120"/>
        <w:jc w:val="both"/>
        <w:rPr>
          <w:b/>
          <w:color w:val="C0504D" w:themeColor="accent2"/>
          <w:sz w:val="28"/>
        </w:rPr>
      </w:pPr>
      <w:r w:rsidRPr="000D1B85">
        <w:rPr>
          <w:b/>
          <w:color w:val="C0504D" w:themeColor="accent2"/>
          <w:sz w:val="28"/>
        </w:rPr>
        <w:t>CiE Toolkit resources</w:t>
      </w:r>
    </w:p>
    <w:p w14:paraId="41310967" w14:textId="77777777" w:rsidR="00E22D0E" w:rsidRPr="007D6F62" w:rsidRDefault="00E22D0E" w:rsidP="00E22D0E">
      <w:pPr>
        <w:spacing w:after="120"/>
        <w:jc w:val="both"/>
        <w:rPr>
          <w:sz w:val="20"/>
        </w:rPr>
      </w:pPr>
      <w:r>
        <w:rPr>
          <w:b/>
          <w:color w:val="C0504D" w:themeColor="accent2"/>
        </w:rPr>
        <w:t>A r</w:t>
      </w:r>
      <w:r w:rsidRPr="000D1B85">
        <w:rPr>
          <w:b/>
          <w:color w:val="C0504D" w:themeColor="accent2"/>
        </w:rPr>
        <w:t>oad</w:t>
      </w:r>
      <w:r>
        <w:rPr>
          <w:b/>
          <w:color w:val="C0504D" w:themeColor="accent2"/>
        </w:rPr>
        <w:t xml:space="preserve"> map</w:t>
      </w:r>
      <w:r>
        <w:rPr>
          <w:sz w:val="20"/>
        </w:rPr>
        <w:t xml:space="preserve"> has been developed for each step as a means to provide the user with guidance on how to work through the process. It includes the minimum standards for the step, a description of the sub-steps, an introduction to the tools and a list of reference documents for the step.</w:t>
      </w:r>
    </w:p>
    <w:p w14:paraId="5C0DF76F" w14:textId="12B2FBE5" w:rsidR="002373C3" w:rsidRDefault="002373C3" w:rsidP="002373C3">
      <w:pPr>
        <w:spacing w:after="120"/>
        <w:jc w:val="both"/>
        <w:rPr>
          <w:sz w:val="20"/>
        </w:rPr>
      </w:pPr>
      <w:r w:rsidRPr="002373C3">
        <w:rPr>
          <w:b/>
          <w:color w:val="C0504D" w:themeColor="accent2"/>
        </w:rPr>
        <w:t>Minimum standards</w:t>
      </w:r>
      <w:r>
        <w:rPr>
          <w:sz w:val="20"/>
        </w:rPr>
        <w:t xml:space="preserve"> have been set for each step, as a way to make the user aware of what the programme cannot do without. They are based on good prac</w:t>
      </w:r>
      <w:r w:rsidR="00302A88">
        <w:rPr>
          <w:sz w:val="20"/>
        </w:rPr>
        <w:t>tice in the humanitarian sector</w:t>
      </w:r>
      <w:r>
        <w:rPr>
          <w:sz w:val="20"/>
        </w:rPr>
        <w:t xml:space="preserve"> and</w:t>
      </w:r>
      <w:r w:rsidR="00302A88">
        <w:rPr>
          <w:sz w:val="20"/>
        </w:rPr>
        <w:t xml:space="preserve"> will</w:t>
      </w:r>
      <w:r>
        <w:rPr>
          <w:sz w:val="20"/>
        </w:rPr>
        <w:t xml:space="preserve"> be useful when it is not possible to go </w:t>
      </w:r>
      <w:r w:rsidRPr="004A3008">
        <w:rPr>
          <w:sz w:val="20"/>
        </w:rPr>
        <w:t>through all the steps and sub-steps proposed.</w:t>
      </w:r>
    </w:p>
    <w:p w14:paraId="1EDA4A6C" w14:textId="5D8E4B54" w:rsidR="002373C3" w:rsidRDefault="002373C3" w:rsidP="002373C3">
      <w:pPr>
        <w:spacing w:after="120"/>
        <w:jc w:val="both"/>
        <w:rPr>
          <w:sz w:val="20"/>
        </w:rPr>
      </w:pPr>
      <w:r w:rsidRPr="00B75101">
        <w:rPr>
          <w:rFonts w:eastAsia="+mn-ea" w:cs="Calibri"/>
          <w:iCs/>
          <w:kern w:val="24"/>
          <w:sz w:val="20"/>
          <w:szCs w:val="22"/>
        </w:rPr>
        <w:t>The</w:t>
      </w:r>
      <w:r>
        <w:rPr>
          <w:rFonts w:eastAsia="+mn-ea" w:cs="Calibri"/>
          <w:b/>
          <w:iCs/>
          <w:color w:val="C0504D" w:themeColor="accent2"/>
          <w:kern w:val="24"/>
          <w:sz w:val="20"/>
          <w:szCs w:val="22"/>
        </w:rPr>
        <w:t xml:space="preserve"> </w:t>
      </w:r>
      <w:r w:rsidRPr="000D1B85">
        <w:rPr>
          <w:rFonts w:eastAsia="+mn-ea" w:cs="Calibri"/>
          <w:b/>
          <w:iCs/>
          <w:color w:val="C0504D" w:themeColor="accent2"/>
          <w:kern w:val="24"/>
          <w:szCs w:val="22"/>
        </w:rPr>
        <w:t>tools</w:t>
      </w:r>
      <w:r w:rsidR="00302A88">
        <w:rPr>
          <w:rFonts w:eastAsia="+mn-ea" w:cs="Calibri"/>
          <w:iCs/>
          <w:color w:val="000000"/>
          <w:kern w:val="24"/>
          <w:sz w:val="20"/>
          <w:szCs w:val="22"/>
        </w:rPr>
        <w:t xml:space="preserve"> included in the t</w:t>
      </w:r>
      <w:r>
        <w:rPr>
          <w:rFonts w:eastAsia="+mn-ea" w:cs="Calibri"/>
          <w:iCs/>
          <w:color w:val="000000"/>
          <w:kern w:val="24"/>
          <w:sz w:val="20"/>
          <w:szCs w:val="22"/>
        </w:rPr>
        <w:t xml:space="preserve">oolkit have been selected for their potential to be adapted and used in different contexts and CTP programmes, by different organizations. </w:t>
      </w:r>
      <w:r w:rsidR="00E22D0E">
        <w:rPr>
          <w:sz w:val="20"/>
        </w:rPr>
        <w:t>They are either templates, checklist</w:t>
      </w:r>
      <w:r w:rsidR="00641807">
        <w:rPr>
          <w:sz w:val="20"/>
        </w:rPr>
        <w:t>s</w:t>
      </w:r>
      <w:bookmarkStart w:id="0" w:name="_GoBack"/>
      <w:bookmarkEnd w:id="0"/>
      <w:r w:rsidR="00E22D0E">
        <w:rPr>
          <w:sz w:val="20"/>
        </w:rPr>
        <w:t xml:space="preserve"> or guidance tools. </w:t>
      </w:r>
    </w:p>
    <w:p w14:paraId="233492C9" w14:textId="46F91818" w:rsidR="00E22D0E" w:rsidRDefault="00DD4BAC" w:rsidP="00E22D0E">
      <w:pPr>
        <w:spacing w:after="120"/>
        <w:jc w:val="both"/>
        <w:rPr>
          <w:b/>
          <w:color w:val="C0504D" w:themeColor="accent2"/>
        </w:rPr>
      </w:pPr>
      <w:r w:rsidRPr="00E22D0E">
        <w:rPr>
          <w:b/>
          <w:color w:val="C0504D" w:themeColor="accent2"/>
        </w:rPr>
        <w:t>RCRC Movement Key documents</w:t>
      </w:r>
      <w:r w:rsidR="00E22D0E">
        <w:rPr>
          <w:b/>
          <w:color w:val="C0504D" w:themeColor="accent2"/>
        </w:rPr>
        <w:t xml:space="preserve"> </w:t>
      </w:r>
      <w:r w:rsidR="00E22D0E">
        <w:rPr>
          <w:sz w:val="20"/>
        </w:rPr>
        <w:t>with RCRC</w:t>
      </w:r>
      <w:r w:rsidR="00A163B1">
        <w:rPr>
          <w:sz w:val="20"/>
        </w:rPr>
        <w:t xml:space="preserve"> Movement</w:t>
      </w:r>
      <w:r w:rsidR="00E22D0E">
        <w:rPr>
          <w:sz w:val="20"/>
        </w:rPr>
        <w:t xml:space="preserve"> Guidance and Standard Operating Procedures (SOPs). </w:t>
      </w:r>
    </w:p>
    <w:p w14:paraId="078E87C6" w14:textId="316A9AF6" w:rsidR="002373C3" w:rsidRPr="00E22D0E" w:rsidRDefault="00E22D0E" w:rsidP="002373C3">
      <w:pPr>
        <w:spacing w:after="120"/>
        <w:jc w:val="both"/>
        <w:rPr>
          <w:rFonts w:eastAsia="+mn-ea" w:cs="Calibri"/>
          <w:iCs/>
          <w:kern w:val="24"/>
          <w:sz w:val="20"/>
          <w:szCs w:val="22"/>
        </w:rPr>
      </w:pPr>
      <w:r>
        <w:rPr>
          <w:b/>
          <w:color w:val="C0504D" w:themeColor="accent2"/>
        </w:rPr>
        <w:t xml:space="preserve">Reference Box and Modalities Box </w:t>
      </w:r>
      <w:r>
        <w:rPr>
          <w:rFonts w:eastAsia="+mn-ea" w:cs="Calibri"/>
          <w:iCs/>
          <w:kern w:val="24"/>
          <w:sz w:val="20"/>
          <w:szCs w:val="22"/>
        </w:rPr>
        <w:t xml:space="preserve">include </w:t>
      </w:r>
      <w:r w:rsidRPr="00E22D0E">
        <w:rPr>
          <w:rFonts w:eastAsia="+mn-ea" w:cs="Calibri"/>
          <w:iCs/>
          <w:kern w:val="24"/>
          <w:sz w:val="20"/>
          <w:szCs w:val="22"/>
        </w:rPr>
        <w:t xml:space="preserve">relevant CTP guidance and specific modality </w:t>
      </w:r>
      <w:r>
        <w:rPr>
          <w:rFonts w:eastAsia="+mn-ea" w:cs="Calibri"/>
          <w:iCs/>
          <w:kern w:val="24"/>
          <w:sz w:val="20"/>
          <w:szCs w:val="22"/>
        </w:rPr>
        <w:t xml:space="preserve">tools </w:t>
      </w:r>
      <w:r w:rsidRPr="00E22D0E">
        <w:rPr>
          <w:rFonts w:eastAsia="+mn-ea" w:cs="Calibri"/>
          <w:iCs/>
          <w:kern w:val="24"/>
          <w:sz w:val="20"/>
          <w:szCs w:val="22"/>
        </w:rPr>
        <w:t>(</w:t>
      </w:r>
      <w:proofErr w:type="spellStart"/>
      <w:r w:rsidRPr="00E22D0E">
        <w:rPr>
          <w:rFonts w:eastAsia="+mn-ea" w:cs="Calibri"/>
          <w:iCs/>
          <w:kern w:val="24"/>
          <w:sz w:val="20"/>
          <w:szCs w:val="22"/>
        </w:rPr>
        <w:t>CfW</w:t>
      </w:r>
      <w:proofErr w:type="spellEnd"/>
      <w:r w:rsidRPr="00E22D0E">
        <w:rPr>
          <w:rFonts w:eastAsia="+mn-ea" w:cs="Calibri"/>
          <w:iCs/>
          <w:kern w:val="24"/>
          <w:sz w:val="20"/>
          <w:szCs w:val="22"/>
        </w:rPr>
        <w:t>, Vouchers)</w:t>
      </w:r>
    </w:p>
    <w:p w14:paraId="1DC328D9" w14:textId="77777777" w:rsidR="00861739" w:rsidRDefault="00861739" w:rsidP="002373C3">
      <w:pPr>
        <w:spacing w:after="120"/>
        <w:jc w:val="both"/>
        <w:rPr>
          <w:b/>
          <w:color w:val="C0504D" w:themeColor="accent2"/>
          <w:sz w:val="28"/>
        </w:rPr>
      </w:pPr>
    </w:p>
    <w:p w14:paraId="61C7A888" w14:textId="77777777" w:rsidR="00405A0B" w:rsidRDefault="00405A0B" w:rsidP="002373C3">
      <w:pPr>
        <w:spacing w:after="120"/>
        <w:jc w:val="both"/>
        <w:rPr>
          <w:b/>
          <w:color w:val="C0504D" w:themeColor="accent2"/>
          <w:sz w:val="28"/>
        </w:rPr>
      </w:pPr>
    </w:p>
    <w:p w14:paraId="65787EDD" w14:textId="77777777" w:rsidR="005F2B11" w:rsidRDefault="005F2B11" w:rsidP="002373C3">
      <w:pPr>
        <w:spacing w:after="120"/>
        <w:jc w:val="both"/>
        <w:rPr>
          <w:b/>
          <w:color w:val="C0504D" w:themeColor="accent2"/>
          <w:sz w:val="28"/>
        </w:rPr>
      </w:pPr>
    </w:p>
    <w:p w14:paraId="01FB6FE1" w14:textId="77777777" w:rsidR="002373C3" w:rsidRPr="000D1B85" w:rsidRDefault="002373C3" w:rsidP="002373C3">
      <w:pPr>
        <w:spacing w:after="120"/>
        <w:jc w:val="both"/>
        <w:rPr>
          <w:b/>
          <w:color w:val="C0504D" w:themeColor="accent2"/>
          <w:sz w:val="28"/>
        </w:rPr>
      </w:pPr>
      <w:r w:rsidRPr="000D1B85">
        <w:rPr>
          <w:b/>
          <w:color w:val="C0504D" w:themeColor="accent2"/>
          <w:sz w:val="28"/>
        </w:rPr>
        <w:lastRenderedPageBreak/>
        <w:t>Feedback to the CiE Toolkit</w:t>
      </w:r>
    </w:p>
    <w:p w14:paraId="25FFC004" w14:textId="19CE01F2" w:rsidR="002373C3" w:rsidRPr="00366841" w:rsidRDefault="002373C3" w:rsidP="002373C3">
      <w:pPr>
        <w:spacing w:after="120"/>
        <w:jc w:val="both"/>
        <w:rPr>
          <w:rFonts w:eastAsia="+mn-ea" w:cs="Calibri"/>
          <w:iCs/>
          <w:color w:val="000000"/>
          <w:kern w:val="24"/>
          <w:sz w:val="20"/>
          <w:szCs w:val="22"/>
        </w:rPr>
      </w:pPr>
      <w:r w:rsidRPr="00577AFF">
        <w:rPr>
          <w:rFonts w:eastAsia="+mn-ea" w:cs="Calibri"/>
          <w:iCs/>
          <w:color w:val="000000"/>
          <w:kern w:val="24"/>
          <w:sz w:val="20"/>
          <w:szCs w:val="22"/>
        </w:rPr>
        <w:t xml:space="preserve">The CiE Toolkit has been based on tools, guidance and experience </w:t>
      </w:r>
      <w:r>
        <w:rPr>
          <w:rFonts w:eastAsia="+mn-ea" w:cs="Calibri"/>
          <w:iCs/>
          <w:color w:val="000000"/>
          <w:kern w:val="24"/>
          <w:sz w:val="20"/>
          <w:szCs w:val="22"/>
        </w:rPr>
        <w:t xml:space="preserve">both </w:t>
      </w:r>
      <w:r w:rsidRPr="00577AFF">
        <w:rPr>
          <w:rFonts w:eastAsia="+mn-ea" w:cs="Calibri"/>
          <w:iCs/>
          <w:color w:val="000000"/>
          <w:kern w:val="24"/>
          <w:sz w:val="20"/>
          <w:szCs w:val="22"/>
        </w:rPr>
        <w:t xml:space="preserve">from within </w:t>
      </w:r>
      <w:r w:rsidRPr="004A7B2A">
        <w:rPr>
          <w:rFonts w:eastAsia="+mn-ea" w:cs="Calibri"/>
          <w:iCs/>
          <w:color w:val="000000"/>
          <w:kern w:val="24"/>
          <w:sz w:val="20"/>
          <w:szCs w:val="22"/>
        </w:rPr>
        <w:t>the Movement and</w:t>
      </w:r>
      <w:r w:rsidRPr="00577AFF">
        <w:rPr>
          <w:rFonts w:eastAsia="+mn-ea" w:cs="Calibri"/>
          <w:iCs/>
          <w:color w:val="000000"/>
          <w:kern w:val="24"/>
          <w:sz w:val="20"/>
          <w:szCs w:val="22"/>
        </w:rPr>
        <w:t xml:space="preserve"> </w:t>
      </w:r>
      <w:r>
        <w:rPr>
          <w:rFonts w:eastAsia="+mn-ea" w:cs="Calibri"/>
          <w:iCs/>
          <w:color w:val="000000"/>
          <w:kern w:val="24"/>
          <w:sz w:val="20"/>
          <w:szCs w:val="22"/>
        </w:rPr>
        <w:t xml:space="preserve">from </w:t>
      </w:r>
      <w:r w:rsidR="00124D1F">
        <w:rPr>
          <w:rFonts w:eastAsia="+mn-ea" w:cs="Calibri"/>
          <w:iCs/>
          <w:color w:val="000000"/>
          <w:kern w:val="24"/>
          <w:sz w:val="20"/>
          <w:szCs w:val="22"/>
        </w:rPr>
        <w:t>other humanitarian organiz</w:t>
      </w:r>
      <w:r w:rsidRPr="00577AFF">
        <w:rPr>
          <w:rFonts w:eastAsia="+mn-ea" w:cs="Calibri"/>
          <w:iCs/>
          <w:color w:val="000000"/>
          <w:kern w:val="24"/>
          <w:sz w:val="20"/>
          <w:szCs w:val="22"/>
        </w:rPr>
        <w:t xml:space="preserve">ations. A few tools and </w:t>
      </w:r>
      <w:r w:rsidR="00124D1F">
        <w:rPr>
          <w:rFonts w:eastAsia="+mn-ea" w:cs="Calibri"/>
          <w:iCs/>
          <w:color w:val="000000"/>
          <w:kern w:val="24"/>
          <w:sz w:val="20"/>
          <w:szCs w:val="22"/>
        </w:rPr>
        <w:t xml:space="preserve">some </w:t>
      </w:r>
      <w:r w:rsidRPr="00577AFF">
        <w:rPr>
          <w:rFonts w:eastAsia="+mn-ea" w:cs="Calibri"/>
          <w:iCs/>
          <w:color w:val="000000"/>
          <w:kern w:val="24"/>
          <w:sz w:val="20"/>
          <w:szCs w:val="22"/>
        </w:rPr>
        <w:t xml:space="preserve">guidance </w:t>
      </w:r>
      <w:r>
        <w:rPr>
          <w:rFonts w:eastAsia="+mn-ea" w:cs="Calibri"/>
          <w:iCs/>
          <w:color w:val="000000"/>
          <w:kern w:val="24"/>
          <w:sz w:val="20"/>
          <w:szCs w:val="22"/>
        </w:rPr>
        <w:t>have been</w:t>
      </w:r>
      <w:r w:rsidRPr="00577AFF">
        <w:rPr>
          <w:rFonts w:eastAsia="+mn-ea" w:cs="Calibri"/>
          <w:iCs/>
          <w:color w:val="000000"/>
          <w:kern w:val="24"/>
          <w:sz w:val="20"/>
          <w:szCs w:val="22"/>
        </w:rPr>
        <w:t xml:space="preserve"> developed </w:t>
      </w:r>
      <w:r>
        <w:rPr>
          <w:rFonts w:eastAsia="+mn-ea" w:cs="Calibri"/>
          <w:iCs/>
          <w:color w:val="000000"/>
          <w:kern w:val="24"/>
          <w:sz w:val="20"/>
          <w:szCs w:val="22"/>
        </w:rPr>
        <w:t>to fill existing gaps</w:t>
      </w:r>
      <w:r w:rsidRPr="00577AFF">
        <w:rPr>
          <w:rFonts w:eastAsia="+mn-ea" w:cs="Calibri"/>
          <w:iCs/>
          <w:color w:val="000000"/>
          <w:kern w:val="24"/>
          <w:sz w:val="20"/>
          <w:szCs w:val="22"/>
        </w:rPr>
        <w:t xml:space="preserve">. </w:t>
      </w:r>
      <w:r>
        <w:rPr>
          <w:rFonts w:eastAsia="+mn-ea" w:cs="Calibri"/>
          <w:iCs/>
          <w:color w:val="000000"/>
          <w:kern w:val="24"/>
          <w:sz w:val="20"/>
          <w:szCs w:val="22"/>
        </w:rPr>
        <w:t>S</w:t>
      </w:r>
      <w:r w:rsidRPr="00577AFF">
        <w:rPr>
          <w:rFonts w:eastAsia="+mn-ea" w:cs="Calibri"/>
          <w:iCs/>
          <w:color w:val="000000"/>
          <w:kern w:val="24"/>
          <w:sz w:val="20"/>
          <w:szCs w:val="22"/>
        </w:rPr>
        <w:t xml:space="preserve">uggestions for improvement </w:t>
      </w:r>
      <w:r>
        <w:rPr>
          <w:rFonts w:eastAsia="+mn-ea" w:cs="Calibri"/>
          <w:iCs/>
          <w:color w:val="000000"/>
          <w:kern w:val="24"/>
          <w:sz w:val="20"/>
          <w:szCs w:val="22"/>
        </w:rPr>
        <w:t xml:space="preserve">of tools </w:t>
      </w:r>
      <w:r w:rsidRPr="00577AFF">
        <w:rPr>
          <w:rFonts w:eastAsia="+mn-ea" w:cs="Calibri"/>
          <w:iCs/>
          <w:color w:val="000000"/>
          <w:kern w:val="24"/>
          <w:sz w:val="20"/>
          <w:szCs w:val="22"/>
        </w:rPr>
        <w:t xml:space="preserve">are welcome and </w:t>
      </w:r>
      <w:r w:rsidR="00124D1F">
        <w:rPr>
          <w:rFonts w:eastAsia="+mn-ea" w:cs="Calibri"/>
          <w:iCs/>
          <w:color w:val="000000"/>
          <w:kern w:val="24"/>
          <w:sz w:val="20"/>
          <w:szCs w:val="22"/>
        </w:rPr>
        <w:t>shall inform the periodic</w:t>
      </w:r>
      <w:r>
        <w:rPr>
          <w:rFonts w:eastAsia="+mn-ea" w:cs="Calibri"/>
          <w:iCs/>
          <w:color w:val="000000"/>
          <w:kern w:val="24"/>
          <w:sz w:val="20"/>
          <w:szCs w:val="22"/>
        </w:rPr>
        <w:t xml:space="preserve"> update</w:t>
      </w:r>
      <w:r w:rsidR="00124D1F">
        <w:rPr>
          <w:rFonts w:eastAsia="+mn-ea" w:cs="Calibri"/>
          <w:iCs/>
          <w:color w:val="000000"/>
          <w:kern w:val="24"/>
          <w:sz w:val="20"/>
          <w:szCs w:val="22"/>
        </w:rPr>
        <w:t>s of the t</w:t>
      </w:r>
      <w:r>
        <w:rPr>
          <w:rFonts w:eastAsia="+mn-ea" w:cs="Calibri"/>
          <w:iCs/>
          <w:color w:val="000000"/>
          <w:kern w:val="24"/>
          <w:sz w:val="20"/>
          <w:szCs w:val="22"/>
        </w:rPr>
        <w:t>oolkit</w:t>
      </w:r>
      <w:r w:rsidRPr="00577AFF">
        <w:rPr>
          <w:rFonts w:eastAsia="+mn-ea" w:cs="Calibri"/>
          <w:iCs/>
          <w:color w:val="000000"/>
          <w:kern w:val="24"/>
          <w:sz w:val="20"/>
          <w:szCs w:val="22"/>
        </w:rPr>
        <w:t xml:space="preserve">. </w:t>
      </w:r>
    </w:p>
    <w:p w14:paraId="5F76128D" w14:textId="77777777" w:rsidR="002373C3" w:rsidRDefault="002373C3" w:rsidP="002373C3">
      <w:pPr>
        <w:spacing w:after="120"/>
        <w:jc w:val="both"/>
        <w:rPr>
          <w:b/>
          <w:color w:val="C0504D" w:themeColor="accent2"/>
          <w:sz w:val="28"/>
        </w:rPr>
      </w:pPr>
    </w:p>
    <w:p w14:paraId="4FB28570" w14:textId="77777777" w:rsidR="00C0774C" w:rsidRPr="000D1B85" w:rsidRDefault="002373C3" w:rsidP="002373C3">
      <w:pPr>
        <w:spacing w:after="120"/>
        <w:jc w:val="both"/>
        <w:rPr>
          <w:b/>
          <w:color w:val="C0504D" w:themeColor="accent2"/>
          <w:sz w:val="28"/>
        </w:rPr>
      </w:pPr>
      <w:r w:rsidRPr="000D1B85">
        <w:rPr>
          <w:b/>
          <w:color w:val="C0504D" w:themeColor="accent2"/>
          <w:sz w:val="28"/>
        </w:rPr>
        <w:t>CiE Toolkit overview</w:t>
      </w:r>
    </w:p>
    <w:p w14:paraId="0EB5E7D7" w14:textId="77777777" w:rsidR="00085D25" w:rsidRDefault="00085D25" w:rsidP="002373C3">
      <w:pPr>
        <w:spacing w:after="120"/>
        <w:jc w:val="both"/>
        <w:rPr>
          <w:b/>
          <w:color w:val="C0504D" w:themeColor="accent2"/>
        </w:rPr>
      </w:pPr>
      <w:r>
        <w:rPr>
          <w:b/>
          <w:color w:val="C0504D" w:themeColor="accent2"/>
        </w:rPr>
        <w:t>Module 1: Preparedness</w:t>
      </w:r>
    </w:p>
    <w:p w14:paraId="738BE7E3" w14:textId="2BABE36B" w:rsidR="00085D25" w:rsidRPr="00085D25" w:rsidRDefault="00124D1F" w:rsidP="00085D25">
      <w:pPr>
        <w:spacing w:after="120"/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</w:pPr>
      <w:r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This module moves step by </w:t>
      </w:r>
      <w:r w:rsidR="007B72F2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step through the process of </w:t>
      </w:r>
      <w:r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preparing </w:t>
      </w:r>
      <w:r w:rsidR="007B72F2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to </w:t>
      </w:r>
      <w:r w:rsidR="00F9312C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>implement cash responses</w:t>
      </w:r>
      <w:r w:rsidR="007B72F2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 to </w:t>
      </w:r>
      <w:r w:rsidR="00F9312C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>future emergencies. It introduces the user to the toolkit resources that are relevant when establishing</w:t>
      </w:r>
      <w:r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 a</w:t>
      </w:r>
      <w:r w:rsidR="00F9312C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 baseline, developing sc</w:t>
      </w:r>
      <w:r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>enarios, conducting stakeholder</w:t>
      </w:r>
      <w:r w:rsidR="00F9312C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 and</w:t>
      </w:r>
      <w:r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 internal gap analysis, preparing </w:t>
      </w:r>
      <w:r w:rsidR="00F9312C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>and implement</w:t>
      </w:r>
      <w:r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>ing</w:t>
      </w:r>
      <w:r w:rsidR="00F9312C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 a plan of action, </w:t>
      </w:r>
      <w:r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and </w:t>
      </w:r>
      <w:r w:rsidR="00F9312C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>learn</w:t>
      </w:r>
      <w:r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>ing</w:t>
      </w:r>
      <w:r w:rsidR="00F9312C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 and review</w:t>
      </w:r>
      <w:r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>ing</w:t>
      </w:r>
      <w:r w:rsidR="00F9312C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>.</w:t>
      </w:r>
    </w:p>
    <w:p w14:paraId="594BE5ED" w14:textId="77777777" w:rsidR="00085D25" w:rsidRDefault="00085D25" w:rsidP="00085D25">
      <w:pPr>
        <w:spacing w:after="120"/>
        <w:jc w:val="both"/>
        <w:rPr>
          <w:b/>
          <w:color w:val="C0504D" w:themeColor="accent2"/>
        </w:rPr>
      </w:pPr>
      <w:r>
        <w:rPr>
          <w:b/>
          <w:color w:val="C0504D" w:themeColor="accent2"/>
        </w:rPr>
        <w:t>Module 2: Assessment</w:t>
      </w:r>
    </w:p>
    <w:p w14:paraId="4FC095AE" w14:textId="71BB5FE9" w:rsidR="00085D25" w:rsidRPr="00085D25" w:rsidRDefault="00085D25" w:rsidP="00085D25">
      <w:pPr>
        <w:spacing w:after="120"/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</w:pPr>
      <w:r w:rsidRPr="00085D25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This </w:t>
      </w:r>
      <w:r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module </w:t>
      </w:r>
      <w:r w:rsidR="00124D1F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moves step by step </w:t>
      </w:r>
      <w:r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through the process of understanding whether or not assistance is required by an emergency-affected population and if so, exactly who, where, what, how and for how long. It introduces the user to </w:t>
      </w:r>
      <w:r w:rsidR="007B72F2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>the toolkit resources that are relevant when</w:t>
      </w:r>
      <w:r w:rsidR="00124D1F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 </w:t>
      </w:r>
      <w:r w:rsidR="00124D1F" w:rsidRPr="00124D1F">
        <w:rPr>
          <w:rFonts w:ascii="Calibri" w:hAnsi="Calibri"/>
          <w:color w:val="000000"/>
          <w:sz w:val="20"/>
          <w:szCs w:val="16"/>
          <w:shd w:val="clear" w:color="auto" w:fill="FFFFFF"/>
          <w:lang w:eastAsia="it-IT"/>
        </w:rPr>
        <w:t>analys</w:t>
      </w:r>
      <w:r w:rsidRPr="00124D1F">
        <w:rPr>
          <w:rFonts w:ascii="Calibri" w:hAnsi="Calibri"/>
          <w:color w:val="000000"/>
          <w:sz w:val="20"/>
          <w:szCs w:val="16"/>
          <w:shd w:val="clear" w:color="auto" w:fill="FFFFFF"/>
          <w:lang w:eastAsia="it-IT"/>
        </w:rPr>
        <w:t>ing</w:t>
      </w:r>
      <w:r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 household needs</w:t>
      </w:r>
      <w:r w:rsidR="00124D1F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 and</w:t>
      </w:r>
      <w:r w:rsidR="007B72F2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 household</w:t>
      </w:r>
      <w:r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 access to markets and services</w:t>
      </w:r>
      <w:r w:rsidR="007B72F2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>,</w:t>
      </w:r>
      <w:r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 </w:t>
      </w:r>
      <w:r w:rsidR="007B72F2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as well as </w:t>
      </w:r>
      <w:r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>technical and organizational response capacities.</w:t>
      </w:r>
    </w:p>
    <w:p w14:paraId="2A3B1339" w14:textId="4AAD4AA2" w:rsidR="00C0774C" w:rsidRPr="000D1B85" w:rsidRDefault="00085D25" w:rsidP="002373C3">
      <w:pPr>
        <w:spacing w:after="120"/>
        <w:jc w:val="both"/>
        <w:rPr>
          <w:b/>
          <w:color w:val="C0504D" w:themeColor="accent2"/>
        </w:rPr>
      </w:pPr>
      <w:r>
        <w:rPr>
          <w:b/>
          <w:color w:val="C0504D" w:themeColor="accent2"/>
        </w:rPr>
        <w:t xml:space="preserve">Module 3: </w:t>
      </w:r>
      <w:r w:rsidR="00124D1F">
        <w:rPr>
          <w:b/>
          <w:color w:val="C0504D" w:themeColor="accent2"/>
        </w:rPr>
        <w:t>Response a</w:t>
      </w:r>
      <w:r w:rsidR="00C0774C" w:rsidRPr="000D1B85">
        <w:rPr>
          <w:b/>
          <w:color w:val="C0504D" w:themeColor="accent2"/>
        </w:rPr>
        <w:t>nalysis</w:t>
      </w:r>
      <w:r w:rsidR="002373C3" w:rsidRPr="000D1B85">
        <w:rPr>
          <w:b/>
          <w:color w:val="C0504D" w:themeColor="accent2"/>
        </w:rPr>
        <w:t xml:space="preserve"> </w:t>
      </w:r>
    </w:p>
    <w:p w14:paraId="375D3179" w14:textId="5ECAFFB4" w:rsidR="00C0774C" w:rsidRPr="00D76731" w:rsidRDefault="00C0774C" w:rsidP="002373C3">
      <w:pPr>
        <w:spacing w:after="120"/>
        <w:rPr>
          <w:rFonts w:ascii="Calibri" w:hAnsi="Calibri"/>
          <w:color w:val="000000"/>
          <w:sz w:val="15"/>
          <w:szCs w:val="15"/>
          <w:shd w:val="clear" w:color="auto" w:fill="FFFFFF"/>
          <w:lang w:val="it-IT" w:eastAsia="it-IT"/>
        </w:rPr>
      </w:pPr>
      <w:r w:rsidRPr="007D6F62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This module </w:t>
      </w:r>
      <w:r w:rsidR="00124D1F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moves step by step </w:t>
      </w:r>
      <w:r w:rsidRPr="007D6F62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>through the process of response analysis</w:t>
      </w:r>
      <w:r w:rsidR="002373C3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>, and introduces the user to the toolkit resources that are relevant when choosing</w:t>
      </w:r>
      <w:r w:rsidRPr="007D6F62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 the best transfer modalities and d</w:t>
      </w:r>
      <w:r w:rsidR="002373C3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>elivery mechanisms, deciding</w:t>
      </w:r>
      <w:r w:rsidRPr="007D6F62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 on the value of the transfer and targeting</w:t>
      </w:r>
      <w:r w:rsidR="002373C3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 CTP beneficiaries</w:t>
      </w:r>
      <w:r w:rsidR="007C2596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. </w:t>
      </w:r>
    </w:p>
    <w:p w14:paraId="0D3FB88A" w14:textId="66CF0048" w:rsidR="00C0774C" w:rsidRPr="000D1B85" w:rsidRDefault="00085D25" w:rsidP="002373C3">
      <w:pPr>
        <w:spacing w:after="120"/>
        <w:jc w:val="both"/>
        <w:rPr>
          <w:b/>
          <w:color w:val="C0504D" w:themeColor="accent2"/>
        </w:rPr>
      </w:pPr>
      <w:r>
        <w:rPr>
          <w:b/>
          <w:color w:val="C0504D" w:themeColor="accent2"/>
        </w:rPr>
        <w:t xml:space="preserve">Module 4: </w:t>
      </w:r>
      <w:r w:rsidR="003F75F7">
        <w:rPr>
          <w:b/>
          <w:color w:val="C0504D" w:themeColor="accent2"/>
        </w:rPr>
        <w:t>Set-up and</w:t>
      </w:r>
      <w:r w:rsidR="00C0774C" w:rsidRPr="000D1B85">
        <w:rPr>
          <w:b/>
          <w:color w:val="C0504D" w:themeColor="accent2"/>
        </w:rPr>
        <w:t xml:space="preserve"> implementation</w:t>
      </w:r>
      <w:r w:rsidR="002373C3" w:rsidRPr="000D1B85">
        <w:rPr>
          <w:b/>
          <w:color w:val="C0504D" w:themeColor="accent2"/>
        </w:rPr>
        <w:t xml:space="preserve"> </w:t>
      </w:r>
    </w:p>
    <w:p w14:paraId="609747D8" w14:textId="2CC097A6" w:rsidR="00C0774C" w:rsidRPr="007D6F62" w:rsidRDefault="00C0774C" w:rsidP="002373C3">
      <w:pPr>
        <w:spacing w:after="120"/>
        <w:jc w:val="both"/>
        <w:rPr>
          <w:sz w:val="20"/>
        </w:rPr>
      </w:pPr>
      <w:r w:rsidRPr="007D6F62">
        <w:rPr>
          <w:rFonts w:ascii="Calibri" w:hAnsi="Calibri"/>
          <w:color w:val="000000"/>
          <w:sz w:val="20"/>
        </w:rPr>
        <w:t xml:space="preserve">This module </w:t>
      </w:r>
      <w:r w:rsidR="00124D1F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>moves step by step</w:t>
      </w:r>
      <w:r w:rsidRPr="007D6F62">
        <w:rPr>
          <w:rFonts w:ascii="Calibri" w:hAnsi="Calibri"/>
          <w:color w:val="000000"/>
          <w:sz w:val="20"/>
        </w:rPr>
        <w:t xml:space="preserve"> through the process of setting-up and implementing </w:t>
      </w:r>
      <w:r w:rsidR="002373C3">
        <w:rPr>
          <w:rFonts w:ascii="Calibri" w:hAnsi="Calibri"/>
          <w:color w:val="000000"/>
          <w:sz w:val="20"/>
        </w:rPr>
        <w:t>CTP</w:t>
      </w:r>
      <w:r w:rsidRPr="007D6F62">
        <w:rPr>
          <w:rFonts w:ascii="Calibri" w:hAnsi="Calibri"/>
          <w:color w:val="000000"/>
          <w:sz w:val="20"/>
        </w:rPr>
        <w:t xml:space="preserve"> in emergencies</w:t>
      </w:r>
      <w:r w:rsidR="002373C3">
        <w:rPr>
          <w:rFonts w:ascii="Calibri" w:hAnsi="Calibri"/>
          <w:color w:val="000000"/>
          <w:sz w:val="20"/>
        </w:rPr>
        <w:t xml:space="preserve">, and introduces the user to </w:t>
      </w:r>
      <w:r w:rsidR="002373C3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>the toolkit resources that are relevant for CTP</w:t>
      </w:r>
      <w:r w:rsidRPr="007D6F62">
        <w:rPr>
          <w:rFonts w:ascii="Calibri" w:hAnsi="Calibri"/>
          <w:color w:val="000000"/>
          <w:sz w:val="20"/>
        </w:rPr>
        <w:t xml:space="preserve"> plan</w:t>
      </w:r>
      <w:r w:rsidR="002373C3">
        <w:rPr>
          <w:rFonts w:ascii="Calibri" w:hAnsi="Calibri"/>
          <w:color w:val="000000"/>
          <w:sz w:val="20"/>
        </w:rPr>
        <w:t>ning</w:t>
      </w:r>
      <w:r w:rsidRPr="007D6F62">
        <w:rPr>
          <w:rFonts w:ascii="Calibri" w:hAnsi="Calibri"/>
          <w:color w:val="000000"/>
          <w:sz w:val="20"/>
        </w:rPr>
        <w:t xml:space="preserve">, </w:t>
      </w:r>
      <w:r w:rsidR="002373C3">
        <w:rPr>
          <w:rFonts w:ascii="Calibri" w:hAnsi="Calibri"/>
          <w:color w:val="000000"/>
          <w:sz w:val="20"/>
        </w:rPr>
        <w:t>beneficiary communication and accountability, service provider selection and contracting</w:t>
      </w:r>
      <w:r w:rsidRPr="007D6F62">
        <w:rPr>
          <w:rFonts w:ascii="Calibri" w:hAnsi="Calibri"/>
          <w:color w:val="000000"/>
          <w:sz w:val="20"/>
        </w:rPr>
        <w:t xml:space="preserve">, </w:t>
      </w:r>
      <w:r w:rsidR="002373C3">
        <w:rPr>
          <w:rFonts w:ascii="Calibri" w:hAnsi="Calibri"/>
          <w:color w:val="000000"/>
          <w:sz w:val="20"/>
        </w:rPr>
        <w:t>beneficiary registration</w:t>
      </w:r>
      <w:r w:rsidR="003F75F7">
        <w:rPr>
          <w:rFonts w:ascii="Calibri" w:hAnsi="Calibri"/>
          <w:color w:val="000000"/>
          <w:sz w:val="20"/>
        </w:rPr>
        <w:t xml:space="preserve"> and identification</w:t>
      </w:r>
      <w:r w:rsidR="002373C3">
        <w:rPr>
          <w:rFonts w:ascii="Calibri" w:hAnsi="Calibri"/>
          <w:color w:val="000000"/>
          <w:sz w:val="20"/>
        </w:rPr>
        <w:t xml:space="preserve">, as well as </w:t>
      </w:r>
      <w:r w:rsidR="003F75F7">
        <w:rPr>
          <w:rFonts w:ascii="Calibri" w:hAnsi="Calibri"/>
          <w:color w:val="000000"/>
          <w:sz w:val="20"/>
        </w:rPr>
        <w:t>distribution</w:t>
      </w:r>
      <w:r w:rsidRPr="007D6F62">
        <w:rPr>
          <w:rFonts w:ascii="Calibri" w:hAnsi="Calibri"/>
          <w:color w:val="000000"/>
          <w:sz w:val="20"/>
        </w:rPr>
        <w:t xml:space="preserve"> and encashment. </w:t>
      </w:r>
    </w:p>
    <w:p w14:paraId="26AC0EC6" w14:textId="4921D979" w:rsidR="00C0774C" w:rsidRPr="000D1B85" w:rsidRDefault="00085D25" w:rsidP="002373C3">
      <w:pPr>
        <w:spacing w:after="120"/>
        <w:jc w:val="both"/>
        <w:rPr>
          <w:b/>
          <w:color w:val="C0504D" w:themeColor="accent2"/>
        </w:rPr>
      </w:pPr>
      <w:r>
        <w:rPr>
          <w:b/>
          <w:color w:val="C0504D" w:themeColor="accent2"/>
        </w:rPr>
        <w:t xml:space="preserve">Module 5: </w:t>
      </w:r>
      <w:r w:rsidR="003F75F7">
        <w:rPr>
          <w:b/>
          <w:color w:val="C0504D" w:themeColor="accent2"/>
        </w:rPr>
        <w:t>Monitoring and e</w:t>
      </w:r>
      <w:r w:rsidR="00C0774C" w:rsidRPr="000D1B85">
        <w:rPr>
          <w:b/>
          <w:color w:val="C0504D" w:themeColor="accent2"/>
        </w:rPr>
        <w:t>valuation</w:t>
      </w:r>
      <w:r w:rsidR="002373C3" w:rsidRPr="000D1B85">
        <w:rPr>
          <w:b/>
          <w:color w:val="C0504D" w:themeColor="accent2"/>
        </w:rPr>
        <w:t xml:space="preserve"> </w:t>
      </w:r>
    </w:p>
    <w:p w14:paraId="31BF8B96" w14:textId="73868D6C" w:rsidR="002373C3" w:rsidRDefault="002373C3" w:rsidP="002373C3">
      <w:pPr>
        <w:spacing w:after="120"/>
        <w:jc w:val="both"/>
        <w:rPr>
          <w:b/>
          <w:color w:val="C0504D" w:themeColor="accent2"/>
        </w:rPr>
      </w:pPr>
      <w:r w:rsidRPr="007D6F62">
        <w:rPr>
          <w:rFonts w:ascii="Calibri" w:hAnsi="Calibri"/>
          <w:color w:val="000000"/>
          <w:sz w:val="20"/>
        </w:rPr>
        <w:t xml:space="preserve">This module </w:t>
      </w:r>
      <w:r w:rsidR="00124D1F"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moves step by step </w:t>
      </w:r>
      <w:r w:rsidRPr="007D6F62">
        <w:rPr>
          <w:rFonts w:ascii="Calibri" w:hAnsi="Calibri"/>
          <w:color w:val="000000"/>
          <w:sz w:val="20"/>
        </w:rPr>
        <w:t xml:space="preserve">through the process of monitoring and evaluating a </w:t>
      </w:r>
      <w:r>
        <w:rPr>
          <w:rFonts w:ascii="Calibri" w:hAnsi="Calibri"/>
          <w:color w:val="000000"/>
          <w:sz w:val="20"/>
        </w:rPr>
        <w:t xml:space="preserve">CTP, and introduces the user to </w:t>
      </w:r>
      <w:r>
        <w:rPr>
          <w:rFonts w:ascii="Calibri" w:hAnsi="Calibri"/>
          <w:color w:val="000000"/>
          <w:sz w:val="20"/>
          <w:szCs w:val="16"/>
          <w:shd w:val="clear" w:color="auto" w:fill="FFFFFF"/>
          <w:lang w:val="en-US" w:eastAsia="it-IT"/>
        </w:rPr>
        <w:t xml:space="preserve">the toolkit resources that are relevant to </w:t>
      </w:r>
      <w:r w:rsidRPr="007D6F62">
        <w:rPr>
          <w:rFonts w:ascii="Calibri" w:hAnsi="Calibri"/>
          <w:color w:val="000000"/>
          <w:sz w:val="20"/>
        </w:rPr>
        <w:t>develop</w:t>
      </w:r>
      <w:r w:rsidR="003F75F7">
        <w:rPr>
          <w:rFonts w:ascii="Calibri" w:hAnsi="Calibri"/>
          <w:color w:val="000000"/>
          <w:sz w:val="20"/>
        </w:rPr>
        <w:t>ing</w:t>
      </w:r>
      <w:r w:rsidRPr="007D6F62">
        <w:rPr>
          <w:rFonts w:ascii="Calibri" w:hAnsi="Calibri"/>
          <w:color w:val="000000"/>
          <w:sz w:val="20"/>
        </w:rPr>
        <w:t xml:space="preserve"> M&amp;E plans and strategy, establish</w:t>
      </w:r>
      <w:r w:rsidR="003F75F7">
        <w:rPr>
          <w:rFonts w:ascii="Calibri" w:hAnsi="Calibri"/>
          <w:color w:val="000000"/>
          <w:sz w:val="20"/>
        </w:rPr>
        <w:t>ing</w:t>
      </w:r>
      <w:r w:rsidRPr="007D6F62">
        <w:rPr>
          <w:rFonts w:ascii="Calibri" w:hAnsi="Calibri"/>
          <w:color w:val="000000"/>
          <w:sz w:val="20"/>
        </w:rPr>
        <w:t xml:space="preserve"> baseline</w:t>
      </w:r>
      <w:r>
        <w:rPr>
          <w:rFonts w:ascii="Calibri" w:hAnsi="Calibri"/>
          <w:color w:val="000000"/>
          <w:sz w:val="20"/>
        </w:rPr>
        <w:t>s,</w:t>
      </w:r>
      <w:r w:rsidRPr="007D6F62">
        <w:rPr>
          <w:rFonts w:ascii="Calibri" w:hAnsi="Calibri"/>
          <w:color w:val="000000"/>
          <w:sz w:val="20"/>
        </w:rPr>
        <w:t xml:space="preserve"> </w:t>
      </w:r>
      <w:r>
        <w:rPr>
          <w:rFonts w:ascii="Calibri" w:hAnsi="Calibri"/>
          <w:color w:val="000000"/>
          <w:sz w:val="20"/>
        </w:rPr>
        <w:t>monitor</w:t>
      </w:r>
      <w:r w:rsidR="003F75F7">
        <w:rPr>
          <w:rFonts w:ascii="Calibri" w:hAnsi="Calibri"/>
          <w:color w:val="000000"/>
          <w:sz w:val="20"/>
        </w:rPr>
        <w:t>ing</w:t>
      </w:r>
      <w:r w:rsidRPr="007D6F62">
        <w:rPr>
          <w:rFonts w:ascii="Calibri" w:hAnsi="Calibri"/>
          <w:color w:val="000000"/>
          <w:sz w:val="20"/>
        </w:rPr>
        <w:t xml:space="preserve"> encashment, post-dist</w:t>
      </w:r>
      <w:r>
        <w:rPr>
          <w:rFonts w:ascii="Calibri" w:hAnsi="Calibri"/>
          <w:color w:val="000000"/>
          <w:sz w:val="20"/>
        </w:rPr>
        <w:t xml:space="preserve">ribution and </w:t>
      </w:r>
      <w:r w:rsidR="003F75F7">
        <w:rPr>
          <w:rFonts w:ascii="Calibri" w:hAnsi="Calibri"/>
          <w:color w:val="000000"/>
          <w:sz w:val="20"/>
        </w:rPr>
        <w:t>the market, and preparing</w:t>
      </w:r>
      <w:r>
        <w:rPr>
          <w:rFonts w:ascii="Calibri" w:hAnsi="Calibri"/>
          <w:color w:val="000000"/>
          <w:sz w:val="20"/>
        </w:rPr>
        <w:t xml:space="preserve"> evaluation</w:t>
      </w:r>
      <w:r w:rsidR="003F75F7">
        <w:rPr>
          <w:rFonts w:ascii="Calibri" w:hAnsi="Calibri"/>
          <w:color w:val="000000"/>
          <w:sz w:val="20"/>
        </w:rPr>
        <w:t xml:space="preserve"> Terns of Reference</w:t>
      </w:r>
      <w:r>
        <w:rPr>
          <w:rFonts w:ascii="Calibri" w:hAnsi="Calibri"/>
          <w:color w:val="000000"/>
          <w:sz w:val="20"/>
        </w:rPr>
        <w:t xml:space="preserve"> </w:t>
      </w:r>
      <w:r w:rsidR="003F75F7">
        <w:rPr>
          <w:rFonts w:ascii="Calibri" w:hAnsi="Calibri"/>
          <w:color w:val="000000"/>
          <w:sz w:val="20"/>
        </w:rPr>
        <w:t>(</w:t>
      </w:r>
      <w:r>
        <w:rPr>
          <w:rFonts w:ascii="Calibri" w:hAnsi="Calibri"/>
          <w:color w:val="000000"/>
          <w:sz w:val="20"/>
        </w:rPr>
        <w:t>ToRs</w:t>
      </w:r>
      <w:r w:rsidR="003F75F7">
        <w:rPr>
          <w:rFonts w:ascii="Calibri" w:hAnsi="Calibri"/>
          <w:color w:val="000000"/>
          <w:sz w:val="20"/>
        </w:rPr>
        <w:t>)</w:t>
      </w:r>
      <w:r>
        <w:rPr>
          <w:rFonts w:ascii="Calibri" w:hAnsi="Calibri"/>
          <w:color w:val="000000"/>
          <w:sz w:val="20"/>
        </w:rPr>
        <w:t xml:space="preserve">. </w:t>
      </w:r>
    </w:p>
    <w:p w14:paraId="1C5AC22D" w14:textId="77777777" w:rsidR="00F0650B" w:rsidRPr="00F0650B" w:rsidRDefault="00F0650B" w:rsidP="002373C3">
      <w:pPr>
        <w:spacing w:after="120"/>
        <w:jc w:val="both"/>
        <w:rPr>
          <w:b/>
          <w:color w:val="C0504D" w:themeColor="accent2"/>
        </w:rPr>
      </w:pPr>
    </w:p>
    <w:p w14:paraId="60D7F32A" w14:textId="77777777" w:rsidR="00F9312C" w:rsidRPr="00F0650B" w:rsidRDefault="00F9312C" w:rsidP="00F9312C">
      <w:pPr>
        <w:spacing w:after="120"/>
        <w:jc w:val="both"/>
        <w:rPr>
          <w:b/>
          <w:color w:val="808080" w:themeColor="background1" w:themeShade="80"/>
        </w:rPr>
      </w:pPr>
      <w:r w:rsidRPr="00F0650B">
        <w:rPr>
          <w:b/>
          <w:color w:val="808080" w:themeColor="background1" w:themeShade="80"/>
        </w:rPr>
        <w:t>Acknowledgement</w:t>
      </w:r>
    </w:p>
    <w:p w14:paraId="70C16297" w14:textId="25CDF478" w:rsidR="00220E9B" w:rsidRPr="00AF0A9D" w:rsidRDefault="00F9312C" w:rsidP="00AF0A9D">
      <w:pPr>
        <w:spacing w:after="120"/>
        <w:jc w:val="both"/>
        <w:rPr>
          <w:sz w:val="20"/>
        </w:rPr>
      </w:pPr>
      <w:r>
        <w:rPr>
          <w:sz w:val="20"/>
        </w:rPr>
        <w:t>The CiE Toolkit was made possible thanks to th</w:t>
      </w:r>
      <w:r w:rsidR="00F0650B">
        <w:rPr>
          <w:sz w:val="20"/>
        </w:rPr>
        <w:t>e support of</w:t>
      </w:r>
      <w:r w:rsidR="0002109D">
        <w:rPr>
          <w:sz w:val="20"/>
        </w:rPr>
        <w:t xml:space="preserve"> the </w:t>
      </w:r>
      <w:r w:rsidR="003F75F7">
        <w:rPr>
          <w:sz w:val="20"/>
        </w:rPr>
        <w:t>International Federation of Red Cross and Red Crescent Societies (</w:t>
      </w:r>
      <w:r w:rsidR="0002109D">
        <w:rPr>
          <w:sz w:val="20"/>
        </w:rPr>
        <w:t>IFRC</w:t>
      </w:r>
      <w:r w:rsidR="003F75F7">
        <w:rPr>
          <w:sz w:val="20"/>
        </w:rPr>
        <w:t>)</w:t>
      </w:r>
      <w:r w:rsidR="0002109D">
        <w:rPr>
          <w:sz w:val="20"/>
        </w:rPr>
        <w:t>, the</w:t>
      </w:r>
      <w:r w:rsidR="003F75F7">
        <w:rPr>
          <w:sz w:val="20"/>
        </w:rPr>
        <w:t xml:space="preserve"> International Committee of the Red Cross</w:t>
      </w:r>
      <w:r w:rsidR="0002109D">
        <w:rPr>
          <w:sz w:val="20"/>
        </w:rPr>
        <w:t xml:space="preserve"> </w:t>
      </w:r>
      <w:r w:rsidR="003F75F7">
        <w:rPr>
          <w:sz w:val="20"/>
        </w:rPr>
        <w:t>(</w:t>
      </w:r>
      <w:r w:rsidR="0002109D">
        <w:rPr>
          <w:sz w:val="20"/>
        </w:rPr>
        <w:t>ICRC</w:t>
      </w:r>
      <w:r w:rsidR="003F75F7">
        <w:rPr>
          <w:sz w:val="20"/>
        </w:rPr>
        <w:t>)</w:t>
      </w:r>
      <w:r w:rsidR="0002109D">
        <w:rPr>
          <w:sz w:val="20"/>
        </w:rPr>
        <w:t>, the</w:t>
      </w:r>
      <w:r w:rsidR="00F0650B">
        <w:rPr>
          <w:sz w:val="20"/>
        </w:rPr>
        <w:t xml:space="preserve"> American Red Cross and</w:t>
      </w:r>
      <w:r>
        <w:rPr>
          <w:sz w:val="20"/>
        </w:rPr>
        <w:t xml:space="preserve"> </w:t>
      </w:r>
      <w:r w:rsidR="0002109D">
        <w:rPr>
          <w:sz w:val="20"/>
        </w:rPr>
        <w:t xml:space="preserve">the </w:t>
      </w:r>
      <w:r>
        <w:rPr>
          <w:sz w:val="20"/>
        </w:rPr>
        <w:t>British Red Cross</w:t>
      </w:r>
      <w:r w:rsidR="00F0650B">
        <w:rPr>
          <w:sz w:val="20"/>
        </w:rPr>
        <w:t>.</w:t>
      </w:r>
      <w:r>
        <w:rPr>
          <w:sz w:val="20"/>
        </w:rPr>
        <w:t xml:space="preserve"> </w:t>
      </w:r>
    </w:p>
    <w:sectPr w:rsidR="00220E9B" w:rsidRPr="00AF0A9D" w:rsidSect="005F2B11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1417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2A546" w14:textId="77777777" w:rsidR="008A6012" w:rsidRDefault="008A6012">
      <w:r>
        <w:separator/>
      </w:r>
    </w:p>
  </w:endnote>
  <w:endnote w:type="continuationSeparator" w:id="0">
    <w:p w14:paraId="2453DCD4" w14:textId="77777777" w:rsidR="008A6012" w:rsidRDefault="008A6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+mj-ea"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8E7820" w14:textId="77777777" w:rsidR="00FF69D5" w:rsidRDefault="00FF69D5" w:rsidP="002373C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A354EC" w14:textId="77777777" w:rsidR="00FF69D5" w:rsidRDefault="00FF69D5" w:rsidP="002373C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12216" w14:textId="77777777" w:rsidR="00FF69D5" w:rsidRPr="005D218D" w:rsidRDefault="00FF69D5" w:rsidP="002373C3">
    <w:pPr>
      <w:pStyle w:val="Footer"/>
      <w:framePr w:wrap="around" w:vAnchor="text" w:hAnchor="margin" w:xAlign="right" w:y="1"/>
      <w:rPr>
        <w:rStyle w:val="PageNumber"/>
        <w:color w:val="C0504D" w:themeColor="accent2"/>
        <w:sz w:val="18"/>
      </w:rPr>
    </w:pPr>
    <w:r w:rsidRPr="005D218D">
      <w:rPr>
        <w:rStyle w:val="PageNumber"/>
        <w:color w:val="C0504D" w:themeColor="accent2"/>
        <w:sz w:val="18"/>
      </w:rPr>
      <w:fldChar w:fldCharType="begin"/>
    </w:r>
    <w:r w:rsidRPr="005D218D">
      <w:rPr>
        <w:rStyle w:val="PageNumber"/>
        <w:color w:val="C0504D" w:themeColor="accent2"/>
        <w:sz w:val="18"/>
      </w:rPr>
      <w:instrText xml:space="preserve">PAGE  </w:instrText>
    </w:r>
    <w:r w:rsidRPr="005D218D">
      <w:rPr>
        <w:rStyle w:val="PageNumber"/>
        <w:color w:val="C0504D" w:themeColor="accent2"/>
        <w:sz w:val="18"/>
      </w:rPr>
      <w:fldChar w:fldCharType="separate"/>
    </w:r>
    <w:r w:rsidR="00641807">
      <w:rPr>
        <w:rStyle w:val="PageNumber"/>
        <w:noProof/>
        <w:color w:val="C0504D" w:themeColor="accent2"/>
        <w:sz w:val="18"/>
      </w:rPr>
      <w:t>2</w:t>
    </w:r>
    <w:r w:rsidRPr="005D218D">
      <w:rPr>
        <w:rStyle w:val="PageNumber"/>
        <w:color w:val="C0504D" w:themeColor="accent2"/>
        <w:sz w:val="18"/>
      </w:rPr>
      <w:fldChar w:fldCharType="end"/>
    </w:r>
  </w:p>
  <w:p w14:paraId="35C57664" w14:textId="77777777" w:rsidR="00FF69D5" w:rsidRDefault="00FF69D5" w:rsidP="002373C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4E47CB" w14:textId="77777777" w:rsidR="008A6012" w:rsidRDefault="008A6012">
      <w:r>
        <w:separator/>
      </w:r>
    </w:p>
  </w:footnote>
  <w:footnote w:type="continuationSeparator" w:id="0">
    <w:p w14:paraId="5DAE5A77" w14:textId="77777777" w:rsidR="008A6012" w:rsidRDefault="008A60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288BB4" w14:textId="5BE16B40" w:rsidR="00500FE4" w:rsidRDefault="00500FE4" w:rsidP="00500FE4">
    <w:pPr>
      <w:pStyle w:val="Header"/>
    </w:pPr>
    <w:r>
      <w:t xml:space="preserve">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66271" w14:textId="6F343132" w:rsidR="005F2B11" w:rsidRDefault="005F2B11">
    <w:pPr>
      <w:pStyle w:val="Header"/>
    </w:pPr>
    <w:r w:rsidRPr="005F2B11">
      <w:rPr>
        <w:noProof/>
        <w:lang w:eastAsia="en-GB"/>
      </w:rPr>
      <w:drawing>
        <wp:inline distT="0" distB="0" distL="0" distR="0" wp14:anchorId="2D03FFEB" wp14:editId="0D7D99D7">
          <wp:extent cx="633730" cy="719455"/>
          <wp:effectExtent l="0" t="0" r="0" b="4445"/>
          <wp:docPr id="3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730" cy="719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</w:t>
    </w:r>
    <w:r w:rsidRPr="005F2B11">
      <w:rPr>
        <w:noProof/>
        <w:lang w:eastAsia="en-GB"/>
      </w:rPr>
      <w:drawing>
        <wp:inline distT="0" distB="0" distL="0" distR="0" wp14:anchorId="71F37274" wp14:editId="237AC3E1">
          <wp:extent cx="3200400" cy="299720"/>
          <wp:effectExtent l="0" t="0" r="0" b="5080"/>
          <wp:docPr id="4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00400" cy="299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B0D48"/>
    <w:multiLevelType w:val="hybridMultilevel"/>
    <w:tmpl w:val="771275F2"/>
    <w:lvl w:ilvl="0" w:tplc="33AC9E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A6B0C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089B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2E89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28D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5CA3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66EF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4C3B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5090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74C"/>
    <w:rsid w:val="0002109D"/>
    <w:rsid w:val="00085D25"/>
    <w:rsid w:val="00124D1F"/>
    <w:rsid w:val="0014305B"/>
    <w:rsid w:val="001D59C1"/>
    <w:rsid w:val="00220E9B"/>
    <w:rsid w:val="002373C3"/>
    <w:rsid w:val="00302A88"/>
    <w:rsid w:val="003F75F7"/>
    <w:rsid w:val="00405A0B"/>
    <w:rsid w:val="004A7B2A"/>
    <w:rsid w:val="00500FE4"/>
    <w:rsid w:val="005A376A"/>
    <w:rsid w:val="005F2B11"/>
    <w:rsid w:val="00641807"/>
    <w:rsid w:val="007B72F2"/>
    <w:rsid w:val="007C2596"/>
    <w:rsid w:val="00851546"/>
    <w:rsid w:val="00860E0A"/>
    <w:rsid w:val="00861739"/>
    <w:rsid w:val="0086427B"/>
    <w:rsid w:val="0089483D"/>
    <w:rsid w:val="008A6012"/>
    <w:rsid w:val="00905BA8"/>
    <w:rsid w:val="00965F74"/>
    <w:rsid w:val="0099256A"/>
    <w:rsid w:val="009F5B0C"/>
    <w:rsid w:val="00A163B1"/>
    <w:rsid w:val="00A955CB"/>
    <w:rsid w:val="00AF0A9D"/>
    <w:rsid w:val="00B5099C"/>
    <w:rsid w:val="00B6112A"/>
    <w:rsid w:val="00B951CC"/>
    <w:rsid w:val="00C0774C"/>
    <w:rsid w:val="00DD4BAC"/>
    <w:rsid w:val="00E156B4"/>
    <w:rsid w:val="00E22D0E"/>
    <w:rsid w:val="00E3429B"/>
    <w:rsid w:val="00F0650B"/>
    <w:rsid w:val="00F06F66"/>
    <w:rsid w:val="00F9312C"/>
    <w:rsid w:val="00FF6345"/>
    <w:rsid w:val="00FF69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F93D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834E40"/>
    <w:rPr>
      <w:rFonts w:asciiTheme="majorHAnsi" w:hAnsiTheme="majorHAns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14996"/>
    <w:pPr>
      <w:spacing w:beforeLines="1" w:afterLines="1"/>
    </w:pPr>
    <w:rPr>
      <w:rFonts w:ascii="Times" w:hAnsi="Times" w:cs="Times New Roman"/>
      <w:sz w:val="20"/>
      <w:szCs w:val="20"/>
      <w:lang w:val="en-US" w:eastAsia="it-IT"/>
    </w:rPr>
  </w:style>
  <w:style w:type="paragraph" w:styleId="BodyText2">
    <w:name w:val="Body Text 2"/>
    <w:basedOn w:val="Normal"/>
    <w:link w:val="BodyText2Char"/>
    <w:rsid w:val="006D390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6D390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383E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customStyle="1" w:styleId="apple-converted-space">
    <w:name w:val="apple-converted-space"/>
    <w:basedOn w:val="DefaultParagraphFont"/>
    <w:rsid w:val="00692760"/>
  </w:style>
  <w:style w:type="character" w:customStyle="1" w:styleId="aak">
    <w:name w:val="aak"/>
    <w:basedOn w:val="DefaultParagraphFont"/>
    <w:rsid w:val="00692760"/>
  </w:style>
  <w:style w:type="character" w:styleId="CommentReference">
    <w:name w:val="annotation reference"/>
    <w:basedOn w:val="DefaultParagraphFont"/>
    <w:rsid w:val="00834F4B"/>
    <w:rPr>
      <w:sz w:val="18"/>
      <w:szCs w:val="18"/>
    </w:rPr>
  </w:style>
  <w:style w:type="paragraph" w:styleId="CommentText">
    <w:name w:val="annotation text"/>
    <w:basedOn w:val="Normal"/>
    <w:link w:val="CommentTextChar"/>
    <w:rsid w:val="00834F4B"/>
  </w:style>
  <w:style w:type="character" w:customStyle="1" w:styleId="CommentTextChar">
    <w:name w:val="Comment Text Char"/>
    <w:basedOn w:val="DefaultParagraphFont"/>
    <w:link w:val="CommentText"/>
    <w:rsid w:val="00834F4B"/>
    <w:rPr>
      <w:rFonts w:asciiTheme="majorHAnsi" w:hAnsiTheme="majorHAnsi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834F4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834F4B"/>
    <w:rPr>
      <w:rFonts w:asciiTheme="majorHAnsi" w:hAnsiTheme="majorHAnsi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rsid w:val="00834F4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34F4B"/>
    <w:rPr>
      <w:rFonts w:ascii="Lucida Grande" w:hAnsi="Lucida Grande"/>
      <w:sz w:val="18"/>
      <w:szCs w:val="18"/>
      <w:lang w:val="en-GB"/>
    </w:rPr>
  </w:style>
  <w:style w:type="paragraph" w:styleId="Footer">
    <w:name w:val="footer"/>
    <w:basedOn w:val="Normal"/>
    <w:link w:val="FooterChar"/>
    <w:rsid w:val="005D218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5D218D"/>
    <w:rPr>
      <w:rFonts w:asciiTheme="majorHAnsi" w:hAnsiTheme="majorHAnsi"/>
      <w:lang w:val="en-GB"/>
    </w:rPr>
  </w:style>
  <w:style w:type="character" w:styleId="PageNumber">
    <w:name w:val="page number"/>
    <w:basedOn w:val="DefaultParagraphFont"/>
    <w:rsid w:val="005D218D"/>
  </w:style>
  <w:style w:type="paragraph" w:styleId="Header">
    <w:name w:val="header"/>
    <w:basedOn w:val="Normal"/>
    <w:link w:val="HeaderChar"/>
    <w:rsid w:val="005D218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5D218D"/>
    <w:rPr>
      <w:rFonts w:asciiTheme="majorHAnsi" w:hAnsiTheme="majorHAnsi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834E40"/>
    <w:rPr>
      <w:rFonts w:asciiTheme="majorHAnsi" w:hAnsiTheme="majorHAns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14996"/>
    <w:pPr>
      <w:spacing w:beforeLines="1" w:afterLines="1"/>
    </w:pPr>
    <w:rPr>
      <w:rFonts w:ascii="Times" w:hAnsi="Times" w:cs="Times New Roman"/>
      <w:sz w:val="20"/>
      <w:szCs w:val="20"/>
      <w:lang w:val="en-US" w:eastAsia="it-IT"/>
    </w:rPr>
  </w:style>
  <w:style w:type="paragraph" w:styleId="BodyText2">
    <w:name w:val="Body Text 2"/>
    <w:basedOn w:val="Normal"/>
    <w:link w:val="BodyText2Char"/>
    <w:rsid w:val="006D390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6D390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383E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customStyle="1" w:styleId="apple-converted-space">
    <w:name w:val="apple-converted-space"/>
    <w:basedOn w:val="DefaultParagraphFont"/>
    <w:rsid w:val="00692760"/>
  </w:style>
  <w:style w:type="character" w:customStyle="1" w:styleId="aak">
    <w:name w:val="aak"/>
    <w:basedOn w:val="DefaultParagraphFont"/>
    <w:rsid w:val="00692760"/>
  </w:style>
  <w:style w:type="character" w:styleId="CommentReference">
    <w:name w:val="annotation reference"/>
    <w:basedOn w:val="DefaultParagraphFont"/>
    <w:rsid w:val="00834F4B"/>
    <w:rPr>
      <w:sz w:val="18"/>
      <w:szCs w:val="18"/>
    </w:rPr>
  </w:style>
  <w:style w:type="paragraph" w:styleId="CommentText">
    <w:name w:val="annotation text"/>
    <w:basedOn w:val="Normal"/>
    <w:link w:val="CommentTextChar"/>
    <w:rsid w:val="00834F4B"/>
  </w:style>
  <w:style w:type="character" w:customStyle="1" w:styleId="CommentTextChar">
    <w:name w:val="Comment Text Char"/>
    <w:basedOn w:val="DefaultParagraphFont"/>
    <w:link w:val="CommentText"/>
    <w:rsid w:val="00834F4B"/>
    <w:rPr>
      <w:rFonts w:asciiTheme="majorHAnsi" w:hAnsiTheme="majorHAnsi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834F4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834F4B"/>
    <w:rPr>
      <w:rFonts w:asciiTheme="majorHAnsi" w:hAnsiTheme="majorHAnsi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rsid w:val="00834F4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34F4B"/>
    <w:rPr>
      <w:rFonts w:ascii="Lucida Grande" w:hAnsi="Lucida Grande"/>
      <w:sz w:val="18"/>
      <w:szCs w:val="18"/>
      <w:lang w:val="en-GB"/>
    </w:rPr>
  </w:style>
  <w:style w:type="paragraph" w:styleId="Footer">
    <w:name w:val="footer"/>
    <w:basedOn w:val="Normal"/>
    <w:link w:val="FooterChar"/>
    <w:rsid w:val="005D218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5D218D"/>
    <w:rPr>
      <w:rFonts w:asciiTheme="majorHAnsi" w:hAnsiTheme="majorHAnsi"/>
      <w:lang w:val="en-GB"/>
    </w:rPr>
  </w:style>
  <w:style w:type="character" w:styleId="PageNumber">
    <w:name w:val="page number"/>
    <w:basedOn w:val="DefaultParagraphFont"/>
    <w:rsid w:val="005D218D"/>
  </w:style>
  <w:style w:type="paragraph" w:styleId="Header">
    <w:name w:val="header"/>
    <w:basedOn w:val="Normal"/>
    <w:link w:val="HeaderChar"/>
    <w:rsid w:val="005D218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5D218D"/>
    <w:rPr>
      <w:rFonts w:asciiTheme="majorHAnsi" w:hAnsiTheme="majorHAns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07850">
          <w:marLeft w:val="1166"/>
          <w:marRight w:val="0"/>
          <w:marTop w:val="115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34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2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4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57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Independent Consultant</Company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 Creti</dc:creator>
  <cp:keywords/>
  <cp:lastModifiedBy>Claire HOLMAN</cp:lastModifiedBy>
  <cp:revision>28</cp:revision>
  <cp:lastPrinted>2014-12-13T10:47:00Z</cp:lastPrinted>
  <dcterms:created xsi:type="dcterms:W3CDTF">2014-12-13T11:11:00Z</dcterms:created>
  <dcterms:modified xsi:type="dcterms:W3CDTF">2015-06-09T09:20:00Z</dcterms:modified>
</cp:coreProperties>
</file>