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1968C" w14:textId="7D78CD87" w:rsidR="001C6BC7" w:rsidRDefault="00FD7D0B" w:rsidP="0098529C">
      <w:pPr>
        <w:pStyle w:val="H1"/>
      </w:pPr>
      <w:bookmarkStart w:id="0" w:name="_Toc418509713"/>
      <w:r>
        <w:t>Termes de Références</w:t>
      </w:r>
      <w:r w:rsidR="00F57D0E">
        <w:t xml:space="preserve"> – Groupe de travail technique </w:t>
      </w:r>
      <w:bookmarkEnd w:id="0"/>
      <w:r>
        <w:t>(GTT) sur les TM</w:t>
      </w:r>
    </w:p>
    <w:tbl>
      <w:tblPr>
        <w:tblW w:w="9639" w:type="dxa"/>
        <w:tblInd w:w="108" w:type="dxa"/>
        <w:tblBorders>
          <w:top w:val="nil"/>
          <w:left w:val="nil"/>
          <w:bottom w:val="nil"/>
          <w:right w:val="nil"/>
        </w:tblBorders>
        <w:tblLayout w:type="fixed"/>
        <w:tblLook w:val="0000" w:firstRow="0" w:lastRow="0" w:firstColumn="0" w:lastColumn="0" w:noHBand="0" w:noVBand="0"/>
      </w:tblPr>
      <w:tblGrid>
        <w:gridCol w:w="5387"/>
        <w:gridCol w:w="4252"/>
      </w:tblGrid>
      <w:tr w:rsidR="005E7565" w:rsidRPr="006A4BB9" w14:paraId="1BA6B931" w14:textId="77777777" w:rsidTr="00DD7109">
        <w:trPr>
          <w:trHeight w:val="265"/>
        </w:trPr>
        <w:tc>
          <w:tcPr>
            <w:tcW w:w="5387" w:type="dxa"/>
            <w:tcBorders>
              <w:top w:val="single" w:sz="4" w:space="0" w:color="auto"/>
              <w:left w:val="single" w:sz="4" w:space="0" w:color="auto"/>
              <w:bottom w:val="single" w:sz="4" w:space="0" w:color="auto"/>
              <w:right w:val="single" w:sz="4" w:space="0" w:color="auto"/>
            </w:tcBorders>
            <w:shd w:val="clear" w:color="auto" w:fill="DC281E"/>
          </w:tcPr>
          <w:p w14:paraId="200810D3" w14:textId="18C2BED1" w:rsidR="00DE61F7" w:rsidRPr="00DD7109" w:rsidRDefault="00DE61F7" w:rsidP="00DE61F7">
            <w:pPr>
              <w:pStyle w:val="Default"/>
              <w:spacing w:before="60" w:after="60"/>
              <w:rPr>
                <w:b/>
                <w:color w:val="FFFFFF" w:themeColor="background1"/>
                <w:sz w:val="20"/>
                <w:szCs w:val="20"/>
              </w:rPr>
            </w:pPr>
            <w:r>
              <w:rPr>
                <w:b/>
                <w:color w:val="FFFFFF" w:themeColor="background1"/>
                <w:sz w:val="20"/>
              </w:rPr>
              <w:t>Fonction : Groupe de travail technique des TM</w:t>
            </w:r>
          </w:p>
        </w:tc>
        <w:tc>
          <w:tcPr>
            <w:tcW w:w="4252" w:type="dxa"/>
            <w:tcBorders>
              <w:top w:val="single" w:sz="4" w:space="0" w:color="auto"/>
              <w:left w:val="single" w:sz="4" w:space="0" w:color="auto"/>
              <w:bottom w:val="single" w:sz="4" w:space="0" w:color="auto"/>
              <w:right w:val="single" w:sz="4" w:space="0" w:color="auto"/>
            </w:tcBorders>
            <w:shd w:val="clear" w:color="auto" w:fill="DC281E"/>
          </w:tcPr>
          <w:p w14:paraId="707A3741" w14:textId="6BA77787" w:rsidR="00DE61F7" w:rsidRPr="00DD7109" w:rsidRDefault="00DE61F7" w:rsidP="00DE61F7">
            <w:pPr>
              <w:pStyle w:val="Default"/>
              <w:spacing w:before="60" w:after="60"/>
              <w:rPr>
                <w:b/>
                <w:color w:val="FFFFFF" w:themeColor="background1"/>
                <w:sz w:val="20"/>
                <w:szCs w:val="20"/>
              </w:rPr>
            </w:pPr>
            <w:r>
              <w:rPr>
                <w:b/>
                <w:color w:val="FFFFFF" w:themeColor="background1"/>
                <w:sz w:val="20"/>
              </w:rPr>
              <w:t>Condition :</w:t>
            </w:r>
          </w:p>
        </w:tc>
      </w:tr>
      <w:tr w:rsidR="005E7565" w:rsidRPr="006A4BB9" w14:paraId="03917D2D" w14:textId="77777777" w:rsidTr="002037D4">
        <w:trPr>
          <w:trHeight w:val="183"/>
        </w:trPr>
        <w:tc>
          <w:tcPr>
            <w:tcW w:w="5387" w:type="dxa"/>
            <w:tcBorders>
              <w:top w:val="single" w:sz="4" w:space="0" w:color="auto"/>
              <w:left w:val="single" w:sz="4" w:space="0" w:color="auto"/>
              <w:bottom w:val="single" w:sz="4" w:space="0" w:color="auto"/>
              <w:right w:val="single" w:sz="4" w:space="0" w:color="auto"/>
            </w:tcBorders>
            <w:shd w:val="clear" w:color="auto" w:fill="F3F3F3"/>
          </w:tcPr>
          <w:p w14:paraId="661B5AF3" w14:textId="77777777" w:rsidR="00DE61F7" w:rsidRPr="006A4BB9" w:rsidRDefault="00DE61F7" w:rsidP="00DE61F7">
            <w:pPr>
              <w:pStyle w:val="Default"/>
              <w:spacing w:before="60" w:after="60"/>
              <w:rPr>
                <w:b/>
                <w:sz w:val="20"/>
                <w:szCs w:val="20"/>
              </w:rPr>
            </w:pPr>
            <w:r>
              <w:rPr>
                <w:b/>
                <w:sz w:val="20"/>
              </w:rPr>
              <w:t>Section/département :</w:t>
            </w:r>
          </w:p>
          <w:p w14:paraId="427D076D" w14:textId="529C1B90" w:rsidR="00DE61F7" w:rsidRPr="00B27558" w:rsidRDefault="00DE61F7" w:rsidP="00FD7D0B">
            <w:pPr>
              <w:pStyle w:val="Default"/>
              <w:spacing w:before="60" w:after="60"/>
              <w:jc w:val="both"/>
              <w:rPr>
                <w:i/>
                <w:iCs/>
                <w:sz w:val="20"/>
                <w:szCs w:val="20"/>
              </w:rPr>
            </w:pPr>
            <w:r>
              <w:rPr>
                <w:i/>
                <w:sz w:val="20"/>
              </w:rPr>
              <w:t xml:space="preserve">Le GTT comprendra des représentants de tous les </w:t>
            </w:r>
            <w:r w:rsidR="00FD7D0B">
              <w:rPr>
                <w:i/>
                <w:sz w:val="20"/>
              </w:rPr>
              <w:t>départements</w:t>
            </w:r>
            <w:r>
              <w:rPr>
                <w:i/>
                <w:sz w:val="20"/>
              </w:rPr>
              <w:t xml:space="preserve"> </w:t>
            </w:r>
            <w:r w:rsidR="00FD7D0B">
              <w:rPr>
                <w:i/>
                <w:sz w:val="20"/>
              </w:rPr>
              <w:t>de la SN</w:t>
            </w:r>
            <w:r>
              <w:rPr>
                <w:i/>
                <w:sz w:val="20"/>
              </w:rPr>
              <w:t xml:space="preserve"> </w:t>
            </w:r>
            <w:r w:rsidR="00FD7D0B">
              <w:rPr>
                <w:i/>
                <w:sz w:val="20"/>
              </w:rPr>
              <w:t>concernés par les</w:t>
            </w:r>
            <w:r>
              <w:rPr>
                <w:i/>
                <w:sz w:val="20"/>
              </w:rPr>
              <w:t xml:space="preserve"> TM, les partenaires du mouvement étant invités, le cas échéant. La présence régionale/provinciale ou sur le terrain est recommandée au besoin.</w:t>
            </w:r>
          </w:p>
        </w:tc>
        <w:tc>
          <w:tcPr>
            <w:tcW w:w="4252" w:type="dxa"/>
            <w:tcBorders>
              <w:top w:val="single" w:sz="4" w:space="0" w:color="auto"/>
              <w:left w:val="single" w:sz="4" w:space="0" w:color="auto"/>
              <w:bottom w:val="single" w:sz="4" w:space="0" w:color="auto"/>
              <w:right w:val="single" w:sz="4" w:space="0" w:color="auto"/>
            </w:tcBorders>
            <w:shd w:val="clear" w:color="auto" w:fill="F3F3F3"/>
          </w:tcPr>
          <w:p w14:paraId="5192B0B2" w14:textId="77777777" w:rsidR="00DE61F7" w:rsidRPr="006A4BB9" w:rsidRDefault="00DE61F7" w:rsidP="00DE61F7">
            <w:pPr>
              <w:pStyle w:val="Default"/>
              <w:spacing w:before="60" w:after="60"/>
              <w:rPr>
                <w:b/>
                <w:sz w:val="20"/>
                <w:szCs w:val="20"/>
              </w:rPr>
            </w:pPr>
            <w:r>
              <w:rPr>
                <w:b/>
                <w:sz w:val="20"/>
              </w:rPr>
              <w:t>Sous la supervision de :</w:t>
            </w:r>
          </w:p>
        </w:tc>
      </w:tr>
      <w:tr w:rsidR="005E7565" w:rsidRPr="006A4BB9" w14:paraId="6A743650" w14:textId="77777777" w:rsidTr="002037D4">
        <w:trPr>
          <w:trHeight w:val="182"/>
        </w:trPr>
        <w:tc>
          <w:tcPr>
            <w:tcW w:w="5387" w:type="dxa"/>
            <w:tcBorders>
              <w:top w:val="single" w:sz="4" w:space="0" w:color="auto"/>
              <w:left w:val="single" w:sz="4" w:space="0" w:color="auto"/>
              <w:bottom w:val="single" w:sz="4" w:space="0" w:color="auto"/>
              <w:right w:val="single" w:sz="4" w:space="0" w:color="auto"/>
            </w:tcBorders>
            <w:shd w:val="clear" w:color="auto" w:fill="F3F3F3"/>
          </w:tcPr>
          <w:p w14:paraId="7F7BD906" w14:textId="1F05BEE4" w:rsidR="00DE61F7" w:rsidRPr="006A4BB9" w:rsidRDefault="00DE61F7" w:rsidP="00DE61F7">
            <w:pPr>
              <w:pStyle w:val="Default"/>
              <w:spacing w:before="60" w:after="60"/>
              <w:rPr>
                <w:b/>
                <w:sz w:val="20"/>
                <w:szCs w:val="20"/>
              </w:rPr>
            </w:pPr>
            <w:r>
              <w:rPr>
                <w:b/>
                <w:sz w:val="20"/>
              </w:rPr>
              <w:t xml:space="preserve">Lieu : </w:t>
            </w:r>
            <w:r>
              <w:rPr>
                <w:sz w:val="20"/>
              </w:rPr>
              <w:t>Siège SN</w:t>
            </w:r>
          </w:p>
        </w:tc>
        <w:tc>
          <w:tcPr>
            <w:tcW w:w="4252" w:type="dxa"/>
            <w:tcBorders>
              <w:top w:val="single" w:sz="4" w:space="0" w:color="auto"/>
              <w:left w:val="single" w:sz="4" w:space="0" w:color="auto"/>
              <w:bottom w:val="single" w:sz="4" w:space="0" w:color="auto"/>
              <w:right w:val="single" w:sz="4" w:space="0" w:color="auto"/>
            </w:tcBorders>
            <w:shd w:val="clear" w:color="auto" w:fill="F3F3F3"/>
          </w:tcPr>
          <w:p w14:paraId="4D41A56D" w14:textId="77777777" w:rsidR="00DE61F7" w:rsidRPr="006A4BB9" w:rsidRDefault="00DE61F7" w:rsidP="00DE61F7">
            <w:pPr>
              <w:pStyle w:val="Default"/>
              <w:spacing w:before="60" w:after="60"/>
              <w:rPr>
                <w:sz w:val="20"/>
                <w:szCs w:val="20"/>
              </w:rPr>
            </w:pPr>
            <w:r>
              <w:rPr>
                <w:b/>
                <w:sz w:val="20"/>
              </w:rPr>
              <w:t>Domaines d’action</w:t>
            </w:r>
            <w:r>
              <w:rPr>
                <w:sz w:val="20"/>
              </w:rPr>
              <w:t xml:space="preserve"> À l’échelle nationale</w:t>
            </w:r>
          </w:p>
        </w:tc>
      </w:tr>
      <w:tr w:rsidR="005E7565" w:rsidRPr="006A4BB9" w14:paraId="6324D8FE" w14:textId="77777777" w:rsidTr="002037D4">
        <w:trPr>
          <w:trHeight w:val="182"/>
        </w:trPr>
        <w:tc>
          <w:tcPr>
            <w:tcW w:w="5387" w:type="dxa"/>
            <w:tcBorders>
              <w:top w:val="single" w:sz="4" w:space="0" w:color="auto"/>
              <w:left w:val="single" w:sz="4" w:space="0" w:color="auto"/>
              <w:bottom w:val="single" w:sz="4" w:space="0" w:color="auto"/>
              <w:right w:val="single" w:sz="4" w:space="0" w:color="auto"/>
            </w:tcBorders>
            <w:shd w:val="clear" w:color="auto" w:fill="F3F3F3"/>
          </w:tcPr>
          <w:p w14:paraId="0754949A" w14:textId="6B673043" w:rsidR="00DE61F7" w:rsidRPr="003600D0" w:rsidRDefault="00DE61F7" w:rsidP="00DE61F7">
            <w:pPr>
              <w:pStyle w:val="Default"/>
              <w:spacing w:before="60" w:after="60"/>
              <w:jc w:val="both"/>
              <w:rPr>
                <w:sz w:val="20"/>
                <w:szCs w:val="20"/>
              </w:rPr>
            </w:pPr>
            <w:r>
              <w:rPr>
                <w:b/>
                <w:sz w:val="20"/>
              </w:rPr>
              <w:t xml:space="preserve">Durée : </w:t>
            </w:r>
            <w:r>
              <w:rPr>
                <w:i/>
                <w:sz w:val="20"/>
              </w:rPr>
              <w:t>Minimum 24 mois, de préférence 36 mois</w:t>
            </w:r>
          </w:p>
        </w:tc>
        <w:tc>
          <w:tcPr>
            <w:tcW w:w="4252" w:type="dxa"/>
            <w:tcBorders>
              <w:top w:val="single" w:sz="4" w:space="0" w:color="auto"/>
              <w:left w:val="single" w:sz="4" w:space="0" w:color="auto"/>
              <w:bottom w:val="single" w:sz="4" w:space="0" w:color="auto"/>
              <w:right w:val="single" w:sz="4" w:space="0" w:color="auto"/>
            </w:tcBorders>
            <w:shd w:val="clear" w:color="auto" w:fill="F3F3F3"/>
          </w:tcPr>
          <w:p w14:paraId="52D57CE2" w14:textId="49DA3AFA" w:rsidR="00DE61F7" w:rsidRPr="006A4BB9" w:rsidRDefault="00DE61F7" w:rsidP="00F7672F">
            <w:pPr>
              <w:pStyle w:val="Default"/>
              <w:spacing w:before="60" w:after="60"/>
              <w:rPr>
                <w:sz w:val="20"/>
                <w:szCs w:val="20"/>
              </w:rPr>
            </w:pPr>
            <w:r>
              <w:rPr>
                <w:b/>
                <w:sz w:val="20"/>
              </w:rPr>
              <w:t xml:space="preserve">Date de </w:t>
            </w:r>
            <w:proofErr w:type="gramStart"/>
            <w:r>
              <w:rPr>
                <w:b/>
                <w:sz w:val="20"/>
              </w:rPr>
              <w:t>début:</w:t>
            </w:r>
            <w:proofErr w:type="gramEnd"/>
            <w:r>
              <w:rPr>
                <w:b/>
                <w:sz w:val="20"/>
              </w:rPr>
              <w:t xml:space="preserve"> </w:t>
            </w:r>
            <w:r>
              <w:rPr>
                <w:sz w:val="20"/>
              </w:rPr>
              <w:t>Établir immédiatement après le développement du plan d’action</w:t>
            </w:r>
            <w:r w:rsidR="00801500">
              <w:rPr>
                <w:sz w:val="20"/>
              </w:rPr>
              <w:t xml:space="preserve"> </w:t>
            </w:r>
            <w:r w:rsidR="00D32F9F">
              <w:rPr>
                <w:sz w:val="20"/>
              </w:rPr>
              <w:t>(</w:t>
            </w:r>
            <w:proofErr w:type="spellStart"/>
            <w:r w:rsidR="00D32F9F">
              <w:rPr>
                <w:sz w:val="20"/>
              </w:rPr>
              <w:t>PoA</w:t>
            </w:r>
            <w:proofErr w:type="spellEnd"/>
            <w:r w:rsidR="00D32F9F">
              <w:rPr>
                <w:sz w:val="20"/>
              </w:rPr>
              <w:t>)</w:t>
            </w:r>
            <w:r>
              <w:rPr>
                <w:sz w:val="20"/>
              </w:rPr>
              <w:t xml:space="preserve"> de la </w:t>
            </w:r>
            <w:r w:rsidR="00FD7D0B">
              <w:rPr>
                <w:sz w:val="20"/>
              </w:rPr>
              <w:t>PTM</w:t>
            </w:r>
          </w:p>
        </w:tc>
      </w:tr>
      <w:tr w:rsidR="00DE61F7" w:rsidRPr="006A4BB9" w14:paraId="69606048" w14:textId="77777777" w:rsidTr="00DE61F7">
        <w:trPr>
          <w:trHeight w:val="182"/>
        </w:trPr>
        <w:tc>
          <w:tcPr>
            <w:tcW w:w="9639" w:type="dxa"/>
            <w:gridSpan w:val="2"/>
            <w:tcBorders>
              <w:top w:val="single" w:sz="4" w:space="0" w:color="auto"/>
              <w:left w:val="single" w:sz="4" w:space="0" w:color="auto"/>
              <w:bottom w:val="single" w:sz="4" w:space="0" w:color="auto"/>
              <w:right w:val="single" w:sz="4" w:space="0" w:color="auto"/>
            </w:tcBorders>
            <w:shd w:val="clear" w:color="auto" w:fill="F3F3F3"/>
          </w:tcPr>
          <w:p w14:paraId="17A581E3" w14:textId="77777777" w:rsidR="00DE61F7" w:rsidRDefault="00DE61F7" w:rsidP="00DE61F7">
            <w:pPr>
              <w:pStyle w:val="Default"/>
              <w:spacing w:before="60" w:after="60"/>
              <w:rPr>
                <w:bCs/>
                <w:sz w:val="20"/>
                <w:szCs w:val="20"/>
              </w:rPr>
            </w:pPr>
            <w:r>
              <w:rPr>
                <w:b/>
                <w:sz w:val="20"/>
              </w:rPr>
              <w:t>Fréquence requise :</w:t>
            </w:r>
            <w:r>
              <w:rPr>
                <w:sz w:val="20"/>
              </w:rPr>
              <w:t xml:space="preserve"> </w:t>
            </w:r>
          </w:p>
          <w:p w14:paraId="43748D5F" w14:textId="3240D312" w:rsidR="00DE61F7" w:rsidRPr="00B27558" w:rsidRDefault="006C7A42" w:rsidP="006C7A42">
            <w:pPr>
              <w:pStyle w:val="Default"/>
              <w:spacing w:before="60" w:after="60"/>
              <w:rPr>
                <w:bCs/>
                <w:i/>
                <w:iCs/>
                <w:sz w:val="20"/>
                <w:szCs w:val="20"/>
              </w:rPr>
            </w:pPr>
            <w:r>
              <w:rPr>
                <w:i/>
                <w:sz w:val="20"/>
              </w:rPr>
              <w:t>Tous les quinze jours au début d’une urgence ; sinon tous les mois ou au besoin</w:t>
            </w:r>
          </w:p>
        </w:tc>
      </w:tr>
      <w:tr w:rsidR="00DE61F7" w:rsidRPr="006A4BB9" w14:paraId="2B99E62F" w14:textId="77777777" w:rsidTr="00DE61F7">
        <w:trPr>
          <w:trHeight w:val="182"/>
        </w:trPr>
        <w:tc>
          <w:tcPr>
            <w:tcW w:w="9639" w:type="dxa"/>
            <w:gridSpan w:val="2"/>
            <w:tcBorders>
              <w:top w:val="single" w:sz="4" w:space="0" w:color="auto"/>
              <w:left w:val="single" w:sz="4" w:space="0" w:color="auto"/>
              <w:bottom w:val="single" w:sz="4" w:space="0" w:color="auto"/>
              <w:right w:val="single" w:sz="4" w:space="0" w:color="auto"/>
            </w:tcBorders>
            <w:shd w:val="clear" w:color="auto" w:fill="F3F3F3"/>
          </w:tcPr>
          <w:p w14:paraId="315AA424" w14:textId="77777777" w:rsidR="00DE61F7" w:rsidRPr="006A4BB9" w:rsidRDefault="00DE61F7" w:rsidP="00DE61F7">
            <w:pPr>
              <w:pStyle w:val="Default"/>
              <w:spacing w:before="60" w:after="60"/>
              <w:rPr>
                <w:sz w:val="20"/>
                <w:szCs w:val="20"/>
                <w:shd w:val="clear" w:color="auto" w:fill="FFFFFF" w:themeFill="background1"/>
              </w:rPr>
            </w:pPr>
            <w:r>
              <w:rPr>
                <w:b/>
                <w:sz w:val="20"/>
              </w:rPr>
              <w:t>Source de financement :</w:t>
            </w:r>
            <w:r>
              <w:rPr>
                <w:sz w:val="20"/>
                <w:shd w:val="clear" w:color="auto" w:fill="FFFFFF" w:themeFill="background1"/>
              </w:rPr>
              <w:t xml:space="preserve"> </w:t>
            </w:r>
          </w:p>
          <w:p w14:paraId="7D57C7D3" w14:textId="63ABFCA9" w:rsidR="00DE61F7" w:rsidRPr="006A4BB9" w:rsidRDefault="00DE61F7" w:rsidP="00DE61F7">
            <w:pPr>
              <w:pStyle w:val="Default"/>
              <w:spacing w:before="60" w:after="60"/>
              <w:rPr>
                <w:b/>
                <w:bCs/>
                <w:sz w:val="20"/>
                <w:szCs w:val="20"/>
              </w:rPr>
            </w:pPr>
          </w:p>
        </w:tc>
      </w:tr>
    </w:tbl>
    <w:p w14:paraId="0291B7DE" w14:textId="77777777" w:rsidR="00C054D8" w:rsidRDefault="00C054D8" w:rsidP="00F57D0E">
      <w:pPr>
        <w:pStyle w:val="Heading3"/>
        <w:rPr>
          <w:sz w:val="24"/>
        </w:rPr>
      </w:pPr>
    </w:p>
    <w:p w14:paraId="4AB8164C" w14:textId="22DFE645" w:rsidR="00F57D0E" w:rsidRPr="00E55BF2" w:rsidRDefault="00F57D0E" w:rsidP="00F57D0E">
      <w:pPr>
        <w:pStyle w:val="Heading3"/>
        <w:rPr>
          <w:sz w:val="24"/>
        </w:rPr>
      </w:pPr>
      <w:r>
        <w:rPr>
          <w:sz w:val="24"/>
        </w:rPr>
        <w:t>Contexte</w:t>
      </w:r>
    </w:p>
    <w:p w14:paraId="133C36F5" w14:textId="3133FB6A" w:rsidR="00F57D0E" w:rsidRDefault="00F57D0E" w:rsidP="00F57D0E">
      <w:pPr>
        <w:rPr>
          <w:i/>
        </w:rPr>
      </w:pPr>
      <w:r>
        <w:rPr>
          <w:i/>
        </w:rPr>
        <w:t>Description du contexte humanitaire et de la date de formation du GTT.</w:t>
      </w:r>
    </w:p>
    <w:p w14:paraId="73310D36" w14:textId="77777777" w:rsidR="00510A94" w:rsidRDefault="00510A94" w:rsidP="00F57D0E">
      <w:pPr>
        <w:rPr>
          <w:b/>
          <w:sz w:val="22"/>
          <w:szCs w:val="22"/>
        </w:rPr>
      </w:pPr>
    </w:p>
    <w:p w14:paraId="294F4FBB" w14:textId="54157697" w:rsidR="00F57D0E" w:rsidRPr="00E55BF2" w:rsidRDefault="00F7672F" w:rsidP="72716A9D">
      <w:pPr>
        <w:rPr>
          <w:b/>
          <w:bCs/>
          <w:sz w:val="24"/>
          <w:szCs w:val="24"/>
        </w:rPr>
      </w:pPr>
      <w:r>
        <w:rPr>
          <w:b/>
          <w:sz w:val="24"/>
        </w:rPr>
        <w:t xml:space="preserve">Raisonnement du </w:t>
      </w:r>
      <w:r w:rsidR="00FD7D0B">
        <w:rPr>
          <w:b/>
          <w:sz w:val="24"/>
        </w:rPr>
        <w:t>GTT</w:t>
      </w:r>
    </w:p>
    <w:p w14:paraId="2437460C" w14:textId="22B6CF7C" w:rsidR="001A5FCE" w:rsidRPr="00D109F3" w:rsidRDefault="001A5FCE" w:rsidP="53A40714">
      <w:pPr>
        <w:rPr>
          <w:i/>
          <w:iCs/>
        </w:rPr>
      </w:pPr>
      <w:r>
        <w:rPr>
          <w:i/>
        </w:rPr>
        <w:t xml:space="preserve">Le </w:t>
      </w:r>
      <w:r w:rsidR="00FD7D0B">
        <w:rPr>
          <w:i/>
        </w:rPr>
        <w:t>GTT sur les TM</w:t>
      </w:r>
      <w:r>
        <w:rPr>
          <w:i/>
        </w:rPr>
        <w:t xml:space="preserve"> devrait être établi dès le début comme point central de</w:t>
      </w:r>
      <w:r w:rsidR="00FD7D0B">
        <w:rPr>
          <w:i/>
        </w:rPr>
        <w:t>s</w:t>
      </w:r>
      <w:r>
        <w:rPr>
          <w:i/>
        </w:rPr>
        <w:t xml:space="preserve"> discussion</w:t>
      </w:r>
      <w:r w:rsidR="00FD7D0B">
        <w:rPr>
          <w:i/>
        </w:rPr>
        <w:t>s</w:t>
      </w:r>
      <w:r>
        <w:rPr>
          <w:i/>
        </w:rPr>
        <w:t xml:space="preserve"> </w:t>
      </w:r>
      <w:proofErr w:type="gramStart"/>
      <w:r>
        <w:rPr>
          <w:i/>
        </w:rPr>
        <w:t xml:space="preserve">et </w:t>
      </w:r>
      <w:r w:rsidR="00FD7D0B">
        <w:rPr>
          <w:i/>
        </w:rPr>
        <w:t xml:space="preserve"> de</w:t>
      </w:r>
      <w:proofErr w:type="gramEnd"/>
      <w:r w:rsidR="00FD7D0B">
        <w:rPr>
          <w:i/>
        </w:rPr>
        <w:t xml:space="preserve"> l'</w:t>
      </w:r>
      <w:r>
        <w:rPr>
          <w:i/>
        </w:rPr>
        <w:t xml:space="preserve">engagement pour définir, coordonner, soutenir, défendre et améliorer la qualité des transferts (TM) généralisés. </w:t>
      </w:r>
    </w:p>
    <w:p w14:paraId="2ED4583E" w14:textId="453BA1D3" w:rsidR="001A5FCE" w:rsidRPr="00D109F3" w:rsidRDefault="005574F8" w:rsidP="53A40714">
      <w:pPr>
        <w:rPr>
          <w:i/>
          <w:iCs/>
        </w:rPr>
      </w:pPr>
      <w:r>
        <w:rPr>
          <w:i/>
        </w:rPr>
        <w:t xml:space="preserve">Le GTT travaille également en étroite collaboration avec le point focal de la SN </w:t>
      </w:r>
      <w:r w:rsidR="00FD7D0B">
        <w:rPr>
          <w:i/>
        </w:rPr>
        <w:t>sur les</w:t>
      </w:r>
      <w:r>
        <w:rPr>
          <w:i/>
        </w:rPr>
        <w:t xml:space="preserve"> TM pour soutenir la SN dans la mise en œuvre et la préparation </w:t>
      </w:r>
      <w:r w:rsidR="00FD7D0B">
        <w:rPr>
          <w:i/>
        </w:rPr>
        <w:t>aux</w:t>
      </w:r>
      <w:r>
        <w:rPr>
          <w:i/>
        </w:rPr>
        <w:t xml:space="preserve"> TM. Le GTT et le point focal TM sont des fonctions essentielles requises pour aider le SN à réaliser sa vision de fournir des TM en temps opportun et appropriés aux personnes dans le besoin.</w:t>
      </w:r>
    </w:p>
    <w:p w14:paraId="53A732CE" w14:textId="2F9F21C3" w:rsidR="001A5FCE" w:rsidRPr="00D109F3" w:rsidRDefault="005574F8" w:rsidP="001A5FCE">
      <w:pPr>
        <w:rPr>
          <w:i/>
        </w:rPr>
      </w:pPr>
      <w:r>
        <w:rPr>
          <w:i/>
        </w:rPr>
        <w:t>Le GTT comprend un groupe d’acteurs principalement SN (et de partenaires du mouvement, au besoin) qui se réuniront régulièrement en tant que pairs pour collaborer afin d’encourager et d’équiper le SN pour adopter et accroître ses capacités institutionnelles en TM. Le GTT peut également créer des sous-groupes de travail, formés et chargés en fonction d’objectifs spécifiques, au besoin, qui siégeront sous la direction du GTT.</w:t>
      </w:r>
    </w:p>
    <w:p w14:paraId="2AE43D5C" w14:textId="136FA3D7" w:rsidR="00F57D0E" w:rsidRPr="00D109F3" w:rsidRDefault="28672565" w:rsidP="00F57D0E">
      <w:pPr>
        <w:rPr>
          <w:b/>
          <w:i/>
          <w:sz w:val="22"/>
          <w:szCs w:val="22"/>
        </w:rPr>
      </w:pPr>
      <w:r>
        <w:rPr>
          <w:i/>
        </w:rPr>
        <w:t>Le GTT aidera à identifier les principaux obstacles rencontrés au cours de l’étape d’élaboration et de mise en œuvre des travaux de P</w:t>
      </w:r>
      <w:r w:rsidR="00FD7D0B">
        <w:rPr>
          <w:i/>
        </w:rPr>
        <w:t>TM</w:t>
      </w:r>
      <w:r>
        <w:rPr>
          <w:i/>
        </w:rPr>
        <w:t xml:space="preserve"> au sein de la SN et à proposer des mesures correctives, le cas échéant. Elle proposera des solutions proactives à ces </w:t>
      </w:r>
      <w:proofErr w:type="gramStart"/>
      <w:r>
        <w:rPr>
          <w:i/>
        </w:rPr>
        <w:t>problèmes:</w:t>
      </w:r>
      <w:proofErr w:type="gramEnd"/>
      <w:r>
        <w:rPr>
          <w:i/>
        </w:rPr>
        <w:t xml:space="preserve"> Par exemple, la révision du plan d’action de </w:t>
      </w:r>
      <w:r w:rsidR="00FD7D0B">
        <w:rPr>
          <w:i/>
        </w:rPr>
        <w:t>PTM</w:t>
      </w:r>
      <w:r>
        <w:rPr>
          <w:i/>
        </w:rPr>
        <w:t>.</w:t>
      </w:r>
    </w:p>
    <w:p w14:paraId="3BD4D072" w14:textId="77777777" w:rsidR="00510A94" w:rsidRDefault="00510A94" w:rsidP="00F57D0E">
      <w:pPr>
        <w:rPr>
          <w:b/>
          <w:sz w:val="22"/>
          <w:szCs w:val="22"/>
        </w:rPr>
      </w:pPr>
    </w:p>
    <w:p w14:paraId="1112C333" w14:textId="5CB042DE" w:rsidR="00F57D0E" w:rsidRPr="00E55BF2" w:rsidRDefault="008B55B6" w:rsidP="00F57D0E">
      <w:pPr>
        <w:rPr>
          <w:b/>
          <w:sz w:val="24"/>
          <w:szCs w:val="24"/>
        </w:rPr>
      </w:pPr>
      <w:r>
        <w:rPr>
          <w:b/>
          <w:sz w:val="24"/>
        </w:rPr>
        <w:t>Objectifs du GTT</w:t>
      </w:r>
    </w:p>
    <w:p w14:paraId="29269193" w14:textId="77777777" w:rsidR="004063F7" w:rsidRDefault="00A11574" w:rsidP="004063F7">
      <w:r>
        <w:rPr>
          <w:u w:val="single"/>
        </w:rPr>
        <w:t>Objectifs en général :</w:t>
      </w:r>
      <w:r>
        <w:t xml:space="preserve"> </w:t>
      </w:r>
    </w:p>
    <w:p w14:paraId="2FFCD5B6" w14:textId="47AB7FDB" w:rsidR="004063F7" w:rsidRDefault="004063F7" w:rsidP="004063F7">
      <w:r>
        <w:t xml:space="preserve">L’objectif principal du GTT TM est de coordonner et de fournir des conseils techniques pour les transferts monétaires aux SN. </w:t>
      </w:r>
    </w:p>
    <w:p w14:paraId="427BDEF3" w14:textId="6E184AF9" w:rsidR="004063F7" w:rsidRDefault="004063F7" w:rsidP="004063F7">
      <w:r>
        <w:t xml:space="preserve">Le GTT servira également de principal mécanisme de coordination pour saisir l’apprentissage et le partage d’expériences contribuant à l’amélioration des TM au sein de la SN. Le GTT est également le mécanisme adéquat pour lancer des discussions et du </w:t>
      </w:r>
      <w:r w:rsidR="00FB08BF">
        <w:t>militantisme</w:t>
      </w:r>
      <w:r>
        <w:t xml:space="preserve"> autour des TM au sein de la SN </w:t>
      </w:r>
    </w:p>
    <w:p w14:paraId="4BE3CA9D" w14:textId="77777777" w:rsidR="00510A94" w:rsidRDefault="004063F7" w:rsidP="00F57D0E">
      <w:r>
        <w:lastRenderedPageBreak/>
        <w:t xml:space="preserve"> </w:t>
      </w:r>
    </w:p>
    <w:p w14:paraId="6D71D74F" w14:textId="77777777" w:rsidR="00C054D8" w:rsidRDefault="00C054D8" w:rsidP="00F57D0E"/>
    <w:p w14:paraId="7E9B0AA1" w14:textId="3CED19D1" w:rsidR="00C41879" w:rsidRPr="00862EDC" w:rsidRDefault="004063F7" w:rsidP="00F57D0E">
      <w:r>
        <w:t xml:space="preserve">Plus précisément, le GTT </w:t>
      </w:r>
      <w:r w:rsidR="00536ABD">
        <w:t xml:space="preserve">sur les </w:t>
      </w:r>
      <w:r>
        <w:t>TM s’engage à :</w:t>
      </w:r>
    </w:p>
    <w:p w14:paraId="60662432" w14:textId="6F042EEE" w:rsidR="48C8E08B" w:rsidRDefault="48C8E08B" w:rsidP="00CC7675">
      <w:pPr>
        <w:pStyle w:val="ListParagraph"/>
        <w:numPr>
          <w:ilvl w:val="0"/>
          <w:numId w:val="22"/>
        </w:numPr>
      </w:pPr>
      <w:r>
        <w:t xml:space="preserve">Soutenir le développement, la mise en œuvre et le suivi du plan d’action de </w:t>
      </w:r>
      <w:r w:rsidR="00FD7D0B">
        <w:t>PTM</w:t>
      </w:r>
      <w:r>
        <w:t xml:space="preserve"> et représenter le point focal TM et les domaines techniques/départements dans le cadre de cette procédure</w:t>
      </w:r>
    </w:p>
    <w:p w14:paraId="642B734C" w14:textId="3C29F8CC" w:rsidR="003417FD" w:rsidRDefault="003417FD" w:rsidP="00CC7675">
      <w:pPr>
        <w:pStyle w:val="ListParagraph"/>
        <w:numPr>
          <w:ilvl w:val="0"/>
          <w:numId w:val="22"/>
        </w:numPr>
      </w:pPr>
      <w:r>
        <w:t xml:space="preserve">Soutenir l’intégration des TM dans les processus, les consignes et les formations de la SN </w:t>
      </w:r>
    </w:p>
    <w:p w14:paraId="05B4B5AD" w14:textId="1BA2D385" w:rsidR="00A11574" w:rsidRPr="00E34C5C" w:rsidRDefault="003417FD" w:rsidP="00CC7675">
      <w:pPr>
        <w:pStyle w:val="ListParagraph"/>
        <w:numPr>
          <w:ilvl w:val="0"/>
          <w:numId w:val="22"/>
        </w:numPr>
        <w:rPr>
          <w:szCs w:val="20"/>
        </w:rPr>
      </w:pPr>
      <w:r>
        <w:t xml:space="preserve">Servir de groupe de pairs pour les discussions techniques, partage des plans et de l’apprentissage </w:t>
      </w:r>
    </w:p>
    <w:p w14:paraId="1423E153" w14:textId="6801E6B0" w:rsidR="00C41879" w:rsidRPr="00862EDC" w:rsidRDefault="00C41879" w:rsidP="00CC7675">
      <w:pPr>
        <w:pStyle w:val="ListParagraph"/>
        <w:numPr>
          <w:ilvl w:val="0"/>
          <w:numId w:val="22"/>
        </w:numPr>
        <w:rPr>
          <w:szCs w:val="20"/>
        </w:rPr>
      </w:pPr>
      <w:r>
        <w:t>Lorsque des partenaires du mouvement au sens plus larges sont impliqués, promouvoir une approche du mouvement unique pour l’TM, d’une manière harmonisée et coordonnée.</w:t>
      </w:r>
    </w:p>
    <w:p w14:paraId="5AD7B4B9" w14:textId="0E894FA8" w:rsidR="00C41879" w:rsidRPr="00862EDC" w:rsidRDefault="00C41879" w:rsidP="00CC7675">
      <w:pPr>
        <w:pStyle w:val="ListParagraph"/>
        <w:numPr>
          <w:ilvl w:val="0"/>
          <w:numId w:val="22"/>
        </w:numPr>
        <w:rPr>
          <w:szCs w:val="20"/>
        </w:rPr>
      </w:pPr>
      <w:r>
        <w:t xml:space="preserve">Encourager les accords stratégiques et </w:t>
      </w:r>
      <w:r w:rsidR="00536ABD">
        <w:t xml:space="preserve">plaider </w:t>
      </w:r>
      <w:r>
        <w:t>auprès des gouvernements et des organisations non gouvernementales, des agences en question des Nations Unies et des parties prenantes externes pour une approche commune de la mise en œuvre.</w:t>
      </w:r>
    </w:p>
    <w:p w14:paraId="7A83F20A" w14:textId="77777777" w:rsidR="008C0FA7" w:rsidRDefault="008C0FA7" w:rsidP="00F57D0E">
      <w:pPr>
        <w:rPr>
          <w:b/>
          <w:sz w:val="22"/>
          <w:szCs w:val="22"/>
        </w:rPr>
      </w:pPr>
    </w:p>
    <w:p w14:paraId="0015D476" w14:textId="5EEF0F65" w:rsidR="007706E2" w:rsidRPr="000D5A4C" w:rsidRDefault="008B55B6" w:rsidP="00F57D0E">
      <w:pPr>
        <w:rPr>
          <w:b/>
          <w:sz w:val="24"/>
          <w:szCs w:val="24"/>
        </w:rPr>
      </w:pPr>
      <w:r>
        <w:rPr>
          <w:b/>
          <w:sz w:val="24"/>
        </w:rPr>
        <w:t xml:space="preserve">Principales responsabilités </w:t>
      </w:r>
    </w:p>
    <w:p w14:paraId="4F886FF9" w14:textId="0D85A2F3" w:rsidR="007706E2" w:rsidRPr="00F57D0E" w:rsidRDefault="007706E2" w:rsidP="007706E2">
      <w:r>
        <w:t>Les principales responsabilités du GTT sont les suivantes :</w:t>
      </w:r>
    </w:p>
    <w:p w14:paraId="403C84F0" w14:textId="76A7A758" w:rsidR="007706E2" w:rsidRPr="00CC7675" w:rsidRDefault="007706E2" w:rsidP="00CC7675">
      <w:pPr>
        <w:pStyle w:val="ListParagraph"/>
        <w:numPr>
          <w:ilvl w:val="0"/>
          <w:numId w:val="22"/>
        </w:numPr>
      </w:pPr>
      <w:r>
        <w:t>Établir les plans de la SN, les systèmes, les procédures, les capacités, les outils, les mécanismes de communication et d’intervention qui sont impliqués dans la préparation aux TM et aux interventions d’urgence. Identifiez les cas où il est nécessaire de :</w:t>
      </w:r>
    </w:p>
    <w:p w14:paraId="6CC4D116" w14:textId="16D7A811" w:rsidR="007706E2" w:rsidRPr="00CC7675" w:rsidRDefault="2E81E988" w:rsidP="00834A1C">
      <w:pPr>
        <w:pStyle w:val="ListParagraph"/>
        <w:numPr>
          <w:ilvl w:val="1"/>
          <w:numId w:val="23"/>
        </w:numPr>
      </w:pPr>
      <w:r>
        <w:t xml:space="preserve">Soutenir l’intégration et la généralisation des dispositions de TM dans les systèmes, plans ou outils </w:t>
      </w:r>
      <w:r w:rsidR="00536ABD">
        <w:t xml:space="preserve">de la </w:t>
      </w:r>
      <w:r>
        <w:t>SN existants</w:t>
      </w:r>
    </w:p>
    <w:p w14:paraId="55963A64" w14:textId="77777777" w:rsidR="007706E2" w:rsidRPr="00CC7675" w:rsidRDefault="007706E2" w:rsidP="00834A1C">
      <w:pPr>
        <w:pStyle w:val="ListParagraph"/>
        <w:numPr>
          <w:ilvl w:val="1"/>
          <w:numId w:val="23"/>
        </w:numPr>
      </w:pPr>
      <w:r>
        <w:t xml:space="preserve">Développer des procédures, capacités, plans ou outils propres aux TM (adaptés de la boîte à outils </w:t>
      </w:r>
      <w:proofErr w:type="spellStart"/>
      <w:r>
        <w:t>CiE</w:t>
      </w:r>
      <w:proofErr w:type="spellEnd"/>
      <w:r>
        <w:t>)</w:t>
      </w:r>
    </w:p>
    <w:p w14:paraId="425A9493" w14:textId="2DD19F2A" w:rsidR="003417FD" w:rsidRPr="00CC7675" w:rsidRDefault="007706E2" w:rsidP="00CC7675">
      <w:pPr>
        <w:pStyle w:val="ListParagraph"/>
        <w:numPr>
          <w:ilvl w:val="0"/>
          <w:numId w:val="22"/>
        </w:numPr>
      </w:pPr>
      <w:r>
        <w:t>Classer les objectifs prioritaires de préparation de TM en fonction des recommandations des ateliers de TM, des priorités, des ressources et des engagements de la SN. Sinon, au minimum, participer aux ateliers TM, en particulier les évaluations initiales et itératives.</w:t>
      </w:r>
    </w:p>
    <w:p w14:paraId="7BB8DD40" w14:textId="77777777" w:rsidR="007706E2" w:rsidRPr="00CC7675" w:rsidRDefault="007706E2" w:rsidP="00CC7675">
      <w:pPr>
        <w:pStyle w:val="ListParagraph"/>
        <w:numPr>
          <w:ilvl w:val="0"/>
          <w:numId w:val="22"/>
        </w:numPr>
      </w:pPr>
      <w:r>
        <w:t>Élaborer un plan d’action (</w:t>
      </w:r>
      <w:proofErr w:type="spellStart"/>
      <w:r>
        <w:t>PoA</w:t>
      </w:r>
      <w:proofErr w:type="spellEnd"/>
      <w:r>
        <w:t>) de préparation, aligné sur les cinq domaines de l’orientation TM:</w:t>
      </w:r>
    </w:p>
    <w:p w14:paraId="7E0CD6DC" w14:textId="77777777" w:rsidR="007706E2" w:rsidRPr="004B3333" w:rsidRDefault="007706E2" w:rsidP="00834A1C">
      <w:pPr>
        <w:pStyle w:val="ListParagraph"/>
        <w:numPr>
          <w:ilvl w:val="1"/>
          <w:numId w:val="23"/>
        </w:numPr>
      </w:pPr>
      <w:r>
        <w:t>Engagement de la direction</w:t>
      </w:r>
    </w:p>
    <w:p w14:paraId="4D9BA471" w14:textId="77777777" w:rsidR="007706E2" w:rsidRPr="004B3333" w:rsidRDefault="007706E2" w:rsidP="00834A1C">
      <w:pPr>
        <w:pStyle w:val="ListParagraph"/>
        <w:numPr>
          <w:ilvl w:val="1"/>
          <w:numId w:val="23"/>
        </w:numPr>
      </w:pPr>
      <w:r>
        <w:t>Processus, systèmes et outils</w:t>
      </w:r>
    </w:p>
    <w:p w14:paraId="670059E4" w14:textId="77777777" w:rsidR="007706E2" w:rsidRPr="004B3333" w:rsidRDefault="007706E2" w:rsidP="00834A1C">
      <w:pPr>
        <w:pStyle w:val="ListParagraph"/>
        <w:numPr>
          <w:ilvl w:val="1"/>
          <w:numId w:val="23"/>
        </w:numPr>
      </w:pPr>
      <w:r>
        <w:t>Ressources et capacités financières et humaines</w:t>
      </w:r>
    </w:p>
    <w:p w14:paraId="13856DAD" w14:textId="77777777" w:rsidR="007706E2" w:rsidRPr="004B3333" w:rsidRDefault="007706E2" w:rsidP="00834A1C">
      <w:pPr>
        <w:pStyle w:val="ListParagraph"/>
        <w:numPr>
          <w:ilvl w:val="1"/>
          <w:numId w:val="23"/>
        </w:numPr>
      </w:pPr>
      <w:r>
        <w:t>Responsabilité et engagement communautaires (CEA), coordination et partenariats</w:t>
      </w:r>
    </w:p>
    <w:p w14:paraId="00CD4444" w14:textId="77777777" w:rsidR="007706E2" w:rsidRPr="004B3333" w:rsidRDefault="007706E2" w:rsidP="00834A1C">
      <w:pPr>
        <w:pStyle w:val="ListParagraph"/>
        <w:numPr>
          <w:ilvl w:val="1"/>
          <w:numId w:val="23"/>
        </w:numPr>
      </w:pPr>
      <w:r>
        <w:t>Test, apprentissage et amélioration</w:t>
      </w:r>
    </w:p>
    <w:p w14:paraId="7A0647B8" w14:textId="44C1A8C9" w:rsidR="00617DC0" w:rsidRDefault="00617DC0" w:rsidP="00834A1C">
      <w:pPr>
        <w:pStyle w:val="ListParagraph"/>
        <w:numPr>
          <w:ilvl w:val="0"/>
          <w:numId w:val="22"/>
        </w:numPr>
      </w:pPr>
      <w:r>
        <w:t xml:space="preserve">Définir les critères et le processus de sélection pour décider quelles directions générales participeront à la mise en œuvre des activités clés de </w:t>
      </w:r>
      <w:r w:rsidR="00FD7D0B">
        <w:t>PTM</w:t>
      </w:r>
      <w:r>
        <w:t xml:space="preserve"> (auto-évaluation et vision, </w:t>
      </w:r>
      <w:proofErr w:type="spellStart"/>
      <w:r>
        <w:t>PoA</w:t>
      </w:r>
      <w:proofErr w:type="spellEnd"/>
      <w:r>
        <w:t xml:space="preserve">, cartographie et évaluation du marché, identification des PSF, valeurs de transfert pour différents résultats de secours et de rétablissement, etc.). </w:t>
      </w:r>
    </w:p>
    <w:p w14:paraId="5DC0A3F1" w14:textId="54750F2B" w:rsidR="007706E2" w:rsidRDefault="007706E2" w:rsidP="00834A1C">
      <w:pPr>
        <w:pStyle w:val="ListParagraph"/>
        <w:numPr>
          <w:ilvl w:val="0"/>
          <w:numId w:val="22"/>
        </w:numPr>
      </w:pPr>
      <w:r>
        <w:t xml:space="preserve">Mettre en œuvre et surveiller les activités et les résultats du plan d’action de </w:t>
      </w:r>
      <w:r w:rsidR="00FD7D0B">
        <w:t>PTM</w:t>
      </w:r>
      <w:r>
        <w:t xml:space="preserve"> et encadrer une évaluation finale du plan d’action.</w:t>
      </w:r>
    </w:p>
    <w:p w14:paraId="05923619" w14:textId="3E01A6BA" w:rsidR="006724FF" w:rsidRPr="004B3333" w:rsidRDefault="006E712A" w:rsidP="00834A1C">
      <w:pPr>
        <w:pStyle w:val="ListParagraph"/>
        <w:numPr>
          <w:ilvl w:val="0"/>
          <w:numId w:val="22"/>
        </w:numPr>
      </w:pPr>
      <w:r>
        <w:t xml:space="preserve">Élaborer et déployer des PON pour </w:t>
      </w:r>
      <w:r w:rsidR="00536ABD">
        <w:t xml:space="preserve">les </w:t>
      </w:r>
      <w:r>
        <w:t xml:space="preserve">TM au niveau du siège et </w:t>
      </w:r>
      <w:r w:rsidR="00536ABD">
        <w:t>des branches</w:t>
      </w:r>
      <w:r>
        <w:t xml:space="preserve"> et mener un exercice sur les rôles et responsabilités/RACI, le cas échéant.</w:t>
      </w:r>
    </w:p>
    <w:p w14:paraId="425E3A14" w14:textId="6065F6A0" w:rsidR="007706E2" w:rsidRPr="004B3333" w:rsidRDefault="007706E2" w:rsidP="00834A1C">
      <w:pPr>
        <w:pStyle w:val="ListParagraph"/>
        <w:numPr>
          <w:ilvl w:val="0"/>
          <w:numId w:val="22"/>
        </w:numPr>
      </w:pPr>
      <w:r>
        <w:t xml:space="preserve">Planifier des réunions et participer à des réunions internes régulières pour partager et suivre les progrès et identifier les obstacles et les mesures correctives nécessaires en lien avec la mise en œuvre du plan d’action de </w:t>
      </w:r>
      <w:r w:rsidR="00FD7D0B">
        <w:t>PTM</w:t>
      </w:r>
      <w:r>
        <w:t>.</w:t>
      </w:r>
    </w:p>
    <w:p w14:paraId="33E6FB4A" w14:textId="511FD368" w:rsidR="007706E2" w:rsidRPr="004B3333" w:rsidRDefault="001F24E2" w:rsidP="00834A1C">
      <w:pPr>
        <w:pStyle w:val="ListParagraph"/>
        <w:numPr>
          <w:ilvl w:val="0"/>
          <w:numId w:val="22"/>
        </w:numPr>
      </w:pPr>
      <w:r>
        <w:t xml:space="preserve">Participer aux réunions externes de TM, le cas échéant, comme le groupe de travail des TM et tout groupe (par l’intermédiaire du point focal TM ou d’un autre représentant adjoint du GTT) </w:t>
      </w:r>
    </w:p>
    <w:p w14:paraId="150196EE" w14:textId="1DEBC302" w:rsidR="007706E2" w:rsidRDefault="007706E2" w:rsidP="00834A1C">
      <w:pPr>
        <w:pStyle w:val="ListParagraph"/>
        <w:numPr>
          <w:ilvl w:val="0"/>
          <w:numId w:val="22"/>
        </w:numPr>
      </w:pPr>
      <w:r>
        <w:t>Soyez des militants et des défenseurs des TM au sein de la SN et du mouvement dans le pays.</w:t>
      </w:r>
    </w:p>
    <w:p w14:paraId="6084539C" w14:textId="42B335C9" w:rsidR="007706E2" w:rsidRPr="004B3333" w:rsidRDefault="007706E2" w:rsidP="004B3333">
      <w:pPr>
        <w:rPr>
          <w:color w:val="000000"/>
          <w:szCs w:val="22"/>
        </w:rPr>
      </w:pPr>
      <w:r>
        <w:t xml:space="preserve">Chaque membre aura des résultats particuliers qui lui seront attribués dans le plan d’action de </w:t>
      </w:r>
      <w:r w:rsidR="00FD7D0B">
        <w:t>PTM</w:t>
      </w:r>
      <w:r>
        <w:t xml:space="preserve"> et sera responsable du suivi des progrès et de la production de rapports au nom de son département.</w:t>
      </w:r>
    </w:p>
    <w:p w14:paraId="18CBBFAD" w14:textId="77777777" w:rsidR="005E7565" w:rsidRDefault="005E7565" w:rsidP="004B3333">
      <w:pPr>
        <w:pStyle w:val="Bullet2"/>
        <w:keepNext/>
        <w:numPr>
          <w:ilvl w:val="0"/>
          <w:numId w:val="0"/>
        </w:numPr>
        <w:contextualSpacing w:val="0"/>
        <w:rPr>
          <w:lang w:eastAsia="en-GB"/>
        </w:rPr>
      </w:pPr>
    </w:p>
    <w:p w14:paraId="7BEE30E7" w14:textId="2FEEF2FE" w:rsidR="00862EDC" w:rsidRPr="000D5A4C" w:rsidRDefault="00F57D0E" w:rsidP="00F57D0E">
      <w:pPr>
        <w:rPr>
          <w:b/>
          <w:sz w:val="24"/>
          <w:szCs w:val="24"/>
        </w:rPr>
      </w:pPr>
      <w:r>
        <w:rPr>
          <w:b/>
          <w:sz w:val="24"/>
        </w:rPr>
        <w:t xml:space="preserve">Adhésion et rôles spécifiques </w:t>
      </w:r>
    </w:p>
    <w:p w14:paraId="29A448E0" w14:textId="50B613EC" w:rsidR="004D667D" w:rsidRDefault="004D667D" w:rsidP="004D667D">
      <w:pPr>
        <w:rPr>
          <w:color w:val="000000" w:themeColor="text1"/>
        </w:rPr>
      </w:pPr>
      <w:r>
        <w:rPr>
          <w:color w:val="000000" w:themeColor="text1"/>
        </w:rPr>
        <w:t>Le GTT sera généralement et idéalement composé des départements suivants de la SN, avec du personnel qui est, ou sera, impliqué dans la mise en œuvre de TM. Cela peut provenir du siège ou des succursales, selon les capacités et l’expérience de la SN.</w:t>
      </w:r>
    </w:p>
    <w:p w14:paraId="0D26289E" w14:textId="70233BCE" w:rsidR="00510A94" w:rsidRDefault="00510A94" w:rsidP="00510A94">
      <w:r>
        <w:t xml:space="preserve">Le personnel des partenaires du mouvement dans le pays (FICR, CICR et </w:t>
      </w:r>
      <w:r w:rsidR="00536ABD">
        <w:t>PNS</w:t>
      </w:r>
      <w:r>
        <w:t>) peut également être invité s’il satisfait aux critères suivants :</w:t>
      </w:r>
    </w:p>
    <w:p w14:paraId="0BF0E6A1" w14:textId="77777777" w:rsidR="00510A94" w:rsidRPr="004B3333" w:rsidRDefault="00510A94" w:rsidP="00D1665D">
      <w:pPr>
        <w:pStyle w:val="ListParagraph"/>
        <w:numPr>
          <w:ilvl w:val="0"/>
          <w:numId w:val="22"/>
        </w:numPr>
      </w:pPr>
      <w:r>
        <w:lastRenderedPageBreak/>
        <w:t>Engagement exprimé à soutenir la discussion technique et le développement des TM au sein de la SN</w:t>
      </w:r>
    </w:p>
    <w:p w14:paraId="33CC6EED" w14:textId="77777777" w:rsidR="00510A94" w:rsidRPr="00D1665D" w:rsidRDefault="00510A94" w:rsidP="00D1665D">
      <w:pPr>
        <w:pStyle w:val="ListParagraph"/>
        <w:numPr>
          <w:ilvl w:val="0"/>
          <w:numId w:val="22"/>
        </w:numPr>
      </w:pPr>
      <w:r>
        <w:t>Participation active actuelle ou future (directement ou indirectement) dans la mise en œuvre des TM avec la SN</w:t>
      </w:r>
    </w:p>
    <w:p w14:paraId="5330AB3D" w14:textId="557F61E4" w:rsidR="00510A94" w:rsidRDefault="00510A94" w:rsidP="004D667D">
      <w:pPr>
        <w:rPr>
          <w:color w:val="000000"/>
        </w:rPr>
      </w:pPr>
      <w:r>
        <w:rPr>
          <w:color w:val="000000" w:themeColor="text1"/>
        </w:rPr>
        <w:t>Dans certains contextes, certains participants externes forts d’une expérience pertinente peuvent en outre être invités à se joindre au GTT.</w:t>
      </w:r>
    </w:p>
    <w:p w14:paraId="12DB5082" w14:textId="77777777" w:rsidR="00510A94" w:rsidRDefault="00510A94" w:rsidP="004D667D">
      <w:pPr>
        <w:rPr>
          <w:color w:val="000000"/>
          <w:lang w:eastAsia="en-GB"/>
        </w:rPr>
      </w:pPr>
    </w:p>
    <w:tbl>
      <w:tblPr>
        <w:tblStyle w:val="TableGrid"/>
        <w:tblW w:w="9848" w:type="dxa"/>
        <w:tblLook w:val="04A0" w:firstRow="1" w:lastRow="0" w:firstColumn="1" w:lastColumn="0" w:noHBand="0" w:noVBand="1"/>
      </w:tblPr>
      <w:tblGrid>
        <w:gridCol w:w="6487"/>
        <w:gridCol w:w="3361"/>
      </w:tblGrid>
      <w:tr w:rsidR="00343F71" w14:paraId="2D48D7CC" w14:textId="77777777" w:rsidTr="0046094E">
        <w:tc>
          <w:tcPr>
            <w:tcW w:w="6487" w:type="dxa"/>
            <w:shd w:val="clear" w:color="auto" w:fill="DC281E"/>
            <w:vAlign w:val="bottom"/>
          </w:tcPr>
          <w:p w14:paraId="7E90F06A" w14:textId="6E4D7AC1" w:rsidR="00343F71" w:rsidRPr="0046094E" w:rsidRDefault="00510A94" w:rsidP="0046094E">
            <w:pPr>
              <w:pStyle w:val="Default"/>
              <w:spacing w:before="60" w:after="60"/>
              <w:rPr>
                <w:b/>
                <w:color w:val="FFFFFF" w:themeColor="background1"/>
                <w:sz w:val="20"/>
                <w:szCs w:val="20"/>
              </w:rPr>
            </w:pPr>
            <w:r>
              <w:rPr>
                <w:b/>
                <w:color w:val="FFFFFF" w:themeColor="background1"/>
                <w:sz w:val="20"/>
              </w:rPr>
              <w:t>Département/secteur de la SN</w:t>
            </w:r>
          </w:p>
        </w:tc>
        <w:tc>
          <w:tcPr>
            <w:tcW w:w="3361" w:type="dxa"/>
            <w:shd w:val="clear" w:color="auto" w:fill="DC281E"/>
            <w:vAlign w:val="bottom"/>
          </w:tcPr>
          <w:p w14:paraId="1964060D" w14:textId="162BF043" w:rsidR="00343F71" w:rsidRPr="0046094E" w:rsidRDefault="00343F71" w:rsidP="00311C5D">
            <w:pPr>
              <w:pStyle w:val="Default"/>
              <w:spacing w:before="60" w:after="60"/>
              <w:rPr>
                <w:b/>
                <w:color w:val="FFFFFF" w:themeColor="background1"/>
              </w:rPr>
            </w:pPr>
            <w:r>
              <w:rPr>
                <w:b/>
                <w:color w:val="FFFFFF" w:themeColor="background1"/>
                <w:sz w:val="20"/>
              </w:rPr>
              <w:t>Rôle/fonction</w:t>
            </w:r>
          </w:p>
        </w:tc>
      </w:tr>
      <w:tr w:rsidR="00343F71" w14:paraId="06B94255" w14:textId="77777777" w:rsidTr="00A3686F">
        <w:tc>
          <w:tcPr>
            <w:tcW w:w="6487" w:type="dxa"/>
            <w:shd w:val="clear" w:color="auto" w:fill="E6E6E6"/>
            <w:vAlign w:val="center"/>
          </w:tcPr>
          <w:p w14:paraId="5E8B73FD" w14:textId="17BD86EE" w:rsidR="00343F71" w:rsidRDefault="00343F71" w:rsidP="006D3136">
            <w:pPr>
              <w:jc w:val="left"/>
              <w:rPr>
                <w:color w:val="000000"/>
              </w:rPr>
            </w:pPr>
            <w:r>
              <w:rPr>
                <w:color w:val="000000"/>
              </w:rPr>
              <w:t>Point focal des TM- 1</w:t>
            </w:r>
          </w:p>
        </w:tc>
        <w:tc>
          <w:tcPr>
            <w:tcW w:w="3361" w:type="dxa"/>
            <w:shd w:val="clear" w:color="auto" w:fill="F3F3F3"/>
            <w:vAlign w:val="center"/>
          </w:tcPr>
          <w:p w14:paraId="26EDAAAC" w14:textId="221C5BFF" w:rsidR="00343F71" w:rsidRDefault="00343F71" w:rsidP="006D3136">
            <w:pPr>
              <w:jc w:val="left"/>
              <w:rPr>
                <w:color w:val="000000"/>
              </w:rPr>
            </w:pPr>
            <w:r>
              <w:rPr>
                <w:color w:val="000000"/>
              </w:rPr>
              <w:t>Secrétariat (Président)</w:t>
            </w:r>
          </w:p>
        </w:tc>
      </w:tr>
      <w:tr w:rsidR="00343F71" w14:paraId="3ABC38A4" w14:textId="77777777" w:rsidTr="00A3686F">
        <w:tc>
          <w:tcPr>
            <w:tcW w:w="6487" w:type="dxa"/>
            <w:shd w:val="clear" w:color="auto" w:fill="E6E6E6"/>
            <w:vAlign w:val="center"/>
          </w:tcPr>
          <w:p w14:paraId="0C32730D" w14:textId="5483667F" w:rsidR="00343F71" w:rsidRDefault="00343F71" w:rsidP="006D3136">
            <w:pPr>
              <w:jc w:val="left"/>
              <w:rPr>
                <w:color w:val="000000"/>
              </w:rPr>
            </w:pPr>
            <w:r>
              <w:rPr>
                <w:color w:val="000000"/>
              </w:rPr>
              <w:t>Gestion des catastrophes – 1 (minimum)</w:t>
            </w:r>
          </w:p>
        </w:tc>
        <w:tc>
          <w:tcPr>
            <w:tcW w:w="3361" w:type="dxa"/>
            <w:shd w:val="clear" w:color="auto" w:fill="F3F3F3"/>
            <w:vAlign w:val="center"/>
          </w:tcPr>
          <w:p w14:paraId="067467BC" w14:textId="232C3AF4" w:rsidR="00343F71" w:rsidRDefault="00343F71" w:rsidP="006D3136">
            <w:pPr>
              <w:jc w:val="left"/>
              <w:rPr>
                <w:color w:val="000000"/>
              </w:rPr>
            </w:pPr>
            <w:r>
              <w:rPr>
                <w:color w:val="000000"/>
              </w:rPr>
              <w:t>Secrétariat (Vice-président)</w:t>
            </w:r>
          </w:p>
        </w:tc>
      </w:tr>
      <w:tr w:rsidR="00343F71" w14:paraId="61539065" w14:textId="77777777" w:rsidTr="00A3686F">
        <w:tc>
          <w:tcPr>
            <w:tcW w:w="6487" w:type="dxa"/>
            <w:shd w:val="clear" w:color="auto" w:fill="E6E6E6"/>
            <w:vAlign w:val="center"/>
          </w:tcPr>
          <w:p w14:paraId="61D5BEE6" w14:textId="3A6376A7" w:rsidR="00343F71" w:rsidRDefault="00343F71" w:rsidP="006D3136">
            <w:pPr>
              <w:jc w:val="left"/>
              <w:rPr>
                <w:color w:val="000000"/>
              </w:rPr>
            </w:pPr>
            <w:r>
              <w:rPr>
                <w:color w:val="000000"/>
              </w:rPr>
              <w:t>Finance – 1</w:t>
            </w:r>
          </w:p>
        </w:tc>
        <w:tc>
          <w:tcPr>
            <w:tcW w:w="3361" w:type="dxa"/>
            <w:shd w:val="clear" w:color="auto" w:fill="F3F3F3"/>
            <w:vAlign w:val="center"/>
          </w:tcPr>
          <w:p w14:paraId="600956CB" w14:textId="5077A341" w:rsidR="00343F71" w:rsidRDefault="00343F71" w:rsidP="006D3136">
            <w:pPr>
              <w:jc w:val="left"/>
              <w:rPr>
                <w:color w:val="000000"/>
              </w:rPr>
            </w:pPr>
            <w:r>
              <w:rPr>
                <w:color w:val="000000"/>
              </w:rPr>
              <w:t>Membre</w:t>
            </w:r>
          </w:p>
        </w:tc>
      </w:tr>
      <w:tr w:rsidR="00343F71" w14:paraId="77E4892D" w14:textId="77777777" w:rsidTr="00A3686F">
        <w:tc>
          <w:tcPr>
            <w:tcW w:w="6487" w:type="dxa"/>
            <w:shd w:val="clear" w:color="auto" w:fill="E6E6E6"/>
            <w:vAlign w:val="center"/>
          </w:tcPr>
          <w:p w14:paraId="372E5DD1" w14:textId="0E04B759" w:rsidR="00343F71" w:rsidRDefault="00343F71" w:rsidP="006D3136">
            <w:pPr>
              <w:jc w:val="left"/>
              <w:rPr>
                <w:color w:val="000000"/>
              </w:rPr>
            </w:pPr>
            <w:r>
              <w:rPr>
                <w:color w:val="000000"/>
              </w:rPr>
              <w:t>Logistique– 1</w:t>
            </w:r>
          </w:p>
        </w:tc>
        <w:tc>
          <w:tcPr>
            <w:tcW w:w="3361" w:type="dxa"/>
            <w:shd w:val="clear" w:color="auto" w:fill="F3F3F3"/>
            <w:vAlign w:val="center"/>
          </w:tcPr>
          <w:p w14:paraId="08D1E901" w14:textId="6B2E27DF" w:rsidR="00343F71" w:rsidRDefault="00343F71" w:rsidP="006D3136">
            <w:pPr>
              <w:jc w:val="left"/>
              <w:rPr>
                <w:color w:val="000000"/>
              </w:rPr>
            </w:pPr>
            <w:r>
              <w:rPr>
                <w:color w:val="000000"/>
              </w:rPr>
              <w:t>Membre</w:t>
            </w:r>
          </w:p>
        </w:tc>
      </w:tr>
      <w:tr w:rsidR="00343F71" w14:paraId="3FE77D75" w14:textId="77777777" w:rsidTr="00A3686F">
        <w:tc>
          <w:tcPr>
            <w:tcW w:w="6487" w:type="dxa"/>
            <w:shd w:val="clear" w:color="auto" w:fill="E6E6E6"/>
            <w:vAlign w:val="center"/>
          </w:tcPr>
          <w:p w14:paraId="56D0161F" w14:textId="09CCB1C1" w:rsidR="00343F71" w:rsidRDefault="00343F71" w:rsidP="006D3136">
            <w:pPr>
              <w:jc w:val="left"/>
              <w:rPr>
                <w:color w:val="000000"/>
              </w:rPr>
            </w:pPr>
            <w:r>
              <w:rPr>
                <w:color w:val="000000"/>
              </w:rPr>
              <w:t>Approvisionnement – 1</w:t>
            </w:r>
          </w:p>
        </w:tc>
        <w:tc>
          <w:tcPr>
            <w:tcW w:w="3361" w:type="dxa"/>
            <w:shd w:val="clear" w:color="auto" w:fill="F3F3F3"/>
            <w:vAlign w:val="center"/>
          </w:tcPr>
          <w:p w14:paraId="07ED912F" w14:textId="64BC7E4F" w:rsidR="00343F71" w:rsidRDefault="00343F71" w:rsidP="006D3136">
            <w:pPr>
              <w:jc w:val="left"/>
              <w:rPr>
                <w:color w:val="000000"/>
              </w:rPr>
            </w:pPr>
            <w:r>
              <w:rPr>
                <w:color w:val="000000"/>
              </w:rPr>
              <w:t>Membre</w:t>
            </w:r>
          </w:p>
        </w:tc>
      </w:tr>
      <w:tr w:rsidR="00343F71" w14:paraId="49A663C7" w14:textId="77777777" w:rsidTr="00A3686F">
        <w:tc>
          <w:tcPr>
            <w:tcW w:w="6487" w:type="dxa"/>
            <w:shd w:val="clear" w:color="auto" w:fill="E6E6E6"/>
            <w:vAlign w:val="center"/>
          </w:tcPr>
          <w:p w14:paraId="29C08324" w14:textId="363F23FC" w:rsidR="00343F71" w:rsidRDefault="00343F71" w:rsidP="006D3136">
            <w:pPr>
              <w:jc w:val="left"/>
              <w:rPr>
                <w:color w:val="000000"/>
              </w:rPr>
            </w:pPr>
            <w:r>
              <w:rPr>
                <w:color w:val="000000"/>
              </w:rPr>
              <w:t xml:space="preserve">Gestion de l’information/technologie – 1 </w:t>
            </w:r>
          </w:p>
        </w:tc>
        <w:tc>
          <w:tcPr>
            <w:tcW w:w="3361" w:type="dxa"/>
            <w:shd w:val="clear" w:color="auto" w:fill="F3F3F3"/>
            <w:vAlign w:val="center"/>
          </w:tcPr>
          <w:p w14:paraId="5973C701" w14:textId="2E4696E9" w:rsidR="00343F71" w:rsidRDefault="00343F71" w:rsidP="006D3136">
            <w:pPr>
              <w:jc w:val="left"/>
              <w:rPr>
                <w:color w:val="000000"/>
              </w:rPr>
            </w:pPr>
            <w:r>
              <w:rPr>
                <w:color w:val="000000"/>
              </w:rPr>
              <w:t>Membre</w:t>
            </w:r>
          </w:p>
        </w:tc>
      </w:tr>
      <w:tr w:rsidR="00343F71" w14:paraId="4D683434" w14:textId="77777777" w:rsidTr="00A3686F">
        <w:tc>
          <w:tcPr>
            <w:tcW w:w="6487" w:type="dxa"/>
            <w:shd w:val="clear" w:color="auto" w:fill="E6E6E6"/>
            <w:vAlign w:val="center"/>
          </w:tcPr>
          <w:p w14:paraId="77A1847C" w14:textId="793F4510" w:rsidR="00343F71" w:rsidRDefault="00343F71" w:rsidP="006D3136">
            <w:pPr>
              <w:jc w:val="left"/>
              <w:rPr>
                <w:color w:val="000000"/>
              </w:rPr>
            </w:pPr>
            <w:r>
              <w:rPr>
                <w:color w:val="000000"/>
              </w:rPr>
              <w:t xml:space="preserve">Suivi et évaluation – 1 </w:t>
            </w:r>
          </w:p>
        </w:tc>
        <w:tc>
          <w:tcPr>
            <w:tcW w:w="3361" w:type="dxa"/>
            <w:shd w:val="clear" w:color="auto" w:fill="F3F3F3"/>
            <w:vAlign w:val="center"/>
          </w:tcPr>
          <w:p w14:paraId="0A6485A8" w14:textId="651825EF" w:rsidR="00343F71" w:rsidRDefault="00343F71" w:rsidP="006D3136">
            <w:pPr>
              <w:jc w:val="left"/>
              <w:rPr>
                <w:color w:val="000000"/>
              </w:rPr>
            </w:pPr>
            <w:r>
              <w:rPr>
                <w:color w:val="000000"/>
              </w:rPr>
              <w:t>Membre</w:t>
            </w:r>
          </w:p>
        </w:tc>
      </w:tr>
      <w:tr w:rsidR="00343F71" w14:paraId="2619F244" w14:textId="77777777" w:rsidTr="00A3686F">
        <w:tc>
          <w:tcPr>
            <w:tcW w:w="6487" w:type="dxa"/>
            <w:shd w:val="clear" w:color="auto" w:fill="E6E6E6"/>
            <w:vAlign w:val="center"/>
          </w:tcPr>
          <w:p w14:paraId="5425ECCF" w14:textId="2EC3F05E" w:rsidR="00343F71" w:rsidRDefault="00343F71" w:rsidP="006D3136">
            <w:pPr>
              <w:jc w:val="left"/>
              <w:rPr>
                <w:color w:val="000000"/>
              </w:rPr>
            </w:pPr>
            <w:r>
              <w:rPr>
                <w:color w:val="000000"/>
              </w:rPr>
              <w:t>Communications</w:t>
            </w:r>
            <w:r w:rsidR="000D178A">
              <w:rPr>
                <w:color w:val="000000"/>
              </w:rPr>
              <w:t xml:space="preserve"> </w:t>
            </w:r>
            <w:r>
              <w:rPr>
                <w:color w:val="000000"/>
              </w:rPr>
              <w:t xml:space="preserve">-1 </w:t>
            </w:r>
          </w:p>
        </w:tc>
        <w:tc>
          <w:tcPr>
            <w:tcW w:w="3361" w:type="dxa"/>
            <w:shd w:val="clear" w:color="auto" w:fill="F3F3F3"/>
            <w:vAlign w:val="center"/>
          </w:tcPr>
          <w:p w14:paraId="4DFAB5B6" w14:textId="1CAE0EC5" w:rsidR="00343F71" w:rsidRDefault="00343F71" w:rsidP="006D3136">
            <w:pPr>
              <w:jc w:val="left"/>
              <w:rPr>
                <w:color w:val="000000"/>
              </w:rPr>
            </w:pPr>
            <w:r>
              <w:rPr>
                <w:color w:val="000000"/>
              </w:rPr>
              <w:t>Membre</w:t>
            </w:r>
          </w:p>
        </w:tc>
      </w:tr>
      <w:tr w:rsidR="00343F71" w14:paraId="260EACFE" w14:textId="77777777" w:rsidTr="00A3686F">
        <w:tc>
          <w:tcPr>
            <w:tcW w:w="6487" w:type="dxa"/>
            <w:shd w:val="clear" w:color="auto" w:fill="E6E6E6"/>
            <w:vAlign w:val="center"/>
          </w:tcPr>
          <w:p w14:paraId="00F73F87" w14:textId="75446183" w:rsidR="00343F71" w:rsidRDefault="00343F71" w:rsidP="006D3136">
            <w:pPr>
              <w:jc w:val="left"/>
              <w:rPr>
                <w:color w:val="000000"/>
              </w:rPr>
            </w:pPr>
            <w:r>
              <w:rPr>
                <w:color w:val="000000"/>
              </w:rPr>
              <w:t>DO</w:t>
            </w:r>
            <w:r w:rsidR="000D178A">
              <w:rPr>
                <w:color w:val="000000"/>
              </w:rPr>
              <w:t xml:space="preserve"> -</w:t>
            </w:r>
            <w:r>
              <w:rPr>
                <w:color w:val="000000"/>
              </w:rPr>
              <w:t xml:space="preserve"> 1</w:t>
            </w:r>
          </w:p>
        </w:tc>
        <w:tc>
          <w:tcPr>
            <w:tcW w:w="3361" w:type="dxa"/>
            <w:shd w:val="clear" w:color="auto" w:fill="F3F3F3"/>
            <w:vAlign w:val="center"/>
          </w:tcPr>
          <w:p w14:paraId="284CD185" w14:textId="77777777" w:rsidR="00343F71" w:rsidRDefault="00343F71" w:rsidP="006D3136">
            <w:pPr>
              <w:jc w:val="left"/>
              <w:rPr>
                <w:color w:val="000000"/>
              </w:rPr>
            </w:pPr>
            <w:r>
              <w:rPr>
                <w:color w:val="000000"/>
              </w:rPr>
              <w:t>Membre</w:t>
            </w:r>
          </w:p>
        </w:tc>
      </w:tr>
      <w:tr w:rsidR="00343F71" w14:paraId="4AB06DFB" w14:textId="77777777" w:rsidTr="00A3686F">
        <w:tc>
          <w:tcPr>
            <w:tcW w:w="6487" w:type="dxa"/>
            <w:shd w:val="clear" w:color="auto" w:fill="E6E6E6"/>
            <w:vAlign w:val="center"/>
          </w:tcPr>
          <w:p w14:paraId="75E9A8B2" w14:textId="2BDAA43F" w:rsidR="00343F71" w:rsidRPr="00D32142" w:rsidRDefault="00D32142" w:rsidP="00D32142">
            <w:pPr>
              <w:jc w:val="left"/>
              <w:rPr>
                <w:iCs/>
                <w:color w:val="000000"/>
              </w:rPr>
            </w:pPr>
            <w:r>
              <w:rPr>
                <w:color w:val="000000"/>
              </w:rPr>
              <w:t>Programmes qui ont un lien clair avec les TM (</w:t>
            </w:r>
            <w:r w:rsidRPr="00487841">
              <w:rPr>
                <w:color w:val="000000"/>
              </w:rPr>
              <w:t xml:space="preserve">par exemple, </w:t>
            </w:r>
            <w:r w:rsidR="00EB571D">
              <w:rPr>
                <w:color w:val="000000"/>
              </w:rPr>
              <w:t>SAME</w:t>
            </w:r>
            <w:r w:rsidRPr="00EB571D">
              <w:rPr>
                <w:color w:val="000000"/>
              </w:rPr>
              <w:t>,</w:t>
            </w:r>
            <w:r w:rsidRPr="00992C26">
              <w:rPr>
                <w:color w:val="000000"/>
                <w:highlight w:val="yellow"/>
              </w:rPr>
              <w:t xml:space="preserve"> </w:t>
            </w:r>
            <w:r w:rsidR="00326467">
              <w:rPr>
                <w:color w:val="000000"/>
              </w:rPr>
              <w:t>Santé,</w:t>
            </w:r>
            <w:r w:rsidR="00326467" w:rsidRPr="002A1806">
              <w:rPr>
                <w:color w:val="000000"/>
              </w:rPr>
              <w:t xml:space="preserve"> </w:t>
            </w:r>
            <w:r w:rsidR="00F40DD0" w:rsidRPr="002A1806">
              <w:rPr>
                <w:color w:val="000000"/>
              </w:rPr>
              <w:t>WASH</w:t>
            </w:r>
            <w:r w:rsidRPr="0052436D">
              <w:rPr>
                <w:color w:val="000000"/>
              </w:rPr>
              <w:t xml:space="preserve">, </w:t>
            </w:r>
            <w:r w:rsidRPr="00380DF7">
              <w:rPr>
                <w:color w:val="000000"/>
              </w:rPr>
              <w:t>RRC)</w:t>
            </w:r>
            <w:r>
              <w:rPr>
                <w:color w:val="000000"/>
              </w:rPr>
              <w:t xml:space="preserve"> – si nécessaire</w:t>
            </w:r>
          </w:p>
        </w:tc>
        <w:tc>
          <w:tcPr>
            <w:tcW w:w="3361" w:type="dxa"/>
            <w:shd w:val="clear" w:color="auto" w:fill="F3F3F3"/>
            <w:vAlign w:val="center"/>
          </w:tcPr>
          <w:p w14:paraId="1FF9BC10" w14:textId="1258FA5C" w:rsidR="00343F71" w:rsidRDefault="00382130" w:rsidP="006D3136">
            <w:pPr>
              <w:jc w:val="left"/>
              <w:rPr>
                <w:color w:val="000000"/>
              </w:rPr>
            </w:pPr>
            <w:r>
              <w:rPr>
                <w:color w:val="000000"/>
              </w:rPr>
              <w:t>Membre</w:t>
            </w:r>
          </w:p>
        </w:tc>
      </w:tr>
      <w:tr w:rsidR="00343F71" w14:paraId="6DC60B3F" w14:textId="77777777" w:rsidTr="00A3686F">
        <w:tc>
          <w:tcPr>
            <w:tcW w:w="6487" w:type="dxa"/>
            <w:shd w:val="clear" w:color="auto" w:fill="E6E6E6"/>
            <w:vAlign w:val="center"/>
          </w:tcPr>
          <w:p w14:paraId="3C01F258" w14:textId="49D6E590" w:rsidR="00343F71" w:rsidRDefault="00617DC0" w:rsidP="006D3136">
            <w:pPr>
              <w:jc w:val="left"/>
              <w:rPr>
                <w:color w:val="000000"/>
              </w:rPr>
            </w:pPr>
            <w:r>
              <w:rPr>
                <w:color w:val="000000"/>
              </w:rPr>
              <w:t>Formation – 1 (si nécessaire)</w:t>
            </w:r>
          </w:p>
        </w:tc>
        <w:tc>
          <w:tcPr>
            <w:tcW w:w="3361" w:type="dxa"/>
            <w:shd w:val="clear" w:color="auto" w:fill="F3F3F3"/>
            <w:vAlign w:val="center"/>
          </w:tcPr>
          <w:p w14:paraId="31BAFE99" w14:textId="7A89672C" w:rsidR="00343F71" w:rsidRDefault="00382130" w:rsidP="006D3136">
            <w:pPr>
              <w:jc w:val="left"/>
              <w:rPr>
                <w:color w:val="000000"/>
              </w:rPr>
            </w:pPr>
            <w:r>
              <w:rPr>
                <w:color w:val="000000"/>
              </w:rPr>
              <w:t>Membre</w:t>
            </w:r>
          </w:p>
        </w:tc>
      </w:tr>
      <w:tr w:rsidR="00343F71" w14:paraId="6B2CB0DA" w14:textId="77777777" w:rsidTr="00A3686F">
        <w:tc>
          <w:tcPr>
            <w:tcW w:w="6487" w:type="dxa"/>
            <w:shd w:val="clear" w:color="auto" w:fill="E6E6E6"/>
            <w:vAlign w:val="center"/>
          </w:tcPr>
          <w:p w14:paraId="76D3FEEA" w14:textId="66420E76" w:rsidR="00343F71" w:rsidRDefault="00617DC0" w:rsidP="006D3136">
            <w:pPr>
              <w:jc w:val="left"/>
              <w:rPr>
                <w:color w:val="000000"/>
              </w:rPr>
            </w:pPr>
            <w:r>
              <w:rPr>
                <w:color w:val="000000"/>
              </w:rPr>
              <w:t>Jeunesse – 1 (au besoin)</w:t>
            </w:r>
          </w:p>
        </w:tc>
        <w:tc>
          <w:tcPr>
            <w:tcW w:w="3361" w:type="dxa"/>
            <w:shd w:val="clear" w:color="auto" w:fill="F3F3F3"/>
            <w:vAlign w:val="center"/>
          </w:tcPr>
          <w:p w14:paraId="3DE73D6F" w14:textId="0447F554" w:rsidR="00343F71" w:rsidRDefault="00382130" w:rsidP="006D3136">
            <w:pPr>
              <w:jc w:val="left"/>
              <w:rPr>
                <w:color w:val="000000"/>
              </w:rPr>
            </w:pPr>
            <w:r>
              <w:rPr>
                <w:color w:val="000000"/>
              </w:rPr>
              <w:t>Membre</w:t>
            </w:r>
          </w:p>
        </w:tc>
      </w:tr>
      <w:tr w:rsidR="00343F71" w14:paraId="7B138260" w14:textId="77777777" w:rsidTr="00A3686F">
        <w:tc>
          <w:tcPr>
            <w:tcW w:w="6487" w:type="dxa"/>
            <w:shd w:val="clear" w:color="auto" w:fill="E6E6E6"/>
            <w:vAlign w:val="center"/>
          </w:tcPr>
          <w:p w14:paraId="5C2E962A" w14:textId="73DFAA34" w:rsidR="00343F71" w:rsidRDefault="00617DC0" w:rsidP="006D3136">
            <w:pPr>
              <w:jc w:val="left"/>
              <w:rPr>
                <w:color w:val="000000"/>
              </w:rPr>
            </w:pPr>
            <w:r>
              <w:rPr>
                <w:color w:val="000000" w:themeColor="text1"/>
              </w:rPr>
              <w:t>Représentant volontaire/service – 1 (au besoin)</w:t>
            </w:r>
          </w:p>
        </w:tc>
        <w:tc>
          <w:tcPr>
            <w:tcW w:w="3361" w:type="dxa"/>
            <w:shd w:val="clear" w:color="auto" w:fill="F3F3F3"/>
            <w:vAlign w:val="center"/>
          </w:tcPr>
          <w:p w14:paraId="0243B8C1" w14:textId="579B522F" w:rsidR="00343F71" w:rsidRDefault="00382130" w:rsidP="006D3136">
            <w:pPr>
              <w:jc w:val="left"/>
              <w:rPr>
                <w:color w:val="000000"/>
              </w:rPr>
            </w:pPr>
            <w:r>
              <w:rPr>
                <w:color w:val="000000"/>
              </w:rPr>
              <w:t>Membre</w:t>
            </w:r>
          </w:p>
        </w:tc>
      </w:tr>
    </w:tbl>
    <w:p w14:paraId="1AFAE5B7" w14:textId="77777777" w:rsidR="004862DE" w:rsidRDefault="004862DE" w:rsidP="004862DE">
      <w:pPr>
        <w:pStyle w:val="Bullet2"/>
        <w:keepNext/>
        <w:numPr>
          <w:ilvl w:val="0"/>
          <w:numId w:val="0"/>
        </w:numPr>
        <w:contextualSpacing w:val="0"/>
        <w:rPr>
          <w:lang w:eastAsia="en-GB"/>
        </w:rPr>
      </w:pPr>
    </w:p>
    <w:p w14:paraId="19CF63E1" w14:textId="7112674B" w:rsidR="006724FF" w:rsidRDefault="006724FF" w:rsidP="006724FF">
      <w:pPr>
        <w:pStyle w:val="Bullet2"/>
        <w:keepNext/>
        <w:numPr>
          <w:ilvl w:val="0"/>
          <w:numId w:val="0"/>
        </w:numPr>
        <w:contextualSpacing w:val="0"/>
      </w:pPr>
      <w:r>
        <w:t xml:space="preserve">Tous les membres du GTT devraient bénéficier d’une expérience ou d’une exposition pertinente en matière de TM, ou devraient recevoir une formation ou une sensibilisation de base en TM, qui peut être actualisée au fil du temps par une formation ou une expérience supplémentaires. </w:t>
      </w:r>
    </w:p>
    <w:p w14:paraId="4EB57A34" w14:textId="12BA3B3C" w:rsidR="006724FF" w:rsidRPr="004B3333" w:rsidRDefault="006724FF" w:rsidP="006724FF">
      <w:pPr>
        <w:rPr>
          <w:color w:val="000000"/>
        </w:rPr>
      </w:pPr>
      <w:r>
        <w:t xml:space="preserve">Chaque membre du GTT doit consacrer un temps réaliste pour soutenir le travail du groupe, afin de s’assurer que des progrès soutenus en </w:t>
      </w:r>
      <w:r w:rsidR="00FD7D0B">
        <w:t>PTM</w:t>
      </w:r>
      <w:r>
        <w:t xml:space="preserve"> peuvent être réalisés dans l’ensemble de la Société</w:t>
      </w:r>
      <w:r w:rsidR="00536ABD">
        <w:t xml:space="preserve"> Nationale</w:t>
      </w:r>
      <w:r>
        <w:t>.  Tous les membres n’ont pas forcément besoin de consacrer le même temps, selon leur rôle.</w:t>
      </w:r>
    </w:p>
    <w:p w14:paraId="231E08B7" w14:textId="77777777" w:rsidR="006724FF" w:rsidRPr="004B3333" w:rsidRDefault="006724FF" w:rsidP="006724FF">
      <w:r>
        <w:t xml:space="preserve">Si les membres ne peuvent participer à une réunion, il est possible de rechercher d’autres représentants de substitution.  </w:t>
      </w:r>
    </w:p>
    <w:p w14:paraId="52411691" w14:textId="77777777" w:rsidR="006724FF" w:rsidRDefault="006724FF" w:rsidP="006724FF">
      <w:pPr>
        <w:rPr>
          <w:color w:val="000000"/>
        </w:rPr>
      </w:pPr>
      <w:r>
        <w:rPr>
          <w:color w:val="000000"/>
        </w:rPr>
        <w:t>L’adhésion est sujette à l’examen et à la modification par le GTT au besoin et doit être approuvée par la direction de la SN.</w:t>
      </w:r>
    </w:p>
    <w:p w14:paraId="260B9A76" w14:textId="0D7F27C5" w:rsidR="006724FF" w:rsidRPr="004B3333" w:rsidRDefault="006724FF" w:rsidP="006724FF">
      <w:pPr>
        <w:rPr>
          <w:color w:val="000000"/>
        </w:rPr>
      </w:pPr>
      <w:r>
        <w:rPr>
          <w:color w:val="000000"/>
        </w:rPr>
        <w:t xml:space="preserve">Pour les SN ayant un profil de gestion des catastrophes important, il pourrait être envisagé d’inclure tous les gestionnaires </w:t>
      </w:r>
      <w:r w:rsidR="00536ABD">
        <w:rPr>
          <w:color w:val="000000"/>
        </w:rPr>
        <w:t>DM (</w:t>
      </w:r>
      <w:proofErr w:type="spellStart"/>
      <w:r w:rsidR="00536ABD">
        <w:rPr>
          <w:color w:val="000000"/>
        </w:rPr>
        <w:t>Disaster</w:t>
      </w:r>
      <w:proofErr w:type="spellEnd"/>
      <w:r w:rsidR="00536ABD">
        <w:rPr>
          <w:color w:val="000000"/>
        </w:rPr>
        <w:t xml:space="preserve"> Management) </w:t>
      </w:r>
      <w:r>
        <w:rPr>
          <w:color w:val="000000"/>
        </w:rPr>
        <w:t>au siège et des directions générales en question en tant que membres automatiques.</w:t>
      </w:r>
    </w:p>
    <w:p w14:paraId="6C28E6DE" w14:textId="6225622B" w:rsidR="00617DC0" w:rsidRPr="005E7565" w:rsidRDefault="00617DC0" w:rsidP="6F23CE4A">
      <w:r>
        <w:t xml:space="preserve">Les membres du GTT peuvent également être invités à diriger un certain élément au sein de la </w:t>
      </w:r>
      <w:r w:rsidR="00FD7D0B">
        <w:t>PTM</w:t>
      </w:r>
      <w:r>
        <w:t xml:space="preserve"> (par exemple, l’intégration des TM dans un programme de formation existant, la mise en œuvre des processus d’approvisionnement du PSF, la mise en place de systèmes de GI au sein de la SN, le développement d’études de cas, etc.)</w:t>
      </w:r>
    </w:p>
    <w:p w14:paraId="52EFB536" w14:textId="7A707E5E" w:rsidR="005E7565" w:rsidRPr="00D91FC1" w:rsidRDefault="005E7565" w:rsidP="005E7565">
      <w:pPr>
        <w:rPr>
          <w:b/>
          <w:sz w:val="22"/>
          <w:szCs w:val="22"/>
        </w:rPr>
      </w:pPr>
      <w:r>
        <w:t>Le GTT</w:t>
      </w:r>
      <w:r w:rsidR="00FB08BF">
        <w:t xml:space="preserve"> </w:t>
      </w:r>
      <w:r>
        <w:t>des  TM sera dirigé par le point focal des TM et co-présidé par le chef de la gestion des catastrophes</w:t>
      </w:r>
      <w:r w:rsidR="008274BB">
        <w:t>.</w:t>
      </w:r>
    </w:p>
    <w:p w14:paraId="1995508D" w14:textId="77777777" w:rsidR="005E7565" w:rsidRDefault="005E7565" w:rsidP="00F57D0E">
      <w:pPr>
        <w:rPr>
          <w:b/>
          <w:sz w:val="22"/>
          <w:szCs w:val="22"/>
        </w:rPr>
      </w:pPr>
    </w:p>
    <w:p w14:paraId="45986952" w14:textId="2F7A1C3B" w:rsidR="00F57D0E" w:rsidRPr="000D5A4C" w:rsidRDefault="00F57D0E" w:rsidP="00F57D0E">
      <w:pPr>
        <w:rPr>
          <w:b/>
          <w:sz w:val="24"/>
          <w:szCs w:val="24"/>
        </w:rPr>
      </w:pPr>
      <w:r>
        <w:rPr>
          <w:b/>
          <w:sz w:val="24"/>
        </w:rPr>
        <w:t>Fréquence des réunions</w:t>
      </w:r>
    </w:p>
    <w:p w14:paraId="644AB747" w14:textId="612B3C9D" w:rsidR="00A83FA9" w:rsidRPr="00D91FC1" w:rsidRDefault="0F9E80D5" w:rsidP="00F57D0E">
      <w:r>
        <w:t>Le GTT se réunira au moins une fois par mois pendant ses six premiers mois. Cela peut varier s’il s’agit d’une situation d’urgence ou non. Toutefois, le GTT ne devrait pas faire double emploi avec le travail du groupe de travail d’urgence de la SN.</w:t>
      </w:r>
    </w:p>
    <w:p w14:paraId="030D476F" w14:textId="3B171E76" w:rsidR="00F57D0E" w:rsidRPr="00430A20" w:rsidRDefault="00A83FA9" w:rsidP="00430A20">
      <w:pPr>
        <w:pStyle w:val="ListParagraph"/>
        <w:numPr>
          <w:ilvl w:val="0"/>
          <w:numId w:val="22"/>
        </w:numPr>
      </w:pPr>
      <w:r>
        <w:lastRenderedPageBreak/>
        <w:t>Le GTT se réunira tous les quinze jours, ou plus fréquemment, au début d’une situation d’urgence, puis une fois par mois, une fois que l’intervention sera en cours.</w:t>
      </w:r>
    </w:p>
    <w:p w14:paraId="7B90C7FA" w14:textId="1660E13F" w:rsidR="003F7BAA" w:rsidRPr="004B3333" w:rsidRDefault="003F7BAA" w:rsidP="00430A20">
      <w:pPr>
        <w:pStyle w:val="ListParagraph"/>
        <w:numPr>
          <w:ilvl w:val="0"/>
          <w:numId w:val="22"/>
        </w:numPr>
      </w:pPr>
      <w:r>
        <w:t xml:space="preserve">Les besoins en dehors des situations d’urgence seront convenus et examinés par la SN. Une fois la </w:t>
      </w:r>
      <w:r w:rsidR="00FD7D0B">
        <w:t>PTM</w:t>
      </w:r>
      <w:r>
        <w:t xml:space="preserve"> en cours, la fréquence suggérée sera tous les deux mois ou tous les trimestres, ou selon les spécifications des outils de surveillance et de rapport de </w:t>
      </w:r>
      <w:r w:rsidR="00FD7D0B">
        <w:t>PTM</w:t>
      </w:r>
      <w:r>
        <w:t>.</w:t>
      </w:r>
    </w:p>
    <w:p w14:paraId="10EFC60E" w14:textId="5C81B871" w:rsidR="003F7BAA" w:rsidRPr="004B3333" w:rsidRDefault="00382130" w:rsidP="00430A20">
      <w:pPr>
        <w:pStyle w:val="ListParagraph"/>
        <w:numPr>
          <w:ilvl w:val="0"/>
          <w:numId w:val="22"/>
        </w:numPr>
      </w:pPr>
      <w:r>
        <w:t>Bien que des restrictions de mouvement (y compris la Covid) soient en place, des réunions sur Skype à distance peuvent être organisées en option, en fonction de l’urgence de l’ordre du jour.</w:t>
      </w:r>
    </w:p>
    <w:p w14:paraId="41843BFB" w14:textId="5DC7B150" w:rsidR="002D585C" w:rsidRPr="004B3333" w:rsidRDefault="002D585C" w:rsidP="00430A20">
      <w:pPr>
        <w:pStyle w:val="ListParagraph"/>
        <w:numPr>
          <w:ilvl w:val="0"/>
          <w:numId w:val="22"/>
        </w:numPr>
      </w:pPr>
      <w:r>
        <w:t>Le financement peut également limiter la fréquence des réunions en personne.</w:t>
      </w:r>
    </w:p>
    <w:p w14:paraId="768E7E1B" w14:textId="77777777" w:rsidR="00A31BB9" w:rsidRDefault="00A31BB9" w:rsidP="00F57D0E">
      <w:pPr>
        <w:rPr>
          <w:b/>
          <w:sz w:val="24"/>
          <w:szCs w:val="24"/>
        </w:rPr>
      </w:pPr>
    </w:p>
    <w:p w14:paraId="7A99D208" w14:textId="66917DA8" w:rsidR="00F57D0E" w:rsidRPr="000D5A4C" w:rsidRDefault="00F57D0E" w:rsidP="00F57D0E">
      <w:pPr>
        <w:rPr>
          <w:b/>
          <w:sz w:val="24"/>
          <w:szCs w:val="24"/>
        </w:rPr>
      </w:pPr>
      <w:r>
        <w:rPr>
          <w:b/>
          <w:sz w:val="24"/>
        </w:rPr>
        <w:t>Comptes rendus</w:t>
      </w:r>
    </w:p>
    <w:p w14:paraId="28D56873" w14:textId="1DADF2C0" w:rsidR="004862DE" w:rsidRDefault="004862DE" w:rsidP="00F57D0E">
      <w:r>
        <w:t xml:space="preserve">Toutes les réunions du GTT doivent être renseignées et les comptes rendus doivent être mis à la disposition des participants et des publics plus larges du mouvement au siège social, dans les </w:t>
      </w:r>
      <w:r w:rsidR="00536ABD">
        <w:t xml:space="preserve">branches </w:t>
      </w:r>
      <w:r>
        <w:t xml:space="preserve">et au sein du mouvement, si nécessaire. </w:t>
      </w:r>
    </w:p>
    <w:p w14:paraId="4807B0A0" w14:textId="6B5129CD" w:rsidR="003F7BAA" w:rsidRDefault="003F7BAA" w:rsidP="00F57D0E">
      <w:r>
        <w:t>Le point focal des TM est chargé de veiller à ce que des comptes rendus exacts soient pris et diffusés.</w:t>
      </w:r>
    </w:p>
    <w:p w14:paraId="2EA52A96" w14:textId="35466074" w:rsidR="00D91FC1" w:rsidRPr="003F7BAA" w:rsidRDefault="002D585C" w:rsidP="00F57D0E">
      <w:r>
        <w:t xml:space="preserve">Le point focal des TM veillera à ce qu’un journal des décisions, un registre des risques et un suivi de la planification de </w:t>
      </w:r>
      <w:r w:rsidR="00FD7D0B">
        <w:t>PTM</w:t>
      </w:r>
      <w:r>
        <w:t xml:space="preserve"> soient tenus à jour.</w:t>
      </w:r>
    </w:p>
    <w:p w14:paraId="2905F285" w14:textId="77777777" w:rsidR="00F57D0E" w:rsidRPr="00A21648" w:rsidRDefault="00F57D0E" w:rsidP="00F57D0E">
      <w:pPr>
        <w:pStyle w:val="Bullet2"/>
        <w:numPr>
          <w:ilvl w:val="0"/>
          <w:numId w:val="0"/>
        </w:numPr>
        <w:contextualSpacing w:val="0"/>
        <w:rPr>
          <w:lang w:eastAsia="en-GB"/>
        </w:rPr>
      </w:pPr>
    </w:p>
    <w:sectPr w:rsidR="00F57D0E" w:rsidRPr="00A21648" w:rsidSect="0098529C">
      <w:headerReference w:type="default" r:id="rId10"/>
      <w:footerReference w:type="even" r:id="rId11"/>
      <w:footerReference w:type="default" r:id="rId12"/>
      <w:footerReference w:type="first" r:id="rId13"/>
      <w:pgSz w:w="11900" w:h="16840"/>
      <w:pgMar w:top="1134" w:right="1134" w:bottom="1134" w:left="1134"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DC737" w14:textId="77777777" w:rsidR="00FD7D0B" w:rsidRDefault="00FD7D0B" w:rsidP="00AF5FEA">
      <w:r>
        <w:separator/>
      </w:r>
    </w:p>
    <w:p w14:paraId="4AD07075" w14:textId="77777777" w:rsidR="00FD7D0B" w:rsidRDefault="00FD7D0B"/>
  </w:endnote>
  <w:endnote w:type="continuationSeparator" w:id="0">
    <w:p w14:paraId="272475DC" w14:textId="77777777" w:rsidR="00FD7D0B" w:rsidRDefault="00FD7D0B" w:rsidP="00AF5FEA">
      <w:r>
        <w:continuationSeparator/>
      </w:r>
    </w:p>
    <w:p w14:paraId="3CCA3E9B" w14:textId="77777777" w:rsidR="00FD7D0B" w:rsidRDefault="00FD7D0B"/>
  </w:endnote>
  <w:endnote w:type="continuationNotice" w:id="1">
    <w:p w14:paraId="1E493A65" w14:textId="77777777" w:rsidR="00FD7D0B" w:rsidRDefault="00FD7D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CDC58" w14:textId="2DB7CDDA" w:rsidR="00FD7D0B" w:rsidRDefault="00FD7D0B" w:rsidP="00B57B50">
    <w:pPr>
      <w:pStyle w:val="Footer"/>
      <w:framePr w:wrap="around" w:vAnchor="text" w:hAnchor="margin" w:xAlign="right" w:y="1"/>
      <w:rPr>
        <w:rStyle w:val="PageNumber"/>
      </w:rPr>
    </w:pPr>
    <w:r>
      <w:rPr>
        <w:b/>
        <w:noProof/>
        <w:lang w:val="en-US"/>
      </w:rPr>
      <mc:AlternateContent>
        <mc:Choice Requires="wps">
          <w:drawing>
            <wp:anchor distT="0" distB="0" distL="0" distR="0" simplePos="0" relativeHeight="251658241" behindDoc="0" locked="0" layoutInCell="1" allowOverlap="1" wp14:anchorId="7F60E8AD" wp14:editId="6518D693">
              <wp:simplePos x="635" y="635"/>
              <wp:positionH relativeFrom="leftMargin">
                <wp:align>left</wp:align>
              </wp:positionH>
              <wp:positionV relativeFrom="paragraph">
                <wp:posOffset>635</wp:posOffset>
              </wp:positionV>
              <wp:extent cx="442595" cy="231140"/>
              <wp:effectExtent l="0" t="0" r="6985" b="16510"/>
              <wp:wrapSquare wrapText="bothSides"/>
              <wp:docPr id="2" name="Text Box 2" descr="Internal"/>
              <wp:cNvGraphicFramePr/>
              <a:graphic xmlns:a="http://schemas.openxmlformats.org/drawingml/2006/main">
                <a:graphicData uri="http://schemas.microsoft.com/office/word/2010/wordprocessingShape">
                  <wps:wsp>
                    <wps:cNvSpPr txBox="1"/>
                    <wps:spPr>
                      <a:xfrm>
                        <a:off x="0" y="0"/>
                        <a:ext cx="442595" cy="231140"/>
                      </a:xfrm>
                      <a:prstGeom prst="rect">
                        <a:avLst/>
                      </a:prstGeom>
                      <a:noFill/>
                      <a:ln>
                        <a:noFill/>
                      </a:ln>
                    </wps:spPr>
                    <wps:txbx>
                      <w:txbxContent>
                        <w:p w14:paraId="3B01CFDC" w14:textId="4F8FF8C6" w:rsidR="00FD7D0B" w:rsidRPr="00482F89" w:rsidRDefault="00FD7D0B">
                          <w:pPr>
                            <w:rPr>
                              <w:rFonts w:ascii="Calibri" w:eastAsia="Calibri" w:hAnsi="Calibri" w:cs="Calibri"/>
                              <w:color w:val="000000"/>
                            </w:rPr>
                          </w:pPr>
                          <w:r>
                            <w:rPr>
                              <w:rFonts w:ascii="Calibri" w:hAnsi="Calibri"/>
                              <w:color w:val="000000"/>
                            </w:rPr>
                            <w:t>Interne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F60E8AD" id="_x0000_t202" coordsize="21600,21600" o:spt="202" path="m,l,21600r21600,l21600,xe">
              <v:stroke joinstyle="miter"/>
              <v:path gradientshapeok="t" o:connecttype="rect"/>
            </v:shapetype>
            <v:shape id="Text Box 2" o:spid="_x0000_s1026" type="#_x0000_t202" alt="Internal" style="position:absolute;margin-left:0;margin-top:.05pt;width:34.85pt;height:18.2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" filled="f" stroked="f">
              <v:textbox style="mso-fit-shape-to-text:t" inset="5pt,0,0,0">
                <w:txbxContent>
                  <w:p w14:paraId="3B01CFDC" w14:textId="4F8FF8C6" w:rsidR="00FD7D0B" w:rsidRPr="00482F89" w:rsidRDefault="00FD7D0B">
                    <w:pPr>
                      <w:rPr>
                        <w:rFonts w:ascii="Calibri" w:eastAsia="Calibri" w:hAnsi="Calibri" w:cs="Calibri"/>
                        <w:color w:val="000000"/>
                      </w:rPr>
                    </w:pPr>
                    <w:r>
                      <w:rPr>
                        <w:rFonts w:ascii="Calibri" w:hAnsi="Calibri"/>
                        <w:color w:val="000000"/>
                      </w:rPr>
                      <w:t>Interne</w:t>
                    </w:r>
                  </w:p>
                </w:txbxContent>
              </v:textbox>
              <w10:wrap type="square" anchorx="margin"/>
            </v:shape>
          </w:pict>
        </mc:Fallback>
      </mc:AlternateContent>
    </w: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1B2DF058" w14:textId="77777777" w:rsidR="00FD7D0B" w:rsidRDefault="00FD7D0B" w:rsidP="00B57B50">
    <w:pPr>
      <w:pStyle w:val="Footer"/>
      <w:ind w:right="360"/>
    </w:pPr>
  </w:p>
  <w:p w14:paraId="4A640F0E" w14:textId="77777777" w:rsidR="00FD7D0B" w:rsidRDefault="00FD7D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E29FF" w14:textId="67EF1E86" w:rsidR="00FD7D0B" w:rsidRPr="00211B44" w:rsidRDefault="00FD7D0B" w:rsidP="00DE61F7">
    <w:pPr>
      <w:pStyle w:val="Footer"/>
    </w:pPr>
    <w:r>
      <w:rPr>
        <w:color w:val="DC281E"/>
      </w:rPr>
      <w:t xml:space="preserve">Élément 1.2 structure organisationnelle </w:t>
    </w:r>
    <w:r>
      <w:rPr>
        <w:rStyle w:val="PageNumber"/>
      </w:rPr>
      <w:t>I Mandat écrit – Groupe de travail technique (GTT) sur les TM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E53E6" w14:textId="4A754123" w:rsidR="00FD7D0B" w:rsidRDefault="00FD7D0B">
    <w:pPr>
      <w:pStyle w:val="Footer"/>
    </w:pPr>
    <w:r>
      <w:rPr>
        <w:noProof/>
        <w:lang w:val="en-US"/>
      </w:rPr>
      <mc:AlternateContent>
        <mc:Choice Requires="wps">
          <w:drawing>
            <wp:anchor distT="0" distB="0" distL="0" distR="0" simplePos="0" relativeHeight="251658240" behindDoc="0" locked="0" layoutInCell="1" allowOverlap="1" wp14:anchorId="0F50C00C" wp14:editId="73FC672F">
              <wp:simplePos x="635" y="635"/>
              <wp:positionH relativeFrom="leftMargin">
                <wp:align>left</wp:align>
              </wp:positionH>
              <wp:positionV relativeFrom="paragraph">
                <wp:posOffset>635</wp:posOffset>
              </wp:positionV>
              <wp:extent cx="442595" cy="231140"/>
              <wp:effectExtent l="0" t="0" r="6985" b="16510"/>
              <wp:wrapSquare wrapText="bothSides"/>
              <wp:docPr id="1" name="Text Box 1" descr="Internal"/>
              <wp:cNvGraphicFramePr/>
              <a:graphic xmlns:a="http://schemas.openxmlformats.org/drawingml/2006/main">
                <a:graphicData uri="http://schemas.microsoft.com/office/word/2010/wordprocessingShape">
                  <wps:wsp>
                    <wps:cNvSpPr txBox="1"/>
                    <wps:spPr>
                      <a:xfrm>
                        <a:off x="0" y="0"/>
                        <a:ext cx="442595" cy="231140"/>
                      </a:xfrm>
                      <a:prstGeom prst="rect">
                        <a:avLst/>
                      </a:prstGeom>
                      <a:noFill/>
                      <a:ln>
                        <a:noFill/>
                      </a:ln>
                    </wps:spPr>
                    <wps:txbx>
                      <w:txbxContent>
                        <w:p w14:paraId="4A5D93C3" w14:textId="02FA714A" w:rsidR="00FD7D0B" w:rsidRPr="00482F89" w:rsidRDefault="00FD7D0B">
                          <w:pPr>
                            <w:rPr>
                              <w:rFonts w:ascii="Calibri" w:eastAsia="Calibri" w:hAnsi="Calibri" w:cs="Calibri"/>
                              <w:color w:val="000000"/>
                            </w:rPr>
                          </w:pPr>
                          <w:r>
                            <w:rPr>
                              <w:rFonts w:ascii="Calibri" w:hAnsi="Calibri"/>
                              <w:color w:val="000000"/>
                            </w:rPr>
                            <w:t>Interne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F50C00C" id="_x0000_t202" coordsize="21600,21600" o:spt="202" path="m,l,21600r21600,l21600,xe">
              <v:stroke joinstyle="miter"/>
              <v:path gradientshapeok="t" o:connecttype="rect"/>
            </v:shapetype>
            <v:shape id="Text Box 1" o:spid="_x0000_s1027" type="#_x0000_t202" alt="Internal" style="position:absolute;margin-left:0;margin-top:.05pt;width:34.85pt;height:18.2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" filled="f" stroked="f">
              <v:textbox style="mso-fit-shape-to-text:t" inset="5pt,0,0,0">
                <w:txbxContent>
                  <w:p w14:paraId="4A5D93C3" w14:textId="02FA714A" w:rsidR="00FD7D0B" w:rsidRPr="00482F89" w:rsidRDefault="00FD7D0B">
                    <w:pPr>
                      <w:rPr>
                        <w:rFonts w:ascii="Calibri" w:eastAsia="Calibri" w:hAnsi="Calibri" w:cs="Calibri"/>
                        <w:color w:val="000000"/>
                      </w:rPr>
                    </w:pPr>
                    <w:r>
                      <w:rPr>
                        <w:rFonts w:ascii="Calibri" w:hAnsi="Calibri"/>
                        <w:color w:val="000000"/>
                      </w:rPr>
                      <w:t>Interne</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58BA7" w14:textId="77777777" w:rsidR="00FD7D0B" w:rsidRDefault="00FD7D0B" w:rsidP="00F24AD6">
      <w:pPr>
        <w:spacing w:after="0"/>
      </w:pPr>
      <w:r>
        <w:separator/>
      </w:r>
    </w:p>
  </w:footnote>
  <w:footnote w:type="continuationSeparator" w:id="0">
    <w:p w14:paraId="3B2DA675" w14:textId="77777777" w:rsidR="00FD7D0B" w:rsidRDefault="00FD7D0B" w:rsidP="00AF5FEA">
      <w:r>
        <w:continuationSeparator/>
      </w:r>
    </w:p>
    <w:p w14:paraId="6157B5F6" w14:textId="77777777" w:rsidR="00FD7D0B" w:rsidRDefault="00FD7D0B"/>
  </w:footnote>
  <w:footnote w:type="continuationNotice" w:id="1">
    <w:p w14:paraId="1927FFC5" w14:textId="77777777" w:rsidR="00FD7D0B" w:rsidRDefault="00FD7D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A8316" w14:textId="61E75081" w:rsidR="00FD7D0B" w:rsidRPr="00074036" w:rsidRDefault="00FD7D0B" w:rsidP="00DE61F7">
    <w:pPr>
      <w:pStyle w:val="Header"/>
      <w:rPr>
        <w:szCs w:val="16"/>
      </w:rPr>
    </w:pPr>
    <w:r>
      <w:rPr>
        <w:rStyle w:val="Pantone485"/>
      </w:rPr>
      <w:t xml:space="preserve">Mouvement international de la Croix-Rouge et du Croissant-Rouge </w:t>
    </w:r>
    <w:r>
      <w:rPr>
        <w:rStyle w:val="PageNumber"/>
      </w:rPr>
      <w:t>Boîte à outils transfert monétaires en situation d’urgence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51DE0"/>
    <w:multiLevelType w:val="hybridMultilevel"/>
    <w:tmpl w:val="BA4EE8E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0E981CB5"/>
    <w:multiLevelType w:val="hybridMultilevel"/>
    <w:tmpl w:val="70D2B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E19A1"/>
    <w:multiLevelType w:val="hybridMultilevel"/>
    <w:tmpl w:val="C4D809F8"/>
    <w:lvl w:ilvl="0" w:tplc="5C8A9D78">
      <w:start w:val="1"/>
      <w:numFmt w:val="bullet"/>
      <w:lvlText w:val=""/>
      <w:lvlJc w:val="left"/>
      <w:pPr>
        <w:ind w:left="720" w:hanging="360"/>
      </w:pPr>
      <w:rPr>
        <w:rFonts w:ascii="Symbol" w:hAnsi="Symbol" w:hint="default"/>
        <w:color w:val="DC281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F7164"/>
    <w:multiLevelType w:val="hybridMultilevel"/>
    <w:tmpl w:val="9C644B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07EF4"/>
    <w:multiLevelType w:val="hybridMultilevel"/>
    <w:tmpl w:val="CEAC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B16AB"/>
    <w:multiLevelType w:val="hybridMultilevel"/>
    <w:tmpl w:val="0EAA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73881"/>
    <w:multiLevelType w:val="hybridMultilevel"/>
    <w:tmpl w:val="DFE4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219AB"/>
    <w:multiLevelType w:val="hybridMultilevel"/>
    <w:tmpl w:val="BEFC661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673369F"/>
    <w:multiLevelType w:val="hybridMultilevel"/>
    <w:tmpl w:val="86668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B4F52"/>
    <w:multiLevelType w:val="hybridMultilevel"/>
    <w:tmpl w:val="E6CCAAF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E40C56"/>
    <w:multiLevelType w:val="hybridMultilevel"/>
    <w:tmpl w:val="CAAA55CA"/>
    <w:lvl w:ilvl="0" w:tplc="5C8A9D78">
      <w:start w:val="1"/>
      <w:numFmt w:val="bullet"/>
      <w:lvlText w:val=""/>
      <w:lvlJc w:val="left"/>
      <w:pPr>
        <w:ind w:left="720" w:hanging="360"/>
      </w:pPr>
      <w:rPr>
        <w:rFonts w:ascii="Symbol" w:hAnsi="Symbol" w:hint="default"/>
        <w:color w:val="DC281E"/>
      </w:rPr>
    </w:lvl>
    <w:lvl w:ilvl="1" w:tplc="C5DE6562">
      <w:start w:val="1"/>
      <w:numFmt w:val="bullet"/>
      <w:lvlText w:val=""/>
      <w:lvlJc w:val="left"/>
      <w:pPr>
        <w:ind w:left="1440" w:hanging="360"/>
      </w:pPr>
      <w:rPr>
        <w:rFonts w:ascii="Symbol" w:hAnsi="Symbol" w:hint="default"/>
        <w:b/>
        <w:color w:val="DC281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800AFB"/>
    <w:multiLevelType w:val="hybridMultilevel"/>
    <w:tmpl w:val="E4CC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EE51A8"/>
    <w:multiLevelType w:val="hybridMultilevel"/>
    <w:tmpl w:val="155A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03915"/>
    <w:multiLevelType w:val="hybridMultilevel"/>
    <w:tmpl w:val="42BA2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12A79CE"/>
    <w:multiLevelType w:val="hybridMultilevel"/>
    <w:tmpl w:val="2B12BC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635C7E23"/>
    <w:multiLevelType w:val="hybridMultilevel"/>
    <w:tmpl w:val="92706D8A"/>
    <w:lvl w:ilvl="0" w:tplc="CAD4AE2E">
      <w:start w:val="1"/>
      <w:numFmt w:val="bullet"/>
      <w:pStyle w:val="Bullet3"/>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5680756"/>
    <w:multiLevelType w:val="hybridMultilevel"/>
    <w:tmpl w:val="4B3C9DA8"/>
    <w:lvl w:ilvl="0" w:tplc="04090003">
      <w:start w:val="1"/>
      <w:numFmt w:val="bullet"/>
      <w:lvlText w:val="o"/>
      <w:lvlJc w:val="left"/>
      <w:pPr>
        <w:ind w:left="36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A00AB5"/>
    <w:multiLevelType w:val="hybridMultilevel"/>
    <w:tmpl w:val="15FE1B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5122357">
    <w:abstractNumId w:val="6"/>
  </w:num>
  <w:num w:numId="2" w16cid:durableId="816528518">
    <w:abstractNumId w:val="18"/>
  </w:num>
  <w:num w:numId="3" w16cid:durableId="303705321">
    <w:abstractNumId w:val="0"/>
  </w:num>
  <w:num w:numId="4" w16cid:durableId="2062632531">
    <w:abstractNumId w:val="17"/>
  </w:num>
  <w:num w:numId="5" w16cid:durableId="198133718">
    <w:abstractNumId w:val="20"/>
  </w:num>
  <w:num w:numId="6" w16cid:durableId="1548684497">
    <w:abstractNumId w:val="19"/>
  </w:num>
  <w:num w:numId="7" w16cid:durableId="1738933798">
    <w:abstractNumId w:val="2"/>
  </w:num>
  <w:num w:numId="8" w16cid:durableId="1308314570">
    <w:abstractNumId w:val="7"/>
  </w:num>
  <w:num w:numId="9" w16cid:durableId="188227399">
    <w:abstractNumId w:val="11"/>
  </w:num>
  <w:num w:numId="10" w16cid:durableId="126629034">
    <w:abstractNumId w:val="14"/>
  </w:num>
  <w:num w:numId="11" w16cid:durableId="1752657432">
    <w:abstractNumId w:val="5"/>
  </w:num>
  <w:num w:numId="12" w16cid:durableId="2041778636">
    <w:abstractNumId w:val="21"/>
  </w:num>
  <w:num w:numId="13" w16cid:durableId="1638491205">
    <w:abstractNumId w:val="16"/>
  </w:num>
  <w:num w:numId="14" w16cid:durableId="1435511553">
    <w:abstractNumId w:val="15"/>
  </w:num>
  <w:num w:numId="15" w16cid:durableId="29384689">
    <w:abstractNumId w:val="1"/>
  </w:num>
  <w:num w:numId="16" w16cid:durableId="1992903912">
    <w:abstractNumId w:val="8"/>
  </w:num>
  <w:num w:numId="17" w16cid:durableId="181750905">
    <w:abstractNumId w:val="13"/>
  </w:num>
  <w:num w:numId="18" w16cid:durableId="82186174">
    <w:abstractNumId w:val="9"/>
  </w:num>
  <w:num w:numId="19" w16cid:durableId="1279027448">
    <w:abstractNumId w:val="4"/>
  </w:num>
  <w:num w:numId="20" w16cid:durableId="1164468012">
    <w:abstractNumId w:val="10"/>
  </w:num>
  <w:num w:numId="21" w16cid:durableId="1648431143">
    <w:abstractNumId w:val="22"/>
  </w:num>
  <w:num w:numId="22" w16cid:durableId="1776630389">
    <w:abstractNumId w:val="3"/>
  </w:num>
  <w:num w:numId="23" w16cid:durableId="82119722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linkStyl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400E"/>
    <w:rsid w:val="0003746D"/>
    <w:rsid w:val="00054567"/>
    <w:rsid w:val="000804C9"/>
    <w:rsid w:val="0009493B"/>
    <w:rsid w:val="000A5A0E"/>
    <w:rsid w:val="000C0108"/>
    <w:rsid w:val="000C015A"/>
    <w:rsid w:val="000D178A"/>
    <w:rsid w:val="000D5A4C"/>
    <w:rsid w:val="000E2664"/>
    <w:rsid w:val="00127BF5"/>
    <w:rsid w:val="0015176D"/>
    <w:rsid w:val="00164699"/>
    <w:rsid w:val="001705E9"/>
    <w:rsid w:val="00170678"/>
    <w:rsid w:val="001A5FCE"/>
    <w:rsid w:val="001B304A"/>
    <w:rsid w:val="001C6BC7"/>
    <w:rsid w:val="001F170C"/>
    <w:rsid w:val="001F24E2"/>
    <w:rsid w:val="001F5B26"/>
    <w:rsid w:val="002037D4"/>
    <w:rsid w:val="00211B44"/>
    <w:rsid w:val="002654FA"/>
    <w:rsid w:val="00276863"/>
    <w:rsid w:val="00281157"/>
    <w:rsid w:val="002A1806"/>
    <w:rsid w:val="002D3AA7"/>
    <w:rsid w:val="002D585C"/>
    <w:rsid w:val="00311C5D"/>
    <w:rsid w:val="00326467"/>
    <w:rsid w:val="003302F9"/>
    <w:rsid w:val="00340AAA"/>
    <w:rsid w:val="003417FD"/>
    <w:rsid w:val="00342964"/>
    <w:rsid w:val="00343F71"/>
    <w:rsid w:val="00345A64"/>
    <w:rsid w:val="003600D0"/>
    <w:rsid w:val="003652BF"/>
    <w:rsid w:val="00380DF7"/>
    <w:rsid w:val="00382130"/>
    <w:rsid w:val="003B6607"/>
    <w:rsid w:val="003C6E1C"/>
    <w:rsid w:val="003D05DB"/>
    <w:rsid w:val="003F7BAA"/>
    <w:rsid w:val="004063F7"/>
    <w:rsid w:val="004131DF"/>
    <w:rsid w:val="00430A20"/>
    <w:rsid w:val="00431C6C"/>
    <w:rsid w:val="00447D73"/>
    <w:rsid w:val="0046094E"/>
    <w:rsid w:val="00482F89"/>
    <w:rsid w:val="004862DE"/>
    <w:rsid w:val="00487841"/>
    <w:rsid w:val="00495680"/>
    <w:rsid w:val="004A4558"/>
    <w:rsid w:val="004B330F"/>
    <w:rsid w:val="004B3333"/>
    <w:rsid w:val="004D667D"/>
    <w:rsid w:val="004E6F53"/>
    <w:rsid w:val="004F665C"/>
    <w:rsid w:val="00506DBF"/>
    <w:rsid w:val="00510A94"/>
    <w:rsid w:val="00511FF0"/>
    <w:rsid w:val="0052052A"/>
    <w:rsid w:val="0052436D"/>
    <w:rsid w:val="00536ABD"/>
    <w:rsid w:val="0054634C"/>
    <w:rsid w:val="00551584"/>
    <w:rsid w:val="005574F8"/>
    <w:rsid w:val="005A4BEF"/>
    <w:rsid w:val="005E7565"/>
    <w:rsid w:val="005F243C"/>
    <w:rsid w:val="00600A49"/>
    <w:rsid w:val="00617DC0"/>
    <w:rsid w:val="00644235"/>
    <w:rsid w:val="006724FF"/>
    <w:rsid w:val="00695B45"/>
    <w:rsid w:val="006C7A42"/>
    <w:rsid w:val="006D3136"/>
    <w:rsid w:val="006E6E2B"/>
    <w:rsid w:val="006E712A"/>
    <w:rsid w:val="007036B2"/>
    <w:rsid w:val="00712730"/>
    <w:rsid w:val="007312DE"/>
    <w:rsid w:val="00736385"/>
    <w:rsid w:val="00751C69"/>
    <w:rsid w:val="007706E2"/>
    <w:rsid w:val="007808B8"/>
    <w:rsid w:val="007E041F"/>
    <w:rsid w:val="007F7D9D"/>
    <w:rsid w:val="00801500"/>
    <w:rsid w:val="00806822"/>
    <w:rsid w:val="008274BB"/>
    <w:rsid w:val="00834A1C"/>
    <w:rsid w:val="00862EDC"/>
    <w:rsid w:val="00884591"/>
    <w:rsid w:val="008B55B6"/>
    <w:rsid w:val="008C0FA7"/>
    <w:rsid w:val="008F3060"/>
    <w:rsid w:val="00917FAC"/>
    <w:rsid w:val="0094307F"/>
    <w:rsid w:val="0098529C"/>
    <w:rsid w:val="00990576"/>
    <w:rsid w:val="00992C26"/>
    <w:rsid w:val="009A3566"/>
    <w:rsid w:val="009A3FD0"/>
    <w:rsid w:val="009D683F"/>
    <w:rsid w:val="00A10002"/>
    <w:rsid w:val="00A11574"/>
    <w:rsid w:val="00A21648"/>
    <w:rsid w:val="00A31BB9"/>
    <w:rsid w:val="00A3686F"/>
    <w:rsid w:val="00A8292C"/>
    <w:rsid w:val="00A833A3"/>
    <w:rsid w:val="00A83FA9"/>
    <w:rsid w:val="00A8400E"/>
    <w:rsid w:val="00A853F9"/>
    <w:rsid w:val="00AB21CA"/>
    <w:rsid w:val="00AE110C"/>
    <w:rsid w:val="00AF5FEA"/>
    <w:rsid w:val="00B27558"/>
    <w:rsid w:val="00B36CDC"/>
    <w:rsid w:val="00B5382B"/>
    <w:rsid w:val="00B57B50"/>
    <w:rsid w:val="00B6256B"/>
    <w:rsid w:val="00B67F24"/>
    <w:rsid w:val="00BB309B"/>
    <w:rsid w:val="00BB7ED5"/>
    <w:rsid w:val="00BD352E"/>
    <w:rsid w:val="00BD6921"/>
    <w:rsid w:val="00BD7271"/>
    <w:rsid w:val="00BE131C"/>
    <w:rsid w:val="00BF01EE"/>
    <w:rsid w:val="00BF0FB1"/>
    <w:rsid w:val="00C02990"/>
    <w:rsid w:val="00C054D8"/>
    <w:rsid w:val="00C1718C"/>
    <w:rsid w:val="00C3478B"/>
    <w:rsid w:val="00C41879"/>
    <w:rsid w:val="00C5530A"/>
    <w:rsid w:val="00C62B57"/>
    <w:rsid w:val="00C9099E"/>
    <w:rsid w:val="00CA1F17"/>
    <w:rsid w:val="00CC7675"/>
    <w:rsid w:val="00CE6435"/>
    <w:rsid w:val="00D109F3"/>
    <w:rsid w:val="00D1665D"/>
    <w:rsid w:val="00D222A3"/>
    <w:rsid w:val="00D25960"/>
    <w:rsid w:val="00D320A7"/>
    <w:rsid w:val="00D32142"/>
    <w:rsid w:val="00D32F9F"/>
    <w:rsid w:val="00D829A9"/>
    <w:rsid w:val="00D91FC1"/>
    <w:rsid w:val="00DA6CB2"/>
    <w:rsid w:val="00DB6863"/>
    <w:rsid w:val="00DD4F0D"/>
    <w:rsid w:val="00DD7109"/>
    <w:rsid w:val="00DE61F7"/>
    <w:rsid w:val="00DF200C"/>
    <w:rsid w:val="00E07E15"/>
    <w:rsid w:val="00E27BFE"/>
    <w:rsid w:val="00E34C5C"/>
    <w:rsid w:val="00E40A2E"/>
    <w:rsid w:val="00E55BF2"/>
    <w:rsid w:val="00E70465"/>
    <w:rsid w:val="00E7193B"/>
    <w:rsid w:val="00E945A9"/>
    <w:rsid w:val="00E970DC"/>
    <w:rsid w:val="00EA1CF2"/>
    <w:rsid w:val="00EA4946"/>
    <w:rsid w:val="00EA79E5"/>
    <w:rsid w:val="00EB571D"/>
    <w:rsid w:val="00ED4949"/>
    <w:rsid w:val="00F012F5"/>
    <w:rsid w:val="00F24AD6"/>
    <w:rsid w:val="00F25912"/>
    <w:rsid w:val="00F30E98"/>
    <w:rsid w:val="00F33EB4"/>
    <w:rsid w:val="00F40DD0"/>
    <w:rsid w:val="00F41831"/>
    <w:rsid w:val="00F57D0E"/>
    <w:rsid w:val="00F7672F"/>
    <w:rsid w:val="00F80A98"/>
    <w:rsid w:val="00FA1E3A"/>
    <w:rsid w:val="00FB08BF"/>
    <w:rsid w:val="00FD7D0B"/>
    <w:rsid w:val="00FF3CC9"/>
    <w:rsid w:val="036EF699"/>
    <w:rsid w:val="03DF6667"/>
    <w:rsid w:val="066108F4"/>
    <w:rsid w:val="06960FBD"/>
    <w:rsid w:val="07B2D423"/>
    <w:rsid w:val="09CE9338"/>
    <w:rsid w:val="0A285B52"/>
    <w:rsid w:val="0CDB3318"/>
    <w:rsid w:val="0DB4FCA7"/>
    <w:rsid w:val="0F9E80D5"/>
    <w:rsid w:val="0FA82A04"/>
    <w:rsid w:val="1247AFEF"/>
    <w:rsid w:val="14516F7A"/>
    <w:rsid w:val="145858ED"/>
    <w:rsid w:val="15B06848"/>
    <w:rsid w:val="179FF67A"/>
    <w:rsid w:val="1B978256"/>
    <w:rsid w:val="2006AE0A"/>
    <w:rsid w:val="223A1A50"/>
    <w:rsid w:val="28672565"/>
    <w:rsid w:val="2E81E988"/>
    <w:rsid w:val="30411882"/>
    <w:rsid w:val="32688619"/>
    <w:rsid w:val="33332ADD"/>
    <w:rsid w:val="371A8367"/>
    <w:rsid w:val="387322F9"/>
    <w:rsid w:val="3A2372B9"/>
    <w:rsid w:val="3A42A905"/>
    <w:rsid w:val="3A975E44"/>
    <w:rsid w:val="3B166D85"/>
    <w:rsid w:val="3BAF99BB"/>
    <w:rsid w:val="3FA51649"/>
    <w:rsid w:val="400206A5"/>
    <w:rsid w:val="43883B34"/>
    <w:rsid w:val="46C45D9C"/>
    <w:rsid w:val="4721104C"/>
    <w:rsid w:val="48C4E9F4"/>
    <w:rsid w:val="48C8E08B"/>
    <w:rsid w:val="519C8BF5"/>
    <w:rsid w:val="53A40714"/>
    <w:rsid w:val="5AFC79E0"/>
    <w:rsid w:val="5C549456"/>
    <w:rsid w:val="5D3BAC66"/>
    <w:rsid w:val="60F38E44"/>
    <w:rsid w:val="61AB8353"/>
    <w:rsid w:val="61F1A932"/>
    <w:rsid w:val="63AEFD77"/>
    <w:rsid w:val="643F5AA1"/>
    <w:rsid w:val="64F85AFB"/>
    <w:rsid w:val="657256E6"/>
    <w:rsid w:val="69A865C1"/>
    <w:rsid w:val="6B8B949B"/>
    <w:rsid w:val="6C4CFC3B"/>
    <w:rsid w:val="6DBD36AE"/>
    <w:rsid w:val="6F23CE4A"/>
    <w:rsid w:val="7261C186"/>
    <w:rsid w:val="72716A9D"/>
    <w:rsid w:val="73F33235"/>
    <w:rsid w:val="75BF6898"/>
    <w:rsid w:val="75DDE5AB"/>
    <w:rsid w:val="75E9195B"/>
    <w:rsid w:val="7705DDC1"/>
    <w:rsid w:val="7800755F"/>
    <w:rsid w:val="784276F6"/>
    <w:rsid w:val="790B8337"/>
    <w:rsid w:val="7920BA1D"/>
    <w:rsid w:val="7A038624"/>
    <w:rsid w:val="7C585ADF"/>
    <w:rsid w:val="7C64BF2D"/>
    <w:rsid w:val="7DDB00B3"/>
    <w:rsid w:val="7E17424E"/>
    <w:rsid w:val="7F8FFBA1"/>
    <w:rsid w:val="7FA6AA5D"/>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C8E6AF0"/>
  <w15:docId w15:val="{C65EF6F9-DF84-46D9-8E2E-35420EB6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ArialMT"/>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18C"/>
    <w:pPr>
      <w:spacing w:after="120"/>
      <w:jc w:val="both"/>
    </w:pPr>
    <w:rPr>
      <w:rFonts w:ascii="Arial" w:hAnsi="Arial" w:cs="Times New Roman"/>
    </w:rPr>
  </w:style>
  <w:style w:type="paragraph" w:styleId="Heading1">
    <w:name w:val="heading 1"/>
    <w:basedOn w:val="H1"/>
    <w:next w:val="Normal"/>
    <w:link w:val="Heading1Char"/>
    <w:uiPriority w:val="9"/>
    <w:rsid w:val="00C1718C"/>
  </w:style>
  <w:style w:type="paragraph" w:styleId="Heading2">
    <w:name w:val="heading 2"/>
    <w:basedOn w:val="Normal"/>
    <w:next w:val="Normal"/>
    <w:link w:val="Heading2Char"/>
    <w:autoRedefine/>
    <w:uiPriority w:val="9"/>
    <w:unhideWhenUsed/>
    <w:qFormat/>
    <w:rsid w:val="00C1718C"/>
    <w:pPr>
      <w:keepNext/>
      <w:pBdr>
        <w:top w:val="single" w:sz="4" w:space="11" w:color="auto"/>
      </w:pBdr>
      <w:spacing w:before="240" w:after="240"/>
      <w:jc w:val="left"/>
      <w:outlineLvl w:val="1"/>
    </w:pPr>
    <w:rPr>
      <w:b/>
      <w:caps/>
      <w:sz w:val="24"/>
      <w:szCs w:val="26"/>
    </w:rPr>
  </w:style>
  <w:style w:type="paragraph" w:styleId="Heading3">
    <w:name w:val="heading 3"/>
    <w:basedOn w:val="Normal"/>
    <w:next w:val="Normal"/>
    <w:link w:val="Heading3Char"/>
    <w:uiPriority w:val="9"/>
    <w:unhideWhenUsed/>
    <w:qFormat/>
    <w:rsid w:val="00C1718C"/>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718C"/>
    <w:pPr>
      <w:widowControl w:val="0"/>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unhideWhenUsed/>
    <w:rsid w:val="00C1718C"/>
    <w:pPr>
      <w:spacing w:after="0"/>
    </w:pPr>
    <w:rPr>
      <w:sz w:val="16"/>
      <w:szCs w:val="22"/>
    </w:rPr>
  </w:style>
  <w:style w:type="character" w:customStyle="1" w:styleId="FootnoteTextChar">
    <w:name w:val="Footnote Text Char"/>
    <w:basedOn w:val="DefaultParagraphFont"/>
    <w:link w:val="FootnoteText"/>
    <w:uiPriority w:val="99"/>
    <w:rsid w:val="00C1718C"/>
    <w:rPr>
      <w:rFonts w:ascii="Arial" w:hAnsi="Arial" w:cs="Times New Roman"/>
      <w:sz w:val="16"/>
      <w:szCs w:val="22"/>
    </w:rPr>
  </w:style>
  <w:style w:type="character" w:styleId="FootnoteReference">
    <w:name w:val="footnote reference"/>
    <w:basedOn w:val="DefaultParagraphFont"/>
    <w:uiPriority w:val="99"/>
    <w:unhideWhenUsed/>
    <w:rsid w:val="00C1718C"/>
    <w:rPr>
      <w:vertAlign w:val="superscript"/>
    </w:rPr>
  </w:style>
  <w:style w:type="paragraph" w:styleId="Footer">
    <w:name w:val="footer"/>
    <w:basedOn w:val="Normal"/>
    <w:link w:val="FooterChar"/>
    <w:uiPriority w:val="99"/>
    <w:unhideWhenUsed/>
    <w:rsid w:val="00C1718C"/>
    <w:pPr>
      <w:spacing w:after="0"/>
      <w:jc w:val="left"/>
    </w:pPr>
    <w:rPr>
      <w:sz w:val="16"/>
      <w:szCs w:val="18"/>
    </w:rPr>
  </w:style>
  <w:style w:type="character" w:customStyle="1" w:styleId="FooterChar">
    <w:name w:val="Footer Char"/>
    <w:basedOn w:val="DefaultParagraphFont"/>
    <w:link w:val="Footer"/>
    <w:uiPriority w:val="99"/>
    <w:rsid w:val="00C1718C"/>
    <w:rPr>
      <w:rFonts w:ascii="Arial" w:hAnsi="Arial" w:cs="Times New Roman"/>
      <w:sz w:val="16"/>
      <w:szCs w:val="18"/>
    </w:rPr>
  </w:style>
  <w:style w:type="character" w:styleId="PageNumber">
    <w:name w:val="page number"/>
    <w:basedOn w:val="DefaultParagraphFont"/>
    <w:uiPriority w:val="99"/>
    <w:unhideWhenUsed/>
    <w:rsid w:val="00C1718C"/>
    <w:rPr>
      <w:b/>
    </w:rPr>
  </w:style>
  <w:style w:type="paragraph" w:styleId="Header">
    <w:name w:val="header"/>
    <w:basedOn w:val="Normal"/>
    <w:link w:val="HeaderChar"/>
    <w:uiPriority w:val="99"/>
    <w:unhideWhenUsed/>
    <w:rsid w:val="00C1718C"/>
    <w:pPr>
      <w:spacing w:after="0" w:line="288" w:lineRule="auto"/>
      <w:jc w:val="left"/>
    </w:pPr>
    <w:rPr>
      <w:sz w:val="16"/>
    </w:rPr>
  </w:style>
  <w:style w:type="character" w:customStyle="1" w:styleId="HeaderChar">
    <w:name w:val="Header Char"/>
    <w:basedOn w:val="DefaultParagraphFont"/>
    <w:link w:val="Header"/>
    <w:uiPriority w:val="99"/>
    <w:rsid w:val="00C1718C"/>
    <w:rPr>
      <w:rFonts w:ascii="Arial" w:hAnsi="Arial" w:cs="Times New Roman"/>
      <w:sz w:val="16"/>
    </w:rPr>
  </w:style>
  <w:style w:type="paragraph" w:styleId="NoSpacing">
    <w:name w:val="No Spacing"/>
    <w:uiPriority w:val="1"/>
    <w:qFormat/>
    <w:rsid w:val="00495680"/>
    <w:rPr>
      <w:rFonts w:ascii="Calibri" w:eastAsia="Times New Roman" w:hAnsi="Calibri" w:cs="Times New Roman"/>
      <w:sz w:val="22"/>
      <w:szCs w:val="22"/>
    </w:rPr>
  </w:style>
  <w:style w:type="paragraph" w:styleId="ListParagraph">
    <w:name w:val="List Paragraph"/>
    <w:basedOn w:val="Normal"/>
    <w:link w:val="ListParagraphChar"/>
    <w:uiPriority w:val="34"/>
    <w:qFormat/>
    <w:rsid w:val="00C1718C"/>
    <w:pPr>
      <w:spacing w:after="240"/>
      <w:ind w:left="720"/>
      <w:contextualSpacing/>
    </w:pPr>
    <w:rPr>
      <w:rFonts w:eastAsiaTheme="minorHAnsi" w:cstheme="minorBidi"/>
      <w:szCs w:val="22"/>
    </w:rPr>
  </w:style>
  <w:style w:type="paragraph" w:customStyle="1" w:styleId="Bullet3">
    <w:name w:val="Bullet 3"/>
    <w:basedOn w:val="ListParagraph"/>
    <w:qFormat/>
    <w:rsid w:val="00C1718C"/>
    <w:pPr>
      <w:numPr>
        <w:numId w:val="5"/>
      </w:numPr>
      <w:spacing w:before="120" w:after="120"/>
      <w:ind w:right="425"/>
    </w:pPr>
    <w:rPr>
      <w:rFonts w:cs="Arial"/>
      <w:i/>
      <w:iCs/>
    </w:rPr>
  </w:style>
  <w:style w:type="character" w:customStyle="1" w:styleId="Heading3Char">
    <w:name w:val="Heading 3 Char"/>
    <w:basedOn w:val="DefaultParagraphFont"/>
    <w:link w:val="Heading3"/>
    <w:uiPriority w:val="9"/>
    <w:rsid w:val="00C1718C"/>
    <w:rPr>
      <w:rFonts w:ascii="Arial" w:hAnsi="Arial" w:cs="Times New Roman"/>
      <w:b/>
      <w:sz w:val="22"/>
      <w:szCs w:val="24"/>
    </w:rPr>
  </w:style>
  <w:style w:type="table" w:styleId="TableGrid">
    <w:name w:val="Table Grid"/>
    <w:basedOn w:val="TableNormal"/>
    <w:uiPriority w:val="59"/>
    <w:rsid w:val="00C1718C"/>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C6BC7"/>
    <w:pPr>
      <w:spacing w:before="120"/>
    </w:pPr>
    <w:rPr>
      <w:rFonts w:asciiTheme="minorHAnsi" w:eastAsiaTheme="minorHAnsi" w:hAnsiTheme="minorHAnsi" w:cstheme="minorBidi"/>
      <w:b/>
      <w:bCs/>
      <w:color w:val="943634" w:themeColor="accent2" w:themeShade="BF"/>
      <w:sz w:val="18"/>
      <w:szCs w:val="18"/>
    </w:rPr>
  </w:style>
  <w:style w:type="character" w:customStyle="1" w:styleId="Heading1Char">
    <w:name w:val="Heading 1 Char"/>
    <w:basedOn w:val="DefaultParagraphFont"/>
    <w:link w:val="Heading1"/>
    <w:uiPriority w:val="9"/>
    <w:rsid w:val="00C1718C"/>
    <w:rPr>
      <w:rFonts w:ascii="Arial" w:hAnsi="Arial" w:cs="Times New Roman"/>
      <w:b/>
      <w:sz w:val="40"/>
      <w:szCs w:val="52"/>
    </w:rPr>
  </w:style>
  <w:style w:type="character" w:customStyle="1" w:styleId="Heading2Char">
    <w:name w:val="Heading 2 Char"/>
    <w:basedOn w:val="DefaultParagraphFont"/>
    <w:link w:val="Heading2"/>
    <w:uiPriority w:val="9"/>
    <w:rsid w:val="00C1718C"/>
    <w:rPr>
      <w:rFonts w:ascii="Arial" w:hAnsi="Arial" w:cs="Times New Roman"/>
      <w:b/>
      <w:caps/>
      <w:sz w:val="24"/>
      <w:szCs w:val="26"/>
    </w:rPr>
  </w:style>
  <w:style w:type="character" w:styleId="CommentReference">
    <w:name w:val="annotation reference"/>
    <w:basedOn w:val="DefaultParagraphFont"/>
    <w:uiPriority w:val="99"/>
    <w:semiHidden/>
    <w:unhideWhenUsed/>
    <w:rsid w:val="00C1718C"/>
    <w:rPr>
      <w:sz w:val="18"/>
      <w:szCs w:val="18"/>
    </w:rPr>
  </w:style>
  <w:style w:type="paragraph" w:styleId="CommentText">
    <w:name w:val="annotation text"/>
    <w:basedOn w:val="Normal"/>
    <w:link w:val="CommentTextChar"/>
    <w:uiPriority w:val="99"/>
    <w:semiHidden/>
    <w:unhideWhenUsed/>
    <w:rsid w:val="0098529C"/>
  </w:style>
  <w:style w:type="character" w:customStyle="1" w:styleId="CommentTextChar">
    <w:name w:val="Comment Text Char"/>
    <w:basedOn w:val="DefaultParagraphFont"/>
    <w:link w:val="CommentText"/>
    <w:uiPriority w:val="99"/>
    <w:semiHidden/>
    <w:rsid w:val="0098529C"/>
    <w:rPr>
      <w:rFonts w:ascii="Arial" w:hAnsi="Arial" w:cs="Arial"/>
      <w:lang w:val="fr-FR"/>
    </w:rPr>
  </w:style>
  <w:style w:type="paragraph" w:styleId="CommentSubject">
    <w:name w:val="annotation subject"/>
    <w:basedOn w:val="Normal"/>
    <w:link w:val="CommentSubjectChar"/>
    <w:uiPriority w:val="99"/>
    <w:semiHidden/>
    <w:unhideWhenUsed/>
    <w:rsid w:val="00C1718C"/>
    <w:rPr>
      <w:b/>
      <w:bCs/>
    </w:rPr>
  </w:style>
  <w:style w:type="character" w:customStyle="1" w:styleId="CommentSubjectChar">
    <w:name w:val="Comment Subject Char"/>
    <w:basedOn w:val="DefaultParagraphFont"/>
    <w:link w:val="CommentSubject"/>
    <w:uiPriority w:val="99"/>
    <w:semiHidden/>
    <w:rsid w:val="00C1718C"/>
    <w:rPr>
      <w:rFonts w:ascii="Arial" w:hAnsi="Arial" w:cs="Times New Roman"/>
      <w:b/>
      <w:bCs/>
    </w:rPr>
  </w:style>
  <w:style w:type="paragraph" w:styleId="BalloonText">
    <w:name w:val="Balloon Text"/>
    <w:basedOn w:val="Normal"/>
    <w:link w:val="BalloonTextChar"/>
    <w:uiPriority w:val="99"/>
    <w:semiHidden/>
    <w:unhideWhenUsed/>
    <w:rsid w:val="00C1718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718C"/>
    <w:rPr>
      <w:rFonts w:ascii="Lucida Grande" w:hAnsi="Lucida Grande" w:cs="Lucida Grande"/>
      <w:sz w:val="18"/>
      <w:szCs w:val="18"/>
    </w:rPr>
  </w:style>
  <w:style w:type="character" w:styleId="Hyperlink">
    <w:name w:val="Hyperlink"/>
    <w:basedOn w:val="DefaultParagraphFont"/>
    <w:uiPriority w:val="99"/>
    <w:unhideWhenUsed/>
    <w:rsid w:val="00C1718C"/>
    <w:rPr>
      <w:color w:val="0000FF" w:themeColor="hyperlink"/>
      <w:u w:val="single"/>
    </w:rPr>
  </w:style>
  <w:style w:type="character" w:styleId="FollowedHyperlink">
    <w:name w:val="FollowedHyperlink"/>
    <w:basedOn w:val="DefaultParagraphFont"/>
    <w:uiPriority w:val="99"/>
    <w:semiHidden/>
    <w:unhideWhenUsed/>
    <w:rsid w:val="00C1718C"/>
    <w:rPr>
      <w:color w:val="800080" w:themeColor="followedHyperlink"/>
      <w:u w:val="single"/>
    </w:rPr>
  </w:style>
  <w:style w:type="paragraph" w:styleId="Revision">
    <w:name w:val="Revision"/>
    <w:hidden/>
    <w:uiPriority w:val="99"/>
    <w:semiHidden/>
    <w:rsid w:val="00C1718C"/>
    <w:rPr>
      <w:rFonts w:ascii="Arial" w:hAnsi="Arial" w:cs="Arial"/>
      <w:sz w:val="21"/>
      <w:szCs w:val="21"/>
    </w:rPr>
  </w:style>
  <w:style w:type="paragraph" w:customStyle="1" w:styleId="BasicParagraph">
    <w:name w:val="[Basic Paragraph]"/>
    <w:basedOn w:val="Normal"/>
    <w:uiPriority w:val="99"/>
    <w:rsid w:val="00C1718C"/>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C1718C"/>
    <w:pPr>
      <w:spacing w:before="360" w:after="240"/>
      <w:jc w:val="left"/>
      <w:outlineLvl w:val="0"/>
    </w:pPr>
    <w:rPr>
      <w:b/>
      <w:sz w:val="40"/>
      <w:szCs w:val="52"/>
    </w:rPr>
  </w:style>
  <w:style w:type="paragraph" w:customStyle="1" w:styleId="Bullet1">
    <w:name w:val="Bullet 1"/>
    <w:basedOn w:val="Normal"/>
    <w:autoRedefine/>
    <w:rsid w:val="00C1718C"/>
    <w:pPr>
      <w:numPr>
        <w:numId w:val="1"/>
      </w:numPr>
      <w:spacing w:before="60"/>
      <w:jc w:val="left"/>
    </w:pPr>
    <w:rPr>
      <w:rFonts w:eastAsia="Times New Roman"/>
      <w:color w:val="000000"/>
    </w:rPr>
  </w:style>
  <w:style w:type="paragraph" w:customStyle="1" w:styleId="RefItem1">
    <w:name w:val="Ref Item 1"/>
    <w:basedOn w:val="Normal"/>
    <w:rsid w:val="00C1718C"/>
    <w:pPr>
      <w:jc w:val="left"/>
    </w:pPr>
    <w:rPr>
      <w:color w:val="000000"/>
      <w:szCs w:val="24"/>
      <w:lang w:eastAsia="it-IT"/>
    </w:rPr>
  </w:style>
  <w:style w:type="paragraph" w:customStyle="1" w:styleId="RefTitre">
    <w:name w:val="Ref Titre"/>
    <w:basedOn w:val="Normal"/>
    <w:rsid w:val="00C1718C"/>
    <w:pPr>
      <w:jc w:val="left"/>
    </w:pPr>
    <w:rPr>
      <w:rFonts w:eastAsia="Times New Roman"/>
      <w:b/>
      <w:bCs/>
      <w:sz w:val="26"/>
      <w:szCs w:val="26"/>
    </w:rPr>
  </w:style>
  <w:style w:type="paragraph" w:customStyle="1" w:styleId="Header1">
    <w:name w:val="Header 1"/>
    <w:basedOn w:val="Header"/>
    <w:rsid w:val="00C1718C"/>
    <w:rPr>
      <w:b/>
      <w:sz w:val="24"/>
      <w:szCs w:val="24"/>
    </w:rPr>
  </w:style>
  <w:style w:type="character" w:customStyle="1" w:styleId="Pantone485">
    <w:name w:val="Pantone 485"/>
    <w:basedOn w:val="DefaultParagraphFont"/>
    <w:uiPriority w:val="1"/>
    <w:qFormat/>
    <w:rsid w:val="00C1718C"/>
    <w:rPr>
      <w:rFonts w:cs="Caecilia-Light"/>
      <w:color w:val="DC281E"/>
      <w:szCs w:val="16"/>
    </w:rPr>
  </w:style>
  <w:style w:type="character" w:customStyle="1" w:styleId="H1Char">
    <w:name w:val="H1 Char"/>
    <w:basedOn w:val="DefaultParagraphFont"/>
    <w:link w:val="H1"/>
    <w:rsid w:val="00C1718C"/>
    <w:rPr>
      <w:rFonts w:ascii="Arial" w:hAnsi="Arial" w:cs="Times New Roman"/>
      <w:b/>
      <w:sz w:val="40"/>
      <w:szCs w:val="52"/>
    </w:rPr>
  </w:style>
  <w:style w:type="table" w:customStyle="1" w:styleId="TableGray">
    <w:name w:val="Table Gray"/>
    <w:basedOn w:val="TableNormal"/>
    <w:uiPriority w:val="99"/>
    <w:rsid w:val="00C1718C"/>
    <w:rPr>
      <w:rFonts w:asciiTheme="minorHAnsi" w:hAnsiTheme="minorHAnsi" w:cs="Times New Roman"/>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F24AD6"/>
    <w:pPr>
      <w:numPr>
        <w:numId w:val="2"/>
      </w:numPr>
      <w:tabs>
        <w:tab w:val="left" w:pos="7230"/>
      </w:tabs>
      <w:spacing w:before="60" w:after="120"/>
      <w:ind w:left="714" w:hanging="357"/>
    </w:pPr>
    <w:rPr>
      <w:rFonts w:cs="Arial"/>
    </w:rPr>
  </w:style>
  <w:style w:type="paragraph" w:customStyle="1" w:styleId="ListNumber1">
    <w:name w:val="List Number 1"/>
    <w:basedOn w:val="Normal"/>
    <w:rsid w:val="00C1718C"/>
    <w:pPr>
      <w:numPr>
        <w:ilvl w:val="1"/>
        <w:numId w:val="3"/>
      </w:numPr>
      <w:contextualSpacing/>
    </w:pPr>
    <w:rPr>
      <w:rFonts w:eastAsiaTheme="minorHAnsi" w:cstheme="minorHAnsi"/>
      <w:szCs w:val="22"/>
    </w:rPr>
  </w:style>
  <w:style w:type="character" w:customStyle="1" w:styleId="ListParagraphChar">
    <w:name w:val="List Paragraph Char"/>
    <w:basedOn w:val="DefaultParagraphFont"/>
    <w:link w:val="ListParagraph"/>
    <w:uiPriority w:val="34"/>
    <w:rsid w:val="00C1718C"/>
    <w:rPr>
      <w:rFonts w:ascii="Arial" w:eastAsiaTheme="minorHAnsi" w:hAnsi="Arial" w:cstheme="minorBidi"/>
      <w:szCs w:val="22"/>
    </w:rPr>
  </w:style>
  <w:style w:type="paragraph" w:customStyle="1" w:styleId="NormalNo">
    <w:name w:val="Normal + No"/>
    <w:basedOn w:val="Normal"/>
    <w:qFormat/>
    <w:rsid w:val="00C1718C"/>
    <w:pPr>
      <w:numPr>
        <w:numId w:val="4"/>
      </w:numPr>
    </w:pPr>
    <w:rPr>
      <w:rFonts w:eastAsia="MS Mincho"/>
      <w:b/>
      <w:sz w:val="22"/>
    </w:rPr>
  </w:style>
  <w:style w:type="paragraph" w:customStyle="1" w:styleId="Indent">
    <w:name w:val="Indent"/>
    <w:basedOn w:val="Normal"/>
    <w:qFormat/>
    <w:rsid w:val="00C1718C"/>
    <w:pPr>
      <w:ind w:left="567"/>
    </w:pPr>
    <w:rPr>
      <w:rFonts w:cs="Arial"/>
      <w:b/>
    </w:rPr>
  </w:style>
  <w:style w:type="paragraph" w:customStyle="1" w:styleId="TitreTableau">
    <w:name w:val="Titre Tableau"/>
    <w:basedOn w:val="Normal"/>
    <w:qFormat/>
    <w:rsid w:val="00C1718C"/>
    <w:pPr>
      <w:spacing w:before="120"/>
      <w:jc w:val="center"/>
    </w:pPr>
    <w:rPr>
      <w:rFonts w:cs="Arial"/>
      <w:b/>
      <w:bCs/>
      <w:color w:val="FFFFFF" w:themeColor="background1"/>
    </w:rPr>
  </w:style>
  <w:style w:type="paragraph" w:customStyle="1" w:styleId="BulletTableau">
    <w:name w:val="Bullet Tableau"/>
    <w:basedOn w:val="Bullet2"/>
    <w:qFormat/>
    <w:rsid w:val="00C1718C"/>
    <w:pPr>
      <w:keepNext/>
      <w:keepLines/>
      <w:framePr w:hSpace="141" w:wrap="around" w:vAnchor="text" w:hAnchor="margin" w:y="402"/>
      <w:numPr>
        <w:numId w:val="6"/>
      </w:numPr>
      <w:spacing w:beforeLines="60" w:afterLines="20" w:after="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6188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41CBEE5444AC4294686EA8E7761EF7" ma:contentTypeVersion="14" ma:contentTypeDescription="Create a new document." ma:contentTypeScope="" ma:versionID="604a6a96af103908af6777cdd2526e0d">
  <xsd:schema xmlns:xsd="http://www.w3.org/2001/XMLSchema" xmlns:xs="http://www.w3.org/2001/XMLSchema" xmlns:p="http://schemas.microsoft.com/office/2006/metadata/properties" xmlns:ns2="1f0e0d46-bfc3-4fcf-89a2-869473193083" xmlns:ns3="2022f264-a01a-479c-9a1f-db50914a6761" targetNamespace="http://schemas.microsoft.com/office/2006/metadata/properties" ma:root="true" ma:fieldsID="c2e176ba61fa24234a2357b9a6519e7d" ns2:_="" ns3:_="">
    <xsd:import namespace="1f0e0d46-bfc3-4fcf-89a2-869473193083"/>
    <xsd:import namespace="2022f264-a01a-479c-9a1f-db50914a67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e0d46-bfc3-4fcf-89a2-869473193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22f264-a01a-479c-9a1f-db50914a67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b4525b-e024-493e-b786-78cbbff08576}" ma:internalName="TaxCatchAll" ma:showField="CatchAllData" ma:web="2022f264-a01a-479c-9a1f-db50914a67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0e0d46-bfc3-4fcf-89a2-869473193083">
      <Terms xmlns="http://schemas.microsoft.com/office/infopath/2007/PartnerControls"/>
    </lcf76f155ced4ddcb4097134ff3c332f>
    <TaxCatchAll xmlns="2022f264-a01a-479c-9a1f-db50914a6761" xsi:nil="true"/>
  </documentManagement>
</p:properties>
</file>

<file path=customXml/itemProps1.xml><?xml version="1.0" encoding="utf-8"?>
<ds:datastoreItem xmlns:ds="http://schemas.openxmlformats.org/officeDocument/2006/customXml" ds:itemID="{89CBFB01-48B2-4536-B116-F9A441EA903B}">
  <ds:schemaRefs>
    <ds:schemaRef ds:uri="http://schemas.microsoft.com/sharepoint/v3/contenttype/forms"/>
  </ds:schemaRefs>
</ds:datastoreItem>
</file>

<file path=customXml/itemProps2.xml><?xml version="1.0" encoding="utf-8"?>
<ds:datastoreItem xmlns:ds="http://schemas.openxmlformats.org/officeDocument/2006/customXml" ds:itemID="{25CD02C2-EEB8-4D59-8693-E397BC932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e0d46-bfc3-4fcf-89a2-869473193083"/>
    <ds:schemaRef ds:uri="2022f264-a01a-479c-9a1f-db50914a6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928832-B5C4-44A8-B2FA-5550D4FADD40}">
  <ds:schemaRefs>
    <ds:schemaRef ds:uri="http://www.w3.org/XML/1998/namespace"/>
    <ds:schemaRef ds:uri="http://schemas.microsoft.com/office/infopath/2007/PartnerControls"/>
    <ds:schemaRef ds:uri="http://schemas.microsoft.com/sharepoint/v3"/>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b938eb28-7cbf-463f-95d0-cb37a2d17a6d"/>
    <ds:schemaRef ds:uri="aee978fd-d2ca-467a-a30e-4f5782c7aa0a"/>
    <ds:schemaRef ds:uri="http://purl.org/dc/dcmitype/"/>
    <ds:schemaRef ds:uri="1f0e0d46-bfc3-4fcf-89a2-869473193083"/>
    <ds:schemaRef ds:uri="2022f264-a01a-479c-9a1f-db50914a6761"/>
  </ds:schemaRefs>
</ds:datastoreItem>
</file>

<file path=docProps/app.xml><?xml version="1.0" encoding="utf-8"?>
<Properties xmlns="http://schemas.openxmlformats.org/officeDocument/2006/extended-properties" xmlns:vt="http://schemas.openxmlformats.org/officeDocument/2006/docPropsVTypes">
  <Template>ICRC_Template</Template>
  <TotalTime>46</TotalTime>
  <Pages>4</Pages>
  <Words>1532</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Aisha Yusuf</cp:lastModifiedBy>
  <cp:revision>43</cp:revision>
  <cp:lastPrinted>2015-09-17T02:31:00Z</cp:lastPrinted>
  <dcterms:created xsi:type="dcterms:W3CDTF">2022-10-31T14:37:00Z</dcterms:created>
  <dcterms:modified xsi:type="dcterms:W3CDTF">2024-09-30T13:21:00Z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0x010100E041CBEE5444AC4294686EA8E7761EF7</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6627b15a-80ec-4ef7-8353-f32e3c89bf3e_Enabled">
    <vt:lpwstr>true</vt:lpwstr>
  </property>
  <property fmtid="{D5CDD505-2E9C-101B-9397-08002B2CF9AE}" pid="7" name="MSIP_Label_6627b15a-80ec-4ef7-8353-f32e3c89bf3e_SetDate">
    <vt:lpwstr>2021-06-29T13:49:21Z</vt:lpwstr>
  </property>
  <property fmtid="{D5CDD505-2E9C-101B-9397-08002B2CF9AE}" pid="8" name="MSIP_Label_6627b15a-80ec-4ef7-8353-f32e3c89bf3e_Method">
    <vt:lpwstr>Privileged</vt:lpwstr>
  </property>
  <property fmtid="{D5CDD505-2E9C-101B-9397-08002B2CF9AE}" pid="9" name="MSIP_Label_6627b15a-80ec-4ef7-8353-f32e3c89bf3e_Name">
    <vt:lpwstr>IFRC Internal</vt:lpwstr>
  </property>
  <property fmtid="{D5CDD505-2E9C-101B-9397-08002B2CF9AE}" pid="10" name="MSIP_Label_6627b15a-80ec-4ef7-8353-f32e3c89bf3e_SiteId">
    <vt:lpwstr>a2b53be5-734e-4e6c-ab0d-d184f60fd917</vt:lpwstr>
  </property>
  <property fmtid="{D5CDD505-2E9C-101B-9397-08002B2CF9AE}" pid="11" name="MSIP_Label_6627b15a-80ec-4ef7-8353-f32e3c89bf3e_ActionId">
    <vt:lpwstr>97a8597b-fca9-45ba-bf9f-f90cebc14357</vt:lpwstr>
  </property>
  <property fmtid="{D5CDD505-2E9C-101B-9397-08002B2CF9AE}" pid="12" name="MSIP_Label_6627b15a-80ec-4ef7-8353-f32e3c89bf3e_ContentBits">
    <vt:lpwstr>2</vt:lpwstr>
  </property>
  <property fmtid="{D5CDD505-2E9C-101B-9397-08002B2CF9AE}" pid="13" name="MediaServiceImageTags">
    <vt:lpwstr/>
  </property>
</Properties>
</file>