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B1A9" w14:textId="7615632D" w:rsidR="348A3BD9" w:rsidRDefault="348A3BD9" w:rsidP="009C6A6F">
      <w:pPr>
        <w:pStyle w:val="H1"/>
        <w:ind w:right="-149"/>
        <w:jc w:val="center"/>
        <w:rPr>
          <w:rFonts w:ascii="Verdana" w:hAnsi="Verdana"/>
          <w:color w:val="000000" w:themeColor="text1"/>
          <w:sz w:val="32"/>
          <w:szCs w:val="32"/>
        </w:rPr>
      </w:pPr>
      <w:r>
        <w:rPr>
          <w:rFonts w:ascii="Verdana" w:hAnsi="Verdana"/>
          <w:color w:val="000000" w:themeColor="text1"/>
          <w:sz w:val="32"/>
        </w:rPr>
        <w:t xml:space="preserve">Guide pour entreprendre une </w:t>
      </w:r>
      <w:proofErr w:type="spellStart"/>
      <w:r w:rsidR="00B05410">
        <w:rPr>
          <w:rFonts w:ascii="Verdana" w:hAnsi="Verdana"/>
          <w:color w:val="000000" w:themeColor="text1"/>
          <w:sz w:val="32"/>
        </w:rPr>
        <w:t>baseline</w:t>
      </w:r>
      <w:proofErr w:type="spellEnd"/>
      <w:r w:rsidR="00B05410">
        <w:rPr>
          <w:rFonts w:ascii="Verdana" w:hAnsi="Verdana"/>
          <w:color w:val="000000" w:themeColor="text1"/>
          <w:sz w:val="32"/>
        </w:rPr>
        <w:t xml:space="preserve"> de </w:t>
      </w:r>
      <w:proofErr w:type="spellStart"/>
      <w:r w:rsidR="00B05410">
        <w:rPr>
          <w:rFonts w:ascii="Verdana" w:hAnsi="Verdana"/>
          <w:color w:val="000000" w:themeColor="text1"/>
          <w:sz w:val="32"/>
        </w:rPr>
        <w:t>référence</w:t>
      </w:r>
      <w:r w:rsidR="00C72E65">
        <w:rPr>
          <w:rFonts w:ascii="Verdana" w:hAnsi="Verdana"/>
          <w:color w:val="000000" w:themeColor="text1"/>
          <w:sz w:val="32"/>
        </w:rPr>
        <w:t>baseline</w:t>
      </w:r>
      <w:proofErr w:type="spellEnd"/>
      <w:r>
        <w:rPr>
          <w:rFonts w:ascii="Verdana" w:hAnsi="Verdana"/>
          <w:color w:val="000000" w:themeColor="text1"/>
          <w:sz w:val="32"/>
        </w:rPr>
        <w:t xml:space="preserve"> externe des TM </w:t>
      </w:r>
      <w:r w:rsidR="00F33221">
        <w:rPr>
          <w:rFonts w:ascii="Verdana" w:hAnsi="Verdana"/>
          <w:color w:val="000000" w:themeColor="text1"/>
          <w:sz w:val="32"/>
        </w:rPr>
        <w:t>lors de l’analyse d’avant crise</w:t>
      </w:r>
    </w:p>
    <w:p w14:paraId="53C3142B" w14:textId="67993EC2" w:rsidR="4C0F3C97" w:rsidRDefault="4C0F3C97" w:rsidP="4C0F3C97">
      <w:pPr>
        <w:pStyle w:val="H1"/>
        <w:spacing w:before="240"/>
        <w:jc w:val="both"/>
        <w:rPr>
          <w:rFonts w:ascii="Verdana" w:hAnsi="Verdana"/>
          <w:bCs/>
          <w:sz w:val="19"/>
          <w:szCs w:val="19"/>
        </w:rPr>
      </w:pPr>
    </w:p>
    <w:p w14:paraId="52358B86" w14:textId="35144352" w:rsidR="04DCEB9D" w:rsidRDefault="04DCEB9D" w:rsidP="4C0F3C97">
      <w:pPr>
        <w:pStyle w:val="H1"/>
        <w:spacing w:before="240"/>
        <w:jc w:val="both"/>
        <w:rPr>
          <w:rFonts w:ascii="Verdana" w:hAnsi="Verdana"/>
          <w:bCs/>
          <w:sz w:val="19"/>
          <w:szCs w:val="19"/>
        </w:rPr>
      </w:pPr>
      <w:r>
        <w:rPr>
          <w:rFonts w:ascii="Verdana" w:hAnsi="Verdana"/>
          <w:sz w:val="19"/>
        </w:rPr>
        <w:t>Objet</w:t>
      </w:r>
    </w:p>
    <w:p w14:paraId="42A25393" w14:textId="772F19A7" w:rsidR="69B04B1C" w:rsidRDefault="0030457E" w:rsidP="4C0F3C97">
      <w:pPr>
        <w:pStyle w:val="H1"/>
        <w:spacing w:before="240"/>
        <w:jc w:val="both"/>
        <w:rPr>
          <w:rFonts w:ascii="Verdana" w:eastAsia="Verdana" w:hAnsi="Verdana" w:cs="Verdana"/>
          <w:b w:val="0"/>
          <w:color w:val="000000" w:themeColor="text1"/>
          <w:sz w:val="18"/>
          <w:szCs w:val="18"/>
        </w:rPr>
      </w:pPr>
      <w:r>
        <w:rPr>
          <w:rFonts w:ascii="Verdana" w:hAnsi="Verdana"/>
          <w:b w:val="0"/>
          <w:color w:val="000000" w:themeColor="text1"/>
          <w:sz w:val="18"/>
        </w:rPr>
        <w:t xml:space="preserve">La </w:t>
      </w:r>
      <w:proofErr w:type="spellStart"/>
      <w:r w:rsidR="00C72E65">
        <w:rPr>
          <w:rFonts w:ascii="Verdana" w:hAnsi="Verdana"/>
          <w:b w:val="0"/>
          <w:i/>
          <w:color w:val="000000" w:themeColor="text1"/>
          <w:sz w:val="18"/>
        </w:rPr>
        <w:t>baseline</w:t>
      </w:r>
      <w:proofErr w:type="spellEnd"/>
      <w:r w:rsidR="00C72E65">
        <w:rPr>
          <w:rFonts w:ascii="Verdana" w:hAnsi="Verdana"/>
          <w:b w:val="0"/>
          <w:i/>
          <w:color w:val="000000" w:themeColor="text1"/>
          <w:sz w:val="18"/>
        </w:rPr>
        <w:t xml:space="preserve"> </w:t>
      </w:r>
      <w:r>
        <w:rPr>
          <w:rFonts w:ascii="Verdana" w:hAnsi="Verdana"/>
          <w:b w:val="0"/>
          <w:i/>
          <w:color w:val="000000" w:themeColor="text1"/>
          <w:sz w:val="18"/>
        </w:rPr>
        <w:t xml:space="preserve">externe de TM d’avant la crise </w:t>
      </w:r>
      <w:r w:rsidRPr="00463417">
        <w:rPr>
          <w:rFonts w:ascii="Verdana" w:hAnsi="Verdana"/>
          <w:b w:val="0"/>
          <w:color w:val="000000" w:themeColor="text1"/>
          <w:sz w:val="18"/>
        </w:rPr>
        <w:t>examine l’environnement</w:t>
      </w:r>
      <w:r w:rsidR="00C72E65">
        <w:rPr>
          <w:rFonts w:ascii="Verdana" w:hAnsi="Verdana"/>
          <w:b w:val="0"/>
          <w:color w:val="000000" w:themeColor="text1"/>
          <w:sz w:val="18"/>
        </w:rPr>
        <w:t xml:space="preserve"> </w:t>
      </w:r>
      <w:r w:rsidRPr="00463417">
        <w:rPr>
          <w:rFonts w:ascii="Verdana" w:hAnsi="Verdana"/>
          <w:b w:val="0"/>
          <w:color w:val="000000" w:themeColor="text1"/>
          <w:sz w:val="18"/>
        </w:rPr>
        <w:t xml:space="preserve">propice </w:t>
      </w:r>
      <w:r w:rsidR="00C72E65">
        <w:rPr>
          <w:rFonts w:ascii="Verdana" w:hAnsi="Verdana"/>
          <w:b w:val="0"/>
          <w:color w:val="000000" w:themeColor="text1"/>
          <w:sz w:val="18"/>
        </w:rPr>
        <w:t>à</w:t>
      </w:r>
      <w:r>
        <w:rPr>
          <w:rFonts w:ascii="Verdana" w:hAnsi="Verdana"/>
          <w:b w:val="0"/>
          <w:color w:val="000000" w:themeColor="text1"/>
          <w:sz w:val="18"/>
        </w:rPr>
        <w:t xml:space="preserve"> </w:t>
      </w:r>
      <w:r w:rsidR="00C72E65">
        <w:rPr>
          <w:rFonts w:ascii="Verdana" w:hAnsi="Verdana"/>
          <w:b w:val="0"/>
          <w:color w:val="000000" w:themeColor="text1"/>
          <w:sz w:val="18"/>
        </w:rPr>
        <w:t>aux TM d’un point de vue extérieur</w:t>
      </w:r>
      <w:r w:rsidR="69B04B1C">
        <w:rPr>
          <w:rFonts w:ascii="Verdana" w:hAnsi="Verdana"/>
          <w:b w:val="0"/>
          <w:color w:val="000000" w:themeColor="text1"/>
          <w:sz w:val="18"/>
        </w:rPr>
        <w:t xml:space="preserve">. Elle diffère de la </w:t>
      </w:r>
      <w:proofErr w:type="spellStart"/>
      <w:r w:rsidR="00B05410" w:rsidRPr="00FB5855">
        <w:rPr>
          <w:rFonts w:ascii="Verdana" w:hAnsi="Verdana"/>
          <w:b w:val="0"/>
          <w:i/>
          <w:color w:val="C00000"/>
          <w:sz w:val="18"/>
        </w:rPr>
        <w:t>baseline</w:t>
      </w:r>
      <w:proofErr w:type="spellEnd"/>
      <w:r w:rsidR="00B05410" w:rsidRPr="00FB5855">
        <w:rPr>
          <w:rFonts w:ascii="Verdana" w:hAnsi="Verdana"/>
          <w:b w:val="0"/>
          <w:i/>
          <w:color w:val="C00000"/>
          <w:sz w:val="18"/>
        </w:rPr>
        <w:t xml:space="preserve"> de référence</w:t>
      </w:r>
      <w:r w:rsidR="69B04B1C" w:rsidRPr="00FB5855">
        <w:rPr>
          <w:rFonts w:ascii="Verdana" w:hAnsi="Verdana"/>
          <w:b w:val="0"/>
          <w:i/>
          <w:color w:val="C00000"/>
          <w:sz w:val="18"/>
        </w:rPr>
        <w:t xml:space="preserve"> interne des TM pour la capacité de préparation organisationnelle</w:t>
      </w:r>
      <w:r w:rsidR="69B04B1C" w:rsidRPr="00FB5855">
        <w:rPr>
          <w:rFonts w:ascii="Verdana" w:hAnsi="Verdana"/>
          <w:b w:val="0"/>
          <w:color w:val="C00000"/>
          <w:sz w:val="18"/>
        </w:rPr>
        <w:t xml:space="preserve"> </w:t>
      </w:r>
      <w:r w:rsidR="69B04B1C">
        <w:rPr>
          <w:rFonts w:ascii="Verdana" w:hAnsi="Verdana"/>
          <w:b w:val="0"/>
          <w:color w:val="000000" w:themeColor="text1"/>
          <w:sz w:val="18"/>
        </w:rPr>
        <w:t xml:space="preserve">qui est terminée avant la </w:t>
      </w:r>
      <w:proofErr w:type="spellStart"/>
      <w:r w:rsidR="69B04B1C">
        <w:rPr>
          <w:rFonts w:ascii="Verdana" w:hAnsi="Verdana"/>
          <w:b w:val="0"/>
          <w:color w:val="000000" w:themeColor="text1"/>
          <w:sz w:val="18"/>
        </w:rPr>
        <w:t>base</w:t>
      </w:r>
      <w:r w:rsidR="00C72E65">
        <w:rPr>
          <w:rFonts w:ascii="Verdana" w:hAnsi="Verdana"/>
          <w:b w:val="0"/>
          <w:color w:val="000000" w:themeColor="text1"/>
          <w:sz w:val="18"/>
        </w:rPr>
        <w:t>line</w:t>
      </w:r>
      <w:proofErr w:type="spellEnd"/>
      <w:r w:rsidR="69B04B1C">
        <w:rPr>
          <w:rFonts w:ascii="Verdana" w:hAnsi="Verdana"/>
          <w:b w:val="0"/>
          <w:color w:val="000000" w:themeColor="text1"/>
          <w:sz w:val="18"/>
        </w:rPr>
        <w:t xml:space="preserve"> externe des TM et est interne, se concentrant sur la capacité organisationnelle de la SN. Cette note d’instruction doit servir pour compléter le </w:t>
      </w:r>
      <w:r w:rsidR="69B04B1C">
        <w:rPr>
          <w:rFonts w:ascii="Verdana" w:hAnsi="Verdana"/>
          <w:b w:val="0"/>
          <w:i/>
          <w:color w:val="C00000"/>
          <w:sz w:val="18"/>
        </w:rPr>
        <w:t xml:space="preserve">modèle de rapport de référence de l’analyse </w:t>
      </w:r>
      <w:r w:rsidR="00C72E65">
        <w:rPr>
          <w:rFonts w:ascii="Verdana" w:hAnsi="Verdana"/>
          <w:b w:val="0"/>
          <w:i/>
          <w:color w:val="C00000"/>
          <w:sz w:val="18"/>
        </w:rPr>
        <w:t xml:space="preserve">externe des TM </w:t>
      </w:r>
      <w:r w:rsidR="69B04B1C">
        <w:rPr>
          <w:rFonts w:ascii="Verdana" w:hAnsi="Verdana"/>
          <w:b w:val="0"/>
          <w:i/>
          <w:color w:val="C00000"/>
          <w:sz w:val="18"/>
        </w:rPr>
        <w:t xml:space="preserve">avant crise </w:t>
      </w:r>
      <w:r w:rsidR="00C72E65" w:rsidRPr="003A6CEA">
        <w:rPr>
          <w:rFonts w:ascii="Verdana" w:hAnsi="Verdana"/>
          <w:b w:val="0"/>
          <w:color w:val="000000" w:themeColor="text1"/>
          <w:sz w:val="18"/>
        </w:rPr>
        <w:t>attaché</w:t>
      </w:r>
      <w:r w:rsidR="00C72E65">
        <w:rPr>
          <w:rFonts w:ascii="Verdana" w:hAnsi="Verdana"/>
          <w:b w:val="0"/>
          <w:color w:val="000000" w:themeColor="text1"/>
          <w:sz w:val="18"/>
        </w:rPr>
        <w:t>.</w:t>
      </w:r>
    </w:p>
    <w:p w14:paraId="0EB5750D" w14:textId="058D6C9A" w:rsidR="006A1F3D" w:rsidRPr="004C3C23" w:rsidRDefault="00421903" w:rsidP="006A1F3D">
      <w:pPr>
        <w:spacing w:before="240"/>
        <w:ind w:right="-149"/>
        <w:rPr>
          <w:rFonts w:ascii="Verdana" w:hAnsi="Verdana"/>
          <w:sz w:val="18"/>
          <w:szCs w:val="18"/>
        </w:rPr>
      </w:pPr>
      <w:r>
        <w:rPr>
          <w:rFonts w:ascii="Verdana" w:hAnsi="Verdana"/>
          <w:sz w:val="18"/>
        </w:rPr>
        <w:t xml:space="preserve">L’objectif de la </w:t>
      </w:r>
      <w:proofErr w:type="spellStart"/>
      <w:r w:rsidR="00C72E65">
        <w:rPr>
          <w:rFonts w:ascii="Verdana" w:hAnsi="Verdana"/>
          <w:sz w:val="18"/>
        </w:rPr>
        <w:t>baseline</w:t>
      </w:r>
      <w:proofErr w:type="spellEnd"/>
      <w:r w:rsidR="00C72E65">
        <w:rPr>
          <w:rFonts w:ascii="Verdana" w:hAnsi="Verdana"/>
          <w:sz w:val="18"/>
        </w:rPr>
        <w:t xml:space="preserve"> </w:t>
      </w:r>
      <w:r>
        <w:rPr>
          <w:rFonts w:ascii="Verdana" w:hAnsi="Verdana"/>
          <w:sz w:val="18"/>
        </w:rPr>
        <w:t>externe de TM préalable à la crise est de dresser un tableau générique de l’analyse de la réponse à l’évaluation afin d’analyser la modalité et le mécanisme d’exécution qui pourraient être les plus appropriés dans le contexte de la réponse SN</w:t>
      </w:r>
      <w:r w:rsidR="00845CB5">
        <w:rPr>
          <w:rFonts w:ascii="Verdana" w:hAnsi="Verdana"/>
          <w:sz w:val="18"/>
        </w:rPr>
        <w:t xml:space="preserve">. Elle se focalise sur la saisie de toutes les composantes de l’analyse de </w:t>
      </w:r>
      <w:proofErr w:type="spellStart"/>
      <w:r w:rsidR="009A7BE4">
        <w:rPr>
          <w:rFonts w:ascii="Verdana" w:hAnsi="Verdana"/>
          <w:sz w:val="18"/>
        </w:rPr>
        <w:t>faisabilité</w:t>
      </w:r>
      <w:r w:rsidR="00B05410">
        <w:rPr>
          <w:rFonts w:ascii="Verdana" w:hAnsi="Verdana"/>
          <w:sz w:val="18"/>
        </w:rPr>
        <w:t>faisabilité</w:t>
      </w:r>
      <w:proofErr w:type="spellEnd"/>
      <w:r w:rsidR="00B05410">
        <w:rPr>
          <w:rFonts w:ascii="Verdana" w:hAnsi="Verdana"/>
          <w:sz w:val="18"/>
        </w:rPr>
        <w:t xml:space="preserve"> </w:t>
      </w:r>
      <w:r w:rsidR="00845CB5">
        <w:rPr>
          <w:rFonts w:ascii="Verdana" w:hAnsi="Verdana"/>
          <w:sz w:val="18"/>
        </w:rPr>
        <w:t xml:space="preserve">et de réponse de TM qui peuvent être recueillies à l’avance, afin de permettre une réponse plus rapide durant une crise. </w:t>
      </w:r>
      <w:r w:rsidR="006A1F3D">
        <w:rPr>
          <w:rFonts w:ascii="Verdana" w:hAnsi="Verdana"/>
          <w:sz w:val="18"/>
        </w:rPr>
        <w:t xml:space="preserve">Dans l’ensemble, la </w:t>
      </w:r>
      <w:proofErr w:type="spellStart"/>
      <w:r w:rsidR="006A1F3D">
        <w:rPr>
          <w:rFonts w:ascii="Verdana" w:hAnsi="Verdana"/>
          <w:sz w:val="18"/>
        </w:rPr>
        <w:t>base</w:t>
      </w:r>
      <w:r w:rsidR="00B05410">
        <w:rPr>
          <w:rFonts w:ascii="Verdana" w:hAnsi="Verdana"/>
          <w:sz w:val="18"/>
        </w:rPr>
        <w:t>line</w:t>
      </w:r>
      <w:proofErr w:type="spellEnd"/>
      <w:r w:rsidR="006A1F3D">
        <w:rPr>
          <w:rFonts w:ascii="Verdana" w:hAnsi="Verdana"/>
          <w:sz w:val="18"/>
        </w:rPr>
        <w:t xml:space="preserve"> de référence externe de TM pour l’analyse préalable à la crise recueille et renseigne les preuves nécessaires pour éclairer les décisions préliminaires d’option d’intervention en matière de TM, y compris les caractéristiques de conception initiales.</w:t>
      </w:r>
    </w:p>
    <w:p w14:paraId="16E3C793" w14:textId="62582194" w:rsidR="009C6A6F" w:rsidRPr="00FB0D80" w:rsidRDefault="00302CBD" w:rsidP="006A1F3D">
      <w:pPr>
        <w:spacing w:before="240"/>
        <w:ind w:right="-149"/>
        <w:rPr>
          <w:rFonts w:ascii="Verdana" w:hAnsi="Verdana"/>
          <w:sz w:val="18"/>
          <w:szCs w:val="18"/>
        </w:rPr>
      </w:pPr>
      <w:r>
        <w:rPr>
          <w:rFonts w:ascii="Verdana" w:hAnsi="Verdana"/>
          <w:sz w:val="18"/>
        </w:rPr>
        <w:t>Objectifs :</w:t>
      </w:r>
    </w:p>
    <w:p w14:paraId="0D328FA5" w14:textId="3511BA9A" w:rsidR="00FB0D80" w:rsidRPr="00894069" w:rsidRDefault="00FB0D80">
      <w:pPr>
        <w:pStyle w:val="Bullet2"/>
        <w:numPr>
          <w:ilvl w:val="0"/>
          <w:numId w:val="8"/>
        </w:numPr>
        <w:spacing w:before="240" w:after="240"/>
        <w:contextualSpacing/>
        <w:jc w:val="left"/>
        <w:rPr>
          <w:rFonts w:ascii="Verdana" w:hAnsi="Verdana"/>
          <w:b/>
          <w:sz w:val="18"/>
          <w:szCs w:val="18"/>
        </w:rPr>
      </w:pPr>
      <w:r>
        <w:rPr>
          <w:rFonts w:ascii="Verdana" w:hAnsi="Verdana"/>
          <w:sz w:val="18"/>
        </w:rPr>
        <w:t>Résumer le contexte opérationnel de TM (analyse de situation)</w:t>
      </w:r>
    </w:p>
    <w:p w14:paraId="06CEB83F" w14:textId="77777777" w:rsidR="00FB0D80" w:rsidRPr="00FB0D80" w:rsidRDefault="002E60CA">
      <w:pPr>
        <w:pStyle w:val="Bullet2"/>
        <w:numPr>
          <w:ilvl w:val="0"/>
          <w:numId w:val="8"/>
        </w:numPr>
        <w:spacing w:before="240" w:after="240"/>
        <w:contextualSpacing/>
        <w:jc w:val="left"/>
        <w:rPr>
          <w:rFonts w:ascii="Verdana" w:hAnsi="Verdana"/>
          <w:b/>
          <w:bCs/>
          <w:i/>
          <w:iCs/>
          <w:sz w:val="17"/>
          <w:szCs w:val="17"/>
        </w:rPr>
      </w:pPr>
      <w:r>
        <w:rPr>
          <w:rFonts w:ascii="Verdana" w:hAnsi="Verdana"/>
          <w:sz w:val="18"/>
        </w:rPr>
        <w:t>Schématiser et analyser les principaux marchés de référence et leur capacité potentielle à soutenir une réponse par TM en cas de crise.</w:t>
      </w:r>
    </w:p>
    <w:p w14:paraId="6FA70B1B" w14:textId="77777777" w:rsidR="00FB0D80" w:rsidRPr="00FB0D80" w:rsidRDefault="00302CBD">
      <w:pPr>
        <w:pStyle w:val="Bullet2"/>
        <w:numPr>
          <w:ilvl w:val="0"/>
          <w:numId w:val="8"/>
        </w:numPr>
        <w:spacing w:before="240" w:after="240"/>
        <w:contextualSpacing/>
        <w:jc w:val="left"/>
        <w:rPr>
          <w:rFonts w:ascii="Verdana" w:hAnsi="Verdana"/>
          <w:b/>
          <w:bCs/>
          <w:i/>
          <w:iCs/>
          <w:sz w:val="17"/>
          <w:szCs w:val="17"/>
        </w:rPr>
      </w:pPr>
      <w:r>
        <w:rPr>
          <w:rFonts w:ascii="Verdana" w:hAnsi="Verdana"/>
          <w:sz w:val="18"/>
        </w:rPr>
        <w:t>Évaluer les programmes de protection sociale et les politiques gouvernementales en matière de TM et déterminer si un TM pourrait être lié à la protection sociale.</w:t>
      </w:r>
    </w:p>
    <w:p w14:paraId="6F91B2A1" w14:textId="77777777" w:rsidR="00FB0D80" w:rsidRPr="00FB0D80" w:rsidRDefault="00D22BD2">
      <w:pPr>
        <w:pStyle w:val="Bullet2"/>
        <w:numPr>
          <w:ilvl w:val="0"/>
          <w:numId w:val="8"/>
        </w:numPr>
        <w:spacing w:before="240" w:after="240"/>
        <w:contextualSpacing/>
        <w:jc w:val="left"/>
        <w:rPr>
          <w:rFonts w:ascii="Verdana" w:hAnsi="Verdana"/>
          <w:b/>
          <w:i/>
          <w:iCs/>
          <w:sz w:val="17"/>
          <w:szCs w:val="17"/>
        </w:rPr>
      </w:pPr>
      <w:r>
        <w:rPr>
          <w:rFonts w:ascii="Verdana" w:hAnsi="Verdana"/>
          <w:sz w:val="18"/>
        </w:rPr>
        <w:t>Cerner les préférences des bénéficiaires, les comportements et l’accès aux marchés et aux mécanismes d’exécution</w:t>
      </w:r>
    </w:p>
    <w:p w14:paraId="4AAA0B6A" w14:textId="77777777" w:rsidR="00FB0D80" w:rsidRPr="00FB0D80" w:rsidRDefault="00302CBD">
      <w:pPr>
        <w:pStyle w:val="Bullet2"/>
        <w:numPr>
          <w:ilvl w:val="0"/>
          <w:numId w:val="8"/>
        </w:numPr>
        <w:spacing w:before="240" w:after="240"/>
        <w:contextualSpacing/>
        <w:jc w:val="left"/>
        <w:rPr>
          <w:rFonts w:ascii="Verdana" w:hAnsi="Verdana"/>
          <w:b/>
          <w:i/>
          <w:iCs/>
          <w:sz w:val="17"/>
          <w:szCs w:val="17"/>
        </w:rPr>
      </w:pPr>
      <w:r>
        <w:rPr>
          <w:rFonts w:ascii="Verdana" w:hAnsi="Verdana"/>
          <w:sz w:val="18"/>
        </w:rPr>
        <w:t>Schématiser les prestataires de services financiers (PSF) disponibles et les mécanismes d’exécution</w:t>
      </w:r>
    </w:p>
    <w:p w14:paraId="69B73303" w14:textId="77777777" w:rsidR="00FB0D80" w:rsidRPr="00FB0D80" w:rsidRDefault="00EF7F67">
      <w:pPr>
        <w:pStyle w:val="Bullet2"/>
        <w:numPr>
          <w:ilvl w:val="0"/>
          <w:numId w:val="8"/>
        </w:numPr>
        <w:spacing w:before="240" w:after="240"/>
        <w:contextualSpacing/>
        <w:jc w:val="left"/>
        <w:rPr>
          <w:rFonts w:ascii="Verdana" w:hAnsi="Verdana"/>
          <w:b/>
          <w:i/>
          <w:iCs/>
          <w:sz w:val="17"/>
          <w:szCs w:val="17"/>
        </w:rPr>
      </w:pPr>
      <w:r>
        <w:rPr>
          <w:rFonts w:ascii="Verdana" w:hAnsi="Verdana"/>
          <w:sz w:val="18"/>
        </w:rPr>
        <w:t>Pour effectuer une analyse des risques liés aux TM</w:t>
      </w:r>
    </w:p>
    <w:p w14:paraId="237C1046" w14:textId="3D2ECF8F" w:rsidR="00EC32D6" w:rsidRPr="00FB0D80" w:rsidRDefault="3C257E2C">
      <w:pPr>
        <w:pStyle w:val="Bullet2"/>
        <w:numPr>
          <w:ilvl w:val="0"/>
          <w:numId w:val="8"/>
        </w:numPr>
        <w:spacing w:before="240" w:after="240"/>
        <w:contextualSpacing/>
        <w:jc w:val="left"/>
        <w:rPr>
          <w:rFonts w:ascii="Verdana" w:hAnsi="Verdana"/>
          <w:b/>
          <w:bCs/>
          <w:i/>
          <w:iCs/>
          <w:sz w:val="17"/>
          <w:szCs w:val="17"/>
        </w:rPr>
      </w:pPr>
      <w:r>
        <w:rPr>
          <w:rFonts w:ascii="Verdana" w:hAnsi="Verdana"/>
          <w:sz w:val="18"/>
        </w:rPr>
        <w:t>À l’aide des informations recueillies, comparer et explorer les options d’intervention en matière de TM et déterminer à l’avance autant de caractéristiques préliminaires que possible de la conception du programme (modalité de TM, mécanisme d’exécution, valeur de transfert, ciblage)</w:t>
      </w:r>
    </w:p>
    <w:p w14:paraId="696FA166" w14:textId="77777777" w:rsidR="00D22BD2" w:rsidRPr="00D22BD2" w:rsidRDefault="00D22BD2" w:rsidP="00903622">
      <w:pPr>
        <w:pStyle w:val="ListParagraph"/>
        <w:spacing w:before="240"/>
        <w:ind w:right="-149"/>
        <w:rPr>
          <w:sz w:val="22"/>
        </w:rPr>
      </w:pPr>
    </w:p>
    <w:p w14:paraId="3F7742FB" w14:textId="1D8BF63C" w:rsidR="00013761" w:rsidRPr="009C6A6F" w:rsidRDefault="00845CB5" w:rsidP="009C6A6F">
      <w:pPr>
        <w:pStyle w:val="H1"/>
        <w:ind w:left="-284" w:right="-149" w:firstLine="284"/>
        <w:rPr>
          <w:rFonts w:ascii="Verdana" w:hAnsi="Verdana"/>
          <w:bCs/>
          <w:sz w:val="19"/>
          <w:szCs w:val="19"/>
        </w:rPr>
      </w:pPr>
      <w:r>
        <w:rPr>
          <w:rFonts w:ascii="Verdana" w:hAnsi="Verdana"/>
          <w:sz w:val="19"/>
        </w:rPr>
        <w:t xml:space="preserve">Domaine d’application de </w:t>
      </w:r>
      <w:proofErr w:type="spellStart"/>
      <w:r w:rsidR="00B05410">
        <w:rPr>
          <w:rFonts w:ascii="Verdana" w:hAnsi="Verdana"/>
          <w:sz w:val="19"/>
        </w:rPr>
        <w:t>baseline</w:t>
      </w:r>
      <w:proofErr w:type="spellEnd"/>
      <w:r w:rsidR="00B05410">
        <w:rPr>
          <w:rFonts w:ascii="Verdana" w:hAnsi="Verdana"/>
          <w:sz w:val="19"/>
        </w:rPr>
        <w:t xml:space="preserve"> de référence</w:t>
      </w:r>
      <w:r>
        <w:rPr>
          <w:rFonts w:ascii="Verdana" w:hAnsi="Verdana"/>
          <w:sz w:val="19"/>
        </w:rPr>
        <w:t xml:space="preserve"> externe des TM pour l’analyse avant la crise</w:t>
      </w:r>
    </w:p>
    <w:p w14:paraId="6EE96BB5" w14:textId="6A228905" w:rsidR="00700E67" w:rsidRPr="002036DF" w:rsidRDefault="00381A28" w:rsidP="00903622">
      <w:pPr>
        <w:ind w:right="-149"/>
        <w:rPr>
          <w:rFonts w:ascii="Verdana" w:hAnsi="Verdana"/>
          <w:sz w:val="18"/>
          <w:szCs w:val="18"/>
        </w:rPr>
      </w:pPr>
      <w:r>
        <w:rPr>
          <w:rFonts w:ascii="Verdana" w:hAnsi="Verdana"/>
          <w:sz w:val="18"/>
        </w:rPr>
        <w:t xml:space="preserve">Afin de mettre en œuvre des TM en temps utile au cours d’une intervention, il convient d’évaluer à l’avance certains domaines </w:t>
      </w:r>
      <w:r w:rsidR="00B05410">
        <w:rPr>
          <w:rFonts w:ascii="Verdana" w:hAnsi="Verdana"/>
          <w:sz w:val="18"/>
        </w:rPr>
        <w:t xml:space="preserve">extérieurs </w:t>
      </w:r>
      <w:r>
        <w:rPr>
          <w:rFonts w:ascii="Verdana" w:hAnsi="Verdana"/>
          <w:sz w:val="18"/>
        </w:rPr>
        <w:t>spécifiques liés à l’environnement favorable</w:t>
      </w:r>
      <w:r w:rsidR="008F0522">
        <w:rPr>
          <w:rFonts w:ascii="Verdana" w:hAnsi="Verdana"/>
          <w:sz w:val="18"/>
        </w:rPr>
        <w:t xml:space="preserve"> aux TM</w:t>
      </w:r>
      <w:r>
        <w:rPr>
          <w:rFonts w:ascii="Verdana" w:hAnsi="Verdana"/>
          <w:sz w:val="18"/>
        </w:rPr>
        <w:t xml:space="preserve">. Cela comprend une analyse de base de la situation des TM, une évaluation des marchés, des politiques gouvernementales et de la protection sociale, des préférences des bénéficiaires, des prestataires de services financiers (PSF) et une analyse des risques. Le niveau de référence permettra également d’améliorer et de fournir des éléments probants sur la </w:t>
      </w:r>
      <w:r w:rsidR="009A7BE4">
        <w:rPr>
          <w:rFonts w:ascii="Verdana" w:hAnsi="Verdana"/>
          <w:sz w:val="18"/>
        </w:rPr>
        <w:t>faisabilité</w:t>
      </w:r>
      <w:r>
        <w:rPr>
          <w:rFonts w:ascii="Verdana" w:hAnsi="Verdana"/>
          <w:sz w:val="18"/>
        </w:rPr>
        <w:t xml:space="preserve"> du TM déjà établie avant le lancement de </w:t>
      </w:r>
      <w:r w:rsidR="00CD352F">
        <w:rPr>
          <w:rFonts w:ascii="Verdana" w:hAnsi="Verdana"/>
          <w:sz w:val="18"/>
        </w:rPr>
        <w:t>la PTM</w:t>
      </w:r>
      <w:r>
        <w:rPr>
          <w:rFonts w:ascii="Verdana" w:hAnsi="Verdana"/>
          <w:sz w:val="18"/>
        </w:rPr>
        <w:t>.</w:t>
      </w:r>
    </w:p>
    <w:p w14:paraId="3E040B86" w14:textId="03987076" w:rsidR="00E15ECC" w:rsidRPr="00845CB5" w:rsidRDefault="0064357F" w:rsidP="00903622">
      <w:pPr>
        <w:ind w:right="-149"/>
        <w:rPr>
          <w:rFonts w:ascii="Verdana" w:hAnsi="Verdana"/>
          <w:sz w:val="18"/>
          <w:szCs w:val="18"/>
        </w:rPr>
      </w:pPr>
      <w:r>
        <w:rPr>
          <w:rFonts w:ascii="Verdana" w:hAnsi="Verdana"/>
          <w:sz w:val="18"/>
        </w:rPr>
        <w:t xml:space="preserve">Toutes les composantes pertinentes de l’analyse des options de réponse qui peuvent être évaluées avant la crise dans le cadre de </w:t>
      </w:r>
      <w:r w:rsidR="00CD352F">
        <w:rPr>
          <w:rFonts w:ascii="Verdana" w:hAnsi="Verdana"/>
          <w:sz w:val="18"/>
        </w:rPr>
        <w:t>la PTM</w:t>
      </w:r>
      <w:r>
        <w:rPr>
          <w:rFonts w:ascii="Verdana" w:hAnsi="Verdana"/>
          <w:sz w:val="18"/>
        </w:rPr>
        <w:t xml:space="preserve"> sont incluses dans la </w:t>
      </w:r>
      <w:proofErr w:type="spellStart"/>
      <w:r w:rsidR="00B05410">
        <w:rPr>
          <w:rFonts w:ascii="Verdana" w:hAnsi="Verdana"/>
          <w:sz w:val="18"/>
        </w:rPr>
        <w:t>baseline</w:t>
      </w:r>
      <w:proofErr w:type="spellEnd"/>
      <w:r w:rsidR="00B05410">
        <w:rPr>
          <w:rFonts w:ascii="Verdana" w:hAnsi="Verdana"/>
          <w:sz w:val="18"/>
        </w:rPr>
        <w:t xml:space="preserve"> de référence</w:t>
      </w:r>
      <w:r>
        <w:rPr>
          <w:rFonts w:ascii="Verdana" w:hAnsi="Verdana"/>
          <w:sz w:val="18"/>
        </w:rPr>
        <w:t xml:space="preserve">. Des suggestions de données secondaires, des liens vers des outils pertinents de </w:t>
      </w:r>
      <w:proofErr w:type="spellStart"/>
      <w:r>
        <w:rPr>
          <w:rFonts w:ascii="Verdana" w:hAnsi="Verdana"/>
          <w:sz w:val="18"/>
        </w:rPr>
        <w:t>Ci</w:t>
      </w:r>
      <w:r w:rsidR="005C5B6A">
        <w:rPr>
          <w:rFonts w:ascii="Verdana" w:hAnsi="Verdana"/>
          <w:sz w:val="18"/>
        </w:rPr>
        <w:t>E</w:t>
      </w:r>
      <w:proofErr w:type="spellEnd"/>
      <w:r>
        <w:rPr>
          <w:rFonts w:ascii="Verdana" w:hAnsi="Verdana"/>
          <w:sz w:val="18"/>
        </w:rPr>
        <w:t xml:space="preserve"> </w:t>
      </w:r>
      <w:r w:rsidR="00B05410">
        <w:rPr>
          <w:rFonts w:ascii="Verdana" w:hAnsi="Verdana"/>
          <w:sz w:val="18"/>
        </w:rPr>
        <w:t xml:space="preserve">(Cash in Emergencies) </w:t>
      </w:r>
      <w:r>
        <w:rPr>
          <w:rFonts w:ascii="Verdana" w:hAnsi="Verdana"/>
          <w:sz w:val="18"/>
        </w:rPr>
        <w:t>et de ERM/GAM</w:t>
      </w:r>
      <w:r w:rsidR="00B05410">
        <w:rPr>
          <w:rFonts w:ascii="Verdana" w:hAnsi="Verdana"/>
          <w:sz w:val="18"/>
        </w:rPr>
        <w:t xml:space="preserve"> (Evaluation Rapide des Marchés</w:t>
      </w:r>
      <w:r w:rsidR="00D44A85">
        <w:rPr>
          <w:rFonts w:ascii="Verdana" w:hAnsi="Verdana"/>
          <w:sz w:val="18"/>
        </w:rPr>
        <w:t>/Guide d’Analyse des Marchés</w:t>
      </w:r>
      <w:r w:rsidR="00B05410">
        <w:rPr>
          <w:rFonts w:ascii="Verdana" w:hAnsi="Verdana"/>
          <w:sz w:val="18"/>
        </w:rPr>
        <w:t>)</w:t>
      </w:r>
      <w:r>
        <w:rPr>
          <w:rFonts w:ascii="Verdana" w:hAnsi="Verdana"/>
          <w:sz w:val="18"/>
        </w:rPr>
        <w:t>, ainsi que de nouveaux outils externes d’analyse de base de TM avant une crise, sont fournis en même temps que le modèle pour appuyer la collecte et l’analyse des données. Les outils et l’approche exacts peuvent être adaptés en fonction des besoins et du contexte des SN.</w:t>
      </w:r>
    </w:p>
    <w:p w14:paraId="0D6CEEE6" w14:textId="77777777" w:rsidR="004C3C23" w:rsidRPr="002036DF" w:rsidRDefault="004C3C23" w:rsidP="00903622">
      <w:pPr>
        <w:ind w:left="-284" w:right="-149" w:firstLine="284"/>
        <w:rPr>
          <w:rFonts w:ascii="Verdana" w:hAnsi="Verdana"/>
          <w:b/>
          <w:bCs/>
          <w:color w:val="000000" w:themeColor="text1"/>
          <w:sz w:val="16"/>
          <w:szCs w:val="16"/>
        </w:rPr>
      </w:pPr>
    </w:p>
    <w:p w14:paraId="5A7B9D0C" w14:textId="0A1F029D" w:rsidR="0023640D" w:rsidRPr="009C6AB6" w:rsidRDefault="493B6DA4" w:rsidP="2D45DB26">
      <w:pPr>
        <w:ind w:left="-284" w:right="-149" w:firstLine="284"/>
        <w:rPr>
          <w:rFonts w:ascii="Verdana" w:hAnsi="Verdana"/>
          <w:color w:val="000000" w:themeColor="text1"/>
          <w:sz w:val="16"/>
          <w:szCs w:val="16"/>
        </w:rPr>
      </w:pPr>
      <w:r>
        <w:rPr>
          <w:rFonts w:ascii="Verdana" w:hAnsi="Verdana"/>
          <w:color w:val="000000" w:themeColor="text1"/>
          <w:sz w:val="16"/>
        </w:rPr>
        <w:t xml:space="preserve">Figure 1 – étapes de la chronologie </w:t>
      </w:r>
      <w:r w:rsidR="00CD352F">
        <w:rPr>
          <w:rFonts w:ascii="Verdana" w:hAnsi="Verdana"/>
          <w:color w:val="000000" w:themeColor="text1"/>
          <w:sz w:val="16"/>
        </w:rPr>
        <w:t>PTM</w:t>
      </w:r>
    </w:p>
    <w:p w14:paraId="2079C342" w14:textId="18232663" w:rsidR="00201F4A" w:rsidRDefault="004B4295" w:rsidP="00903622">
      <w:pPr>
        <w:ind w:left="-284" w:right="-149"/>
        <w:rPr>
          <w:b/>
          <w:bCs/>
          <w:color w:val="000000" w:themeColor="text1"/>
          <w:sz w:val="18"/>
          <w:szCs w:val="18"/>
        </w:rPr>
      </w:pPr>
      <w:r>
        <w:rPr>
          <w:noProof/>
        </w:rPr>
        <mc:AlternateContent>
          <mc:Choice Requires="wps">
            <w:drawing>
              <wp:anchor distT="0" distB="0" distL="114300" distR="114300" simplePos="0" relativeHeight="251676672" behindDoc="0" locked="0" layoutInCell="1" allowOverlap="1" wp14:anchorId="1198EC0D" wp14:editId="7DBE9FB7">
                <wp:simplePos x="0" y="0"/>
                <wp:positionH relativeFrom="column">
                  <wp:posOffset>3699217</wp:posOffset>
                </wp:positionH>
                <wp:positionV relativeFrom="paragraph">
                  <wp:posOffset>39566</wp:posOffset>
                </wp:positionV>
                <wp:extent cx="1469390" cy="772795"/>
                <wp:effectExtent l="50800" t="25400" r="80010" b="90805"/>
                <wp:wrapNone/>
                <wp:docPr id="4" name="Chevron 4">
                  <a:extLst xmlns:a="http://schemas.openxmlformats.org/drawingml/2006/main">
                    <a:ext uri="{FF2B5EF4-FFF2-40B4-BE49-F238E27FC236}">
                      <a16:creationId xmlns:a16="http://schemas.microsoft.com/office/drawing/2014/main" id="{895568C2-7408-377A-2023-0221B32F57DA}"/>
                    </a:ext>
                  </a:extLst>
                </wp:docPr>
                <wp:cNvGraphicFramePr/>
                <a:graphic xmlns:a="http://schemas.openxmlformats.org/drawingml/2006/main">
                  <a:graphicData uri="http://schemas.microsoft.com/office/word/2010/wordprocessingShape">
                    <wps:wsp>
                      <wps:cNvSpPr/>
                      <wps:spPr>
                        <a:xfrm>
                          <a:off x="0" y="0"/>
                          <a:ext cx="1469390" cy="772795"/>
                        </a:xfrm>
                        <a:prstGeom prst="chevron">
                          <a:avLst/>
                        </a:prstGeom>
                        <a:gradFill>
                          <a:gsLst>
                            <a:gs pos="0">
                              <a:schemeClr val="accent1"/>
                            </a:gs>
                            <a:gs pos="100000">
                              <a:schemeClr val="accent1">
                                <a:tint val="50000"/>
                                <a:shade val="100000"/>
                                <a:satMod val="350000"/>
                              </a:schemeClr>
                            </a:gs>
                          </a:gsLst>
                        </a:gradFill>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600969F7" w14:textId="77777777" w:rsidR="004C0D65" w:rsidRPr="00581A7D" w:rsidRDefault="004C0D65" w:rsidP="00201F4A">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Animer les formations TM initiales</w:t>
                            </w:r>
                          </w:p>
                        </w:txbxContent>
                      </wps:txbx>
                      <wps:bodyPr rtlCol="0" anchor="ctr"/>
                    </wps:wsp>
                  </a:graphicData>
                </a:graphic>
              </wp:anchor>
            </w:drawing>
          </mc:Choice>
          <mc:Fallback>
            <w:pict>
              <v:shapetype w14:anchorId="1198EC0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6" type="#_x0000_t55" style="position:absolute;left:0;text-align:left;margin-left:291.3pt;margin-top:3.1pt;width:115.7pt;height:60.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" adj="15920" fillcolor="#4f81bd [3204]" strokecolor="#548dd4 [1951]">
                <v:fill color2="#a7bfde [1620]" rotate="t" angle="180" focus="100%" type="gradient">
                  <o:fill v:ext="view" type="gradientUnscaled"/>
                </v:fill>
                <v:shadow on="t" color="black" opacity="22937f" origin=",.5" offset="0,.63889mm"/>
                <v:textbox>
                  <w:txbxContent>
                    <w:p w14:paraId="600969F7" w14:textId="77777777" w:rsidR="004C0D65" w:rsidRPr="00581A7D" w:rsidRDefault="004C0D65" w:rsidP="00201F4A">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Animer les formations TM initiales</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3DE5129" wp14:editId="15022CD7">
                <wp:simplePos x="0" y="0"/>
                <wp:positionH relativeFrom="column">
                  <wp:posOffset>2711939</wp:posOffset>
                </wp:positionH>
                <wp:positionV relativeFrom="paragraph">
                  <wp:posOffset>49579</wp:posOffset>
                </wp:positionV>
                <wp:extent cx="1376045" cy="772795"/>
                <wp:effectExtent l="50800" t="25400" r="71755" b="90805"/>
                <wp:wrapNone/>
                <wp:docPr id="7" name="Chevron 5">
                  <a:extLst xmlns:a="http://schemas.openxmlformats.org/drawingml/2006/main">
                    <a:ext uri="{FF2B5EF4-FFF2-40B4-BE49-F238E27FC236}">
                      <a16:creationId xmlns:a16="http://schemas.microsoft.com/office/drawing/2014/main" id="{F8B4B7D6-B3F0-74D2-253D-972337B2A08C}"/>
                    </a:ext>
                  </a:extLst>
                </wp:docPr>
                <wp:cNvGraphicFramePr/>
                <a:graphic xmlns:a="http://schemas.openxmlformats.org/drawingml/2006/main">
                  <a:graphicData uri="http://schemas.microsoft.com/office/word/2010/wordprocessingShape">
                    <wps:wsp>
                      <wps:cNvSpPr/>
                      <wps:spPr>
                        <a:xfrm>
                          <a:off x="0" y="0"/>
                          <a:ext cx="1376045" cy="772795"/>
                        </a:xfrm>
                        <a:prstGeom prst="chevron">
                          <a:avLst/>
                        </a:prstGeom>
                        <a:solidFill>
                          <a:schemeClr val="accent1"/>
                        </a:solidFill>
                        <a:ln>
                          <a:solidFill>
                            <a:schemeClr val="tx2"/>
                          </a:solidFill>
                        </a:ln>
                      </wps:spPr>
                      <wps:style>
                        <a:lnRef idx="1">
                          <a:schemeClr val="accent1"/>
                        </a:lnRef>
                        <a:fillRef idx="3">
                          <a:schemeClr val="accent1"/>
                        </a:fillRef>
                        <a:effectRef idx="2">
                          <a:schemeClr val="accent1"/>
                        </a:effectRef>
                        <a:fontRef idx="minor">
                          <a:schemeClr val="lt1"/>
                        </a:fontRef>
                      </wps:style>
                      <wps:txbx>
                        <w:txbxContent>
                          <w:p w14:paraId="7AEE75EF" w14:textId="1E94508A" w:rsidR="004C0D65" w:rsidRPr="00696C93" w:rsidRDefault="00696C93" w:rsidP="00050678">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 xml:space="preserve">Référence des TM en interne </w:t>
                            </w:r>
                          </w:p>
                        </w:txbxContent>
                      </wps:txbx>
                      <wps:bodyPr wrap="square" rtlCol="0" anchor="ctr"/>
                    </wps:wsp>
                  </a:graphicData>
                </a:graphic>
                <wp14:sizeRelH relativeFrom="margin">
                  <wp14:pctWidth>0</wp14:pctWidth>
                </wp14:sizeRelH>
              </wp:anchor>
            </w:drawing>
          </mc:Choice>
          <mc:Fallback>
            <w:pict>
              <v:shape w14:anchorId="13DE5129" id="Chevron 5" o:spid="_x0000_s1027" type="#_x0000_t55" style="position:absolute;left:0;text-align:left;margin-left:213.55pt;margin-top:3.9pt;width:108.35pt;height:60.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" adj="15535" fillcolor="#4f81bd [3204]" strokecolor="#1f497d [3215]">
                <v:shadow on="t" color="black" opacity="22937f" origin=",.5" offset="0,.63889mm"/>
                <v:textbox>
                  <w:txbxContent>
                    <w:p w14:paraId="7AEE75EF" w14:textId="1E94508A" w:rsidR="004C0D65" w:rsidRPr="00696C93" w:rsidRDefault="00696C93" w:rsidP="00050678">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 xml:space="preserve">Référence des TM en interne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A363A48" wp14:editId="0F7EE33D">
                <wp:simplePos x="0" y="0"/>
                <wp:positionH relativeFrom="column">
                  <wp:posOffset>4794885</wp:posOffset>
                </wp:positionH>
                <wp:positionV relativeFrom="paragraph">
                  <wp:posOffset>51435</wp:posOffset>
                </wp:positionV>
                <wp:extent cx="1491615" cy="772795"/>
                <wp:effectExtent l="50800" t="25400" r="83185" b="90805"/>
                <wp:wrapNone/>
                <wp:docPr id="5" name="Chevron 5">
                  <a:extLst xmlns:a="http://schemas.openxmlformats.org/drawingml/2006/main">
                    <a:ext uri="{FF2B5EF4-FFF2-40B4-BE49-F238E27FC236}">
                      <a16:creationId xmlns:a16="http://schemas.microsoft.com/office/drawing/2014/main" id="{F8B4B7D6-B3F0-74D2-253D-972337B2A08C}"/>
                    </a:ext>
                  </a:extLst>
                </wp:docPr>
                <wp:cNvGraphicFramePr/>
                <a:graphic xmlns:a="http://schemas.openxmlformats.org/drawingml/2006/main">
                  <a:graphicData uri="http://schemas.microsoft.com/office/word/2010/wordprocessingShape">
                    <wps:wsp>
                      <wps:cNvSpPr/>
                      <wps:spPr>
                        <a:xfrm>
                          <a:off x="0" y="0"/>
                          <a:ext cx="1491615" cy="772795"/>
                        </a:xfrm>
                        <a:prstGeom prst="chevron">
                          <a:avLst/>
                        </a:prstGeom>
                        <a:noFill/>
                        <a:ln w="22225">
                          <a:solidFill>
                            <a:schemeClr val="tx2"/>
                          </a:solidFill>
                        </a:ln>
                      </wps:spPr>
                      <wps:style>
                        <a:lnRef idx="1">
                          <a:schemeClr val="accent1"/>
                        </a:lnRef>
                        <a:fillRef idx="3">
                          <a:schemeClr val="accent1"/>
                        </a:fillRef>
                        <a:effectRef idx="2">
                          <a:schemeClr val="accent1"/>
                        </a:effectRef>
                        <a:fontRef idx="minor">
                          <a:schemeClr val="lt1"/>
                        </a:fontRef>
                      </wps:style>
                      <wps:txbx>
                        <w:txbxContent>
                          <w:p w14:paraId="643302A4" w14:textId="0345C8B4" w:rsidR="004C0D65" w:rsidRPr="00696C93" w:rsidRDefault="00696C93" w:rsidP="00201F4A">
                            <w:pPr>
                              <w:spacing w:line="276" w:lineRule="auto"/>
                              <w:jc w:val="center"/>
                              <w:rPr>
                                <w:rFonts w:ascii="Arial Narrow" w:eastAsia="MS Mincho" w:hAnsi="Arial Narrow" w:cs="Arial"/>
                                <w:b/>
                                <w:color w:val="000000"/>
                                <w:kern w:val="24"/>
                                <w:sz w:val="18"/>
                                <w:szCs w:val="18"/>
                              </w:rPr>
                            </w:pPr>
                            <w:r>
                              <w:rPr>
                                <w:rFonts w:ascii="Arial Narrow" w:hAnsi="Arial Narrow"/>
                                <w:b/>
                                <w:color w:val="000000"/>
                                <w:sz w:val="18"/>
                              </w:rPr>
                              <w:t>Référence des TM externes</w:t>
                            </w:r>
                          </w:p>
                        </w:txbxContent>
                      </wps:txbx>
                      <wps:bodyPr wrap="square" rtlCol="0" anchor="ctr"/>
                    </wps:wsp>
                  </a:graphicData>
                </a:graphic>
                <wp14:sizeRelH relativeFrom="margin">
                  <wp14:pctWidth>0</wp14:pctWidth>
                </wp14:sizeRelH>
              </wp:anchor>
            </w:drawing>
          </mc:Choice>
          <mc:Fallback>
            <w:pict>
              <v:shape w14:anchorId="6A363A48" id="_x0000_s1028" type="#_x0000_t55" style="position:absolute;left:0;text-align:left;margin-left:377.55pt;margin-top:4.05pt;width:117.45pt;height:60.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" adj="16005" filled="f" strokecolor="#1f497d [3215]" strokeweight="1.75pt">
                <v:shadow on="t" color="black" opacity="22937f" origin=",.5" offset="0,.63889mm"/>
                <v:textbox>
                  <w:txbxContent>
                    <w:p w14:paraId="643302A4" w14:textId="0345C8B4" w:rsidR="004C0D65" w:rsidRPr="00696C93" w:rsidRDefault="00696C93" w:rsidP="00201F4A">
                      <w:pPr>
                        <w:spacing w:line="276" w:lineRule="auto"/>
                        <w:jc w:val="center"/>
                        <w:rPr>
                          <w:rFonts w:ascii="Arial Narrow" w:eastAsia="MS Mincho" w:hAnsi="Arial Narrow" w:cs="Arial"/>
                          <w:b/>
                          <w:color w:val="000000"/>
                          <w:kern w:val="24"/>
                          <w:sz w:val="18"/>
                          <w:szCs w:val="18"/>
                        </w:rPr>
                      </w:pPr>
                      <w:r>
                        <w:rPr>
                          <w:rFonts w:ascii="Arial Narrow" w:hAnsi="Arial Narrow"/>
                          <w:b/>
                          <w:color w:val="000000"/>
                          <w:sz w:val="18"/>
                        </w:rPr>
                        <w:t>Référence des TM externes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FBF3F29" wp14:editId="11E0584E">
                <wp:simplePos x="0" y="0"/>
                <wp:positionH relativeFrom="column">
                  <wp:posOffset>1600200</wp:posOffset>
                </wp:positionH>
                <wp:positionV relativeFrom="paragraph">
                  <wp:posOffset>47625</wp:posOffset>
                </wp:positionV>
                <wp:extent cx="1485900" cy="772795"/>
                <wp:effectExtent l="50800" t="25400" r="88900" b="90805"/>
                <wp:wrapNone/>
                <wp:docPr id="3" name="Chevron 3">
                  <a:extLst xmlns:a="http://schemas.openxmlformats.org/drawingml/2006/main">
                    <a:ext uri="{FF2B5EF4-FFF2-40B4-BE49-F238E27FC236}">
                      <a16:creationId xmlns:a16="http://schemas.microsoft.com/office/drawing/2014/main" id="{6A223EF0-5685-3179-18DF-3FF24DA06E59}"/>
                    </a:ext>
                  </a:extLst>
                </wp:docPr>
                <wp:cNvGraphicFramePr/>
                <a:graphic xmlns:a="http://schemas.openxmlformats.org/drawingml/2006/main">
                  <a:graphicData uri="http://schemas.microsoft.com/office/word/2010/wordprocessingShape">
                    <wps:wsp>
                      <wps:cNvSpPr/>
                      <wps:spPr>
                        <a:xfrm>
                          <a:off x="0" y="0"/>
                          <a:ext cx="1485900" cy="772795"/>
                        </a:xfrm>
                        <a:prstGeom prst="chevron">
                          <a:avLst/>
                        </a:prstGeom>
                        <a:gradFill>
                          <a:gsLst>
                            <a:gs pos="0">
                              <a:schemeClr val="tx2">
                                <a:lumMod val="40000"/>
                                <a:lumOff val="60000"/>
                              </a:schemeClr>
                            </a:gs>
                            <a:gs pos="100000">
                              <a:schemeClr val="accent1">
                                <a:tint val="50000"/>
                                <a:shade val="100000"/>
                                <a:satMod val="350000"/>
                              </a:schemeClr>
                            </a:gs>
                          </a:gsLst>
                        </a:gradFill>
                        <a:ln>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36471550" w14:textId="78DACBB3" w:rsidR="004C0D65" w:rsidRPr="00581A7D" w:rsidRDefault="004C0D65" w:rsidP="00201F4A">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 xml:space="preserve">Plan d’action </w:t>
                            </w:r>
                          </w:p>
                        </w:txbxContent>
                      </wps:txbx>
                      <wps:bodyPr wrap="square" rtlCol="0" anchor="ctr"/>
                    </wps:wsp>
                  </a:graphicData>
                </a:graphic>
                <wp14:sizeRelH relativeFrom="margin">
                  <wp14:pctWidth>0</wp14:pctWidth>
                </wp14:sizeRelH>
              </wp:anchor>
            </w:drawing>
          </mc:Choice>
          <mc:Fallback>
            <w:pict>
              <v:shape w14:anchorId="4FBF3F29" id="Chevron 3" o:spid="_x0000_s1029" type="#_x0000_t55" style="position:absolute;left:0;text-align:left;margin-left:126pt;margin-top:3.75pt;width:117pt;height:60.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" adj="15983" fillcolor="#8db3e2 [1311]" strokecolor="#8db3e2 [1311]">
                <v:fill color2="#a7bfde [1620]" rotate="t" angle="180" focus="100%" type="gradient">
                  <o:fill v:ext="view" type="gradientUnscaled"/>
                </v:fill>
                <v:shadow on="t" color="black" opacity="22937f" origin=",.5" offset="0,.63889mm"/>
                <v:textbox>
                  <w:txbxContent>
                    <w:p w14:paraId="36471550" w14:textId="78DACBB3" w:rsidR="004C0D65" w:rsidRPr="00581A7D" w:rsidRDefault="004C0D65" w:rsidP="00201F4A">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 xml:space="preserve">Plan d’action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333A8C1" wp14:editId="66A86434">
                <wp:simplePos x="0" y="0"/>
                <wp:positionH relativeFrom="column">
                  <wp:posOffset>571500</wp:posOffset>
                </wp:positionH>
                <wp:positionV relativeFrom="paragraph">
                  <wp:posOffset>47625</wp:posOffset>
                </wp:positionV>
                <wp:extent cx="1491615" cy="772795"/>
                <wp:effectExtent l="50800" t="25400" r="83185" b="90805"/>
                <wp:wrapNone/>
                <wp:docPr id="2" name="Chevron 2">
                  <a:extLst xmlns:a="http://schemas.openxmlformats.org/drawingml/2006/main">
                    <a:ext uri="{FF2B5EF4-FFF2-40B4-BE49-F238E27FC236}">
                      <a16:creationId xmlns:a16="http://schemas.microsoft.com/office/drawing/2014/main" id="{BC3231AC-D287-6D19-905C-F01125E06E98}"/>
                    </a:ext>
                  </a:extLst>
                </wp:docPr>
                <wp:cNvGraphicFramePr/>
                <a:graphic xmlns:a="http://schemas.openxmlformats.org/drawingml/2006/main">
                  <a:graphicData uri="http://schemas.microsoft.com/office/word/2010/wordprocessingShape">
                    <wps:wsp>
                      <wps:cNvSpPr/>
                      <wps:spPr>
                        <a:xfrm>
                          <a:off x="0" y="0"/>
                          <a:ext cx="1491615" cy="772795"/>
                        </a:xfrm>
                        <a:prstGeom prst="chevron">
                          <a:avLst/>
                        </a:prstGeom>
                        <a:solidFill>
                          <a:schemeClr val="tx2">
                            <a:lumMod val="20000"/>
                            <a:lumOff val="80000"/>
                          </a:schemeClr>
                        </a:solidFill>
                        <a:ln>
                          <a:solidFill>
                            <a:schemeClr val="tx2">
                              <a:lumMod val="20000"/>
                              <a:lumOff val="80000"/>
                            </a:schemeClr>
                          </a:solidFill>
                        </a:ln>
                      </wps:spPr>
                      <wps:style>
                        <a:lnRef idx="1">
                          <a:schemeClr val="accent1"/>
                        </a:lnRef>
                        <a:fillRef idx="3">
                          <a:schemeClr val="accent1"/>
                        </a:fillRef>
                        <a:effectRef idx="2">
                          <a:schemeClr val="accent1"/>
                        </a:effectRef>
                        <a:fontRef idx="minor">
                          <a:schemeClr val="lt1"/>
                        </a:fontRef>
                      </wps:style>
                      <wps:txbx>
                        <w:txbxContent>
                          <w:p w14:paraId="40CDE7EC" w14:textId="3D99CCA1" w:rsidR="004C0D65" w:rsidRPr="00581A7D" w:rsidRDefault="004C0D65" w:rsidP="00F57967">
                            <w:pPr>
                              <w:spacing w:line="276" w:lineRule="auto"/>
                              <w:ind w:right="-169"/>
                              <w:jc w:val="center"/>
                              <w:rPr>
                                <w:rFonts w:ascii="Arial Narrow" w:eastAsia="MS Mincho" w:hAnsi="Arial Narrow" w:cs="Arial"/>
                                <w:color w:val="000000"/>
                                <w:kern w:val="24"/>
                                <w:sz w:val="18"/>
                                <w:szCs w:val="18"/>
                              </w:rPr>
                            </w:pPr>
                            <w:r>
                              <w:rPr>
                                <w:rFonts w:ascii="Arial Narrow" w:hAnsi="Arial Narrow"/>
                                <w:color w:val="000000"/>
                                <w:sz w:val="18"/>
                              </w:rPr>
                              <w:t>Auto-évaluation des capacités de TM</w:t>
                            </w:r>
                          </w:p>
                        </w:txbxContent>
                      </wps:txbx>
                      <wps:bodyPr wrap="square" rtlCol="0" anchor="ctr"/>
                    </wps:wsp>
                  </a:graphicData>
                </a:graphic>
                <wp14:sizeRelH relativeFrom="margin">
                  <wp14:pctWidth>0</wp14:pctWidth>
                </wp14:sizeRelH>
              </wp:anchor>
            </w:drawing>
          </mc:Choice>
          <mc:Fallback>
            <w:pict>
              <v:shape w14:anchorId="5333A8C1" id="Chevron 2" o:spid="_x0000_s1030" type="#_x0000_t55" style="position:absolute;left:0;text-align:left;margin-left:45pt;margin-top:3.75pt;width:117.45pt;height:60.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" adj="16005" fillcolor="#c6d9f1 [671]" strokecolor="#c6d9f1 [671]">
                <v:shadow on="t" color="black" opacity="22937f" origin=",.5" offset="0,.63889mm"/>
                <v:textbox>
                  <w:txbxContent>
                    <w:p w14:paraId="40CDE7EC" w14:textId="3D99CCA1" w:rsidR="004C0D65" w:rsidRPr="00581A7D" w:rsidRDefault="004C0D65" w:rsidP="00F57967">
                      <w:pPr>
                        <w:spacing w:line="276" w:lineRule="auto"/>
                        <w:ind w:right="-169"/>
                        <w:jc w:val="center"/>
                        <w:rPr>
                          <w:rFonts w:ascii="Arial Narrow" w:eastAsia="MS Mincho" w:hAnsi="Arial Narrow" w:cs="Arial"/>
                          <w:color w:val="000000"/>
                          <w:kern w:val="24"/>
                          <w:sz w:val="18"/>
                          <w:szCs w:val="18"/>
                        </w:rPr>
                      </w:pPr>
                      <w:r>
                        <w:rPr>
                          <w:rFonts w:ascii="Arial Narrow" w:hAnsi="Arial Narrow"/>
                          <w:color w:val="000000"/>
                          <w:sz w:val="18"/>
                        </w:rPr>
                        <w:t>Auto-évaluation des capacités de TM</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65B69CF" wp14:editId="6518FDBF">
                <wp:simplePos x="0" y="0"/>
                <wp:positionH relativeFrom="column">
                  <wp:posOffset>0</wp:posOffset>
                </wp:positionH>
                <wp:positionV relativeFrom="paragraph">
                  <wp:posOffset>40005</wp:posOffset>
                </wp:positionV>
                <wp:extent cx="1028700" cy="780415"/>
                <wp:effectExtent l="50800" t="25400" r="88900" b="108585"/>
                <wp:wrapNone/>
                <wp:docPr id="34" name="Pentagon 6"/>
                <wp:cNvGraphicFramePr/>
                <a:graphic xmlns:a="http://schemas.openxmlformats.org/drawingml/2006/main">
                  <a:graphicData uri="http://schemas.microsoft.com/office/word/2010/wordprocessingShape">
                    <wps:wsp>
                      <wps:cNvSpPr/>
                      <wps:spPr>
                        <a:xfrm>
                          <a:off x="0" y="0"/>
                          <a:ext cx="1028700" cy="780415"/>
                        </a:xfrm>
                        <a:prstGeom prst="homePlate">
                          <a:avLst/>
                        </a:prstGeom>
                        <a:solidFill>
                          <a:schemeClr val="accent1">
                            <a:lumMod val="20000"/>
                            <a:lumOff val="80000"/>
                          </a:schemeClr>
                        </a:solidFill>
                        <a:ln>
                          <a:solidFill>
                            <a:schemeClr val="accent1">
                              <a:lumMod val="20000"/>
                              <a:lumOff val="80000"/>
                            </a:schemeClr>
                          </a:solidFill>
                        </a:ln>
                      </wps:spPr>
                      <wps:style>
                        <a:lnRef idx="1">
                          <a:schemeClr val="accent1"/>
                        </a:lnRef>
                        <a:fillRef idx="3">
                          <a:schemeClr val="accent1"/>
                        </a:fillRef>
                        <a:effectRef idx="2">
                          <a:schemeClr val="accent1"/>
                        </a:effectRef>
                        <a:fontRef idx="minor">
                          <a:schemeClr val="lt1"/>
                        </a:fontRef>
                      </wps:style>
                      <wps:txbx>
                        <w:txbxContent>
                          <w:p w14:paraId="5213B7E0" w14:textId="77777777" w:rsidR="004C0D65" w:rsidRPr="00581A7D" w:rsidRDefault="004C0D65" w:rsidP="00EF7F67">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Vision et stratégie de TM</w:t>
                            </w:r>
                          </w:p>
                        </w:txbxContent>
                      </wps:txbx>
                      <wps:bodyPr wrap="square" rtlCol="0" anchor="ctr"/>
                    </wps:wsp>
                  </a:graphicData>
                </a:graphic>
                <wp14:sizeRelH relativeFrom="margin">
                  <wp14:pctWidth>0</wp14:pctWidth>
                </wp14:sizeRelH>
              </wp:anchor>
            </w:drawing>
          </mc:Choice>
          <mc:Fallback>
            <w:pict>
              <v:shapetype w14:anchorId="665B69C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31" type="#_x0000_t15" style="position:absolute;left:0;text-align:left;margin-left:0;margin-top:3.15pt;width:81pt;height:61.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" adj="13407" fillcolor="#dbe5f1 [660]" strokecolor="#dbe5f1 [660]">
                <v:shadow on="t" color="black" opacity="22937f" origin=",.5" offset="0,.63889mm"/>
                <v:textbox>
                  <w:txbxContent>
                    <w:p w14:paraId="5213B7E0" w14:textId="77777777" w:rsidR="004C0D65" w:rsidRPr="00581A7D" w:rsidRDefault="004C0D65" w:rsidP="00EF7F67">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Vision et stratégie de TM</w:t>
                      </w:r>
                    </w:p>
                  </w:txbxContent>
                </v:textbox>
              </v:shape>
            </w:pict>
          </mc:Fallback>
        </mc:AlternateContent>
      </w:r>
    </w:p>
    <w:p w14:paraId="5070A6DF" w14:textId="52BC2D50" w:rsidR="002036DF" w:rsidRDefault="002036DF" w:rsidP="00903622">
      <w:pPr>
        <w:spacing w:before="240" w:after="240"/>
        <w:rPr>
          <w:rFonts w:ascii="Verdana" w:hAnsi="Verdana"/>
          <w:sz w:val="18"/>
          <w:szCs w:val="18"/>
        </w:rPr>
      </w:pPr>
    </w:p>
    <w:p w14:paraId="0F228F54" w14:textId="77777777" w:rsidR="00F33221" w:rsidRDefault="00F33221" w:rsidP="00903622">
      <w:pPr>
        <w:spacing w:before="240" w:after="240"/>
        <w:rPr>
          <w:rFonts w:ascii="Verdana" w:hAnsi="Verdana"/>
          <w:sz w:val="18"/>
          <w:szCs w:val="18"/>
        </w:rPr>
      </w:pPr>
    </w:p>
    <w:p w14:paraId="72192B11" w14:textId="77777777" w:rsidR="00F33221" w:rsidRDefault="00F33221" w:rsidP="00903622">
      <w:pPr>
        <w:spacing w:before="240" w:after="240"/>
        <w:rPr>
          <w:rFonts w:ascii="Verdana" w:hAnsi="Verdana"/>
          <w:sz w:val="18"/>
          <w:szCs w:val="18"/>
        </w:rPr>
      </w:pPr>
    </w:p>
    <w:p w14:paraId="4AFB6C43" w14:textId="2AAA0EEE" w:rsidR="004102D0" w:rsidRPr="004C3C23" w:rsidRDefault="00B052A8" w:rsidP="00903622">
      <w:pPr>
        <w:rPr>
          <w:rFonts w:ascii="Verdana" w:hAnsi="Verdana"/>
          <w:bCs/>
          <w:sz w:val="18"/>
          <w:szCs w:val="18"/>
        </w:rPr>
      </w:pPr>
      <w:r>
        <w:rPr>
          <w:rFonts w:ascii="Verdana" w:hAnsi="Verdana"/>
          <w:sz w:val="18"/>
        </w:rPr>
        <w:t xml:space="preserve">Le point focal TM dirigera la </w:t>
      </w:r>
      <w:r>
        <w:rPr>
          <w:rFonts w:ascii="Verdana" w:hAnsi="Verdana"/>
          <w:color w:val="000000" w:themeColor="text1"/>
          <w:sz w:val="18"/>
        </w:rPr>
        <w:t>référence externe pour l’analyse TM</w:t>
      </w:r>
      <w:r>
        <w:rPr>
          <w:rFonts w:ascii="Verdana" w:hAnsi="Verdana"/>
          <w:b/>
          <w:color w:val="000000" w:themeColor="text1"/>
          <w:sz w:val="18"/>
        </w:rPr>
        <w:t xml:space="preserve"> </w:t>
      </w:r>
      <w:r>
        <w:rPr>
          <w:rFonts w:ascii="Verdana" w:hAnsi="Verdana"/>
          <w:color w:val="000000" w:themeColor="text1"/>
          <w:sz w:val="18"/>
        </w:rPr>
        <w:t>avant crise</w:t>
      </w:r>
      <w:r>
        <w:rPr>
          <w:rFonts w:ascii="Verdana" w:hAnsi="Verdana"/>
          <w:sz w:val="18"/>
        </w:rPr>
        <w:t xml:space="preserve">, ainsi que les programmes au niveau de l’administration centrale et des </w:t>
      </w:r>
      <w:r w:rsidR="00F33221">
        <w:rPr>
          <w:rFonts w:ascii="Verdana" w:hAnsi="Verdana"/>
          <w:sz w:val="18"/>
        </w:rPr>
        <w:t>branches</w:t>
      </w:r>
      <w:r>
        <w:rPr>
          <w:rFonts w:ascii="Verdana" w:hAnsi="Verdana"/>
          <w:sz w:val="18"/>
        </w:rPr>
        <w:t>, avec le soutien de la logistique, des finances et de la sécurité. Des niveaux de référence distincts devraient être établis à la fois au niveau national et au niveau des services, le cas échéant.</w:t>
      </w:r>
    </w:p>
    <w:p w14:paraId="23452AB5" w14:textId="2A466EDC" w:rsidR="00FE4CFB" w:rsidRPr="004C3C23" w:rsidRDefault="00E15ECC" w:rsidP="00903622">
      <w:pPr>
        <w:spacing w:before="240" w:after="240"/>
        <w:rPr>
          <w:rFonts w:ascii="Verdana" w:hAnsi="Verdana"/>
          <w:b/>
          <w:bCs/>
          <w:sz w:val="19"/>
          <w:szCs w:val="19"/>
        </w:rPr>
      </w:pPr>
      <w:r>
        <w:rPr>
          <w:rFonts w:ascii="Verdana" w:hAnsi="Verdana"/>
          <w:b/>
          <w:sz w:val="19"/>
        </w:rPr>
        <w:t>Présentation du processus</w:t>
      </w:r>
    </w:p>
    <w:p w14:paraId="1E7593B0" w14:textId="7985AE1E" w:rsidR="004A4F67" w:rsidRPr="004C3C23" w:rsidRDefault="7F4FC305" w:rsidP="00903622">
      <w:pPr>
        <w:spacing w:before="240" w:after="240"/>
        <w:rPr>
          <w:rFonts w:ascii="Verdana" w:hAnsi="Verdana"/>
          <w:sz w:val="18"/>
          <w:szCs w:val="18"/>
        </w:rPr>
      </w:pPr>
      <w:r>
        <w:rPr>
          <w:rFonts w:ascii="Verdana" w:hAnsi="Verdana"/>
          <w:sz w:val="18"/>
        </w:rPr>
        <w:t xml:space="preserve">Les orientations suivantes sont organisées autour de sept domaines qui constituent une </w:t>
      </w:r>
      <w:proofErr w:type="spellStart"/>
      <w:r w:rsidR="00B05410">
        <w:rPr>
          <w:rFonts w:ascii="Verdana" w:hAnsi="Verdana"/>
          <w:sz w:val="18"/>
        </w:rPr>
        <w:t>baseline</w:t>
      </w:r>
      <w:proofErr w:type="spellEnd"/>
      <w:r w:rsidR="00B05410">
        <w:rPr>
          <w:rFonts w:ascii="Verdana" w:hAnsi="Verdana"/>
          <w:sz w:val="18"/>
        </w:rPr>
        <w:t xml:space="preserve"> externe de référence sur les</w:t>
      </w:r>
      <w:r>
        <w:rPr>
          <w:rFonts w:ascii="Verdana" w:hAnsi="Verdana"/>
          <w:sz w:val="18"/>
        </w:rPr>
        <w:t xml:space="preserve"> TM : </w:t>
      </w:r>
      <w:r w:rsidR="00281B36">
        <w:rPr>
          <w:rFonts w:ascii="Verdana" w:hAnsi="Verdana"/>
          <w:sz w:val="18"/>
        </w:rPr>
        <w:t>d</w:t>
      </w:r>
      <w:r>
        <w:rPr>
          <w:rFonts w:ascii="Verdana" w:hAnsi="Verdana"/>
          <w:sz w:val="18"/>
        </w:rPr>
        <w:t xml:space="preserve">omaine 1 – analyse de la situation, domaine 2 – cartographie du marché, domaine 3 – évaluation de la protection sociale et des politiques gouvernementales, domaine 4 – évaluation des préférences des communautés et des ménages et de l’accès aux TM et à leur utilisation, domaine 5 – cartographie des prestataires de services financiers et domaine 6 – analyse des risques pour les TM. Tous ces éléments éclairent ensuite le domaine 7 - décisions sur la </w:t>
      </w:r>
      <w:r w:rsidR="009A7BE4">
        <w:rPr>
          <w:rFonts w:ascii="Verdana" w:hAnsi="Verdana"/>
          <w:sz w:val="18"/>
        </w:rPr>
        <w:t>faisabilité</w:t>
      </w:r>
      <w:r>
        <w:rPr>
          <w:rFonts w:ascii="Verdana" w:hAnsi="Verdana"/>
          <w:sz w:val="18"/>
        </w:rPr>
        <w:t xml:space="preserve"> des TM et les options d’intervention.</w:t>
      </w:r>
    </w:p>
    <w:p w14:paraId="4C57797D" w14:textId="1875B268" w:rsidR="007B0DE7" w:rsidRPr="004A4F67" w:rsidRDefault="00B22E01" w:rsidP="4C0F3C97">
      <w:pPr>
        <w:spacing w:before="240" w:after="240"/>
        <w:rPr>
          <w:rFonts w:ascii="Verdana" w:hAnsi="Verdana"/>
          <w:sz w:val="16"/>
          <w:szCs w:val="16"/>
        </w:rPr>
      </w:pPr>
      <w:r>
        <w:rPr>
          <w:rFonts w:ascii="Verdana" w:hAnsi="Verdana"/>
          <w:noProof/>
          <w:sz w:val="16"/>
        </w:rPr>
        <mc:AlternateContent>
          <mc:Choice Requires="wps">
            <w:drawing>
              <wp:anchor distT="0" distB="0" distL="114300" distR="114300" simplePos="0" relativeHeight="251672576" behindDoc="0" locked="0" layoutInCell="1" allowOverlap="1" wp14:anchorId="01B99E02" wp14:editId="2552E0DE">
                <wp:simplePos x="0" y="0"/>
                <wp:positionH relativeFrom="column">
                  <wp:posOffset>5383530</wp:posOffset>
                </wp:positionH>
                <wp:positionV relativeFrom="paragraph">
                  <wp:posOffset>299085</wp:posOffset>
                </wp:positionV>
                <wp:extent cx="795020" cy="938530"/>
                <wp:effectExtent l="50800" t="25400" r="68580" b="77470"/>
                <wp:wrapNone/>
                <wp:docPr id="16" name="Rectangle 16"/>
                <wp:cNvGraphicFramePr/>
                <a:graphic xmlns:a="http://schemas.openxmlformats.org/drawingml/2006/main">
                  <a:graphicData uri="http://schemas.microsoft.com/office/word/2010/wordprocessingShape">
                    <wps:wsp>
                      <wps:cNvSpPr/>
                      <wps:spPr>
                        <a:xfrm>
                          <a:off x="0" y="0"/>
                          <a:ext cx="795020" cy="938530"/>
                        </a:xfrm>
                        <a:prstGeom prst="rect">
                          <a:avLst/>
                        </a:prstGeom>
                        <a:solidFill>
                          <a:schemeClr val="accent2"/>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063EDC37" w14:textId="029363DC" w:rsidR="004C0D65" w:rsidRPr="006D35DE" w:rsidRDefault="004C0D65" w:rsidP="006E619B">
                            <w:pPr>
                              <w:ind w:left="-142" w:right="-185"/>
                              <w:jc w:val="center"/>
                              <w:rPr>
                                <w:rFonts w:cs="Arial"/>
                                <w:color w:val="000000"/>
                                <w:kern w:val="24"/>
                                <w:sz w:val="18"/>
                                <w:szCs w:val="18"/>
                              </w:rPr>
                            </w:pPr>
                            <w:r>
                              <w:rPr>
                                <w:color w:val="000000"/>
                                <w:sz w:val="18"/>
                              </w:rPr>
                              <w:t xml:space="preserve">Décision sur la </w:t>
                            </w:r>
                            <w:proofErr w:type="spellStart"/>
                            <w:r w:rsidR="00F33221">
                              <w:rPr>
                                <w:color w:val="000000"/>
                                <w:sz w:val="18"/>
                              </w:rPr>
                              <w:t>rfaisabilité</w:t>
                            </w:r>
                            <w:proofErr w:type="spellEnd"/>
                            <w:r w:rsidR="00F33221">
                              <w:rPr>
                                <w:color w:val="000000"/>
                                <w:sz w:val="18"/>
                              </w:rPr>
                              <w:t xml:space="preserve"> </w:t>
                            </w:r>
                            <w:r>
                              <w:rPr>
                                <w:color w:val="000000"/>
                                <w:sz w:val="18"/>
                              </w:rPr>
                              <w:t>et les options de réponse des TM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1B99E02" id="Rectangle 16" o:spid="_x0000_s1032" style="position:absolute;left:0;text-align:left;margin-left:423.9pt;margin-top:23.55pt;width:62.6pt;height:7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" fillcolor="#c0504d [3205]" strokecolor="#c0504d [3205]">
                <v:shadow on="t" color="black" opacity="22937f" origin=",.5" offset="0,.63889mm"/>
                <v:textbox>
                  <w:txbxContent>
                    <w:p w14:paraId="063EDC37" w14:textId="029363DC" w:rsidR="004C0D65" w:rsidRPr="006D35DE" w:rsidRDefault="004C0D65" w:rsidP="006E619B">
                      <w:pPr>
                        <w:ind w:left="-142" w:right="-185"/>
                        <w:jc w:val="center"/>
                        <w:rPr>
                          <w:rFonts w:cs="Arial"/>
                          <w:color w:val="000000"/>
                          <w:kern w:val="24"/>
                          <w:sz w:val="18"/>
                          <w:szCs w:val="18"/>
                        </w:rPr>
                      </w:pPr>
                      <w:r>
                        <w:rPr>
                          <w:color w:val="000000"/>
                          <w:sz w:val="18"/>
                        </w:rPr>
                        <w:t xml:space="preserve">Décision sur la </w:t>
                      </w:r>
                      <w:proofErr w:type="spellStart"/>
                      <w:r w:rsidR="00F33221">
                        <w:rPr>
                          <w:color w:val="000000"/>
                          <w:sz w:val="18"/>
                        </w:rPr>
                        <w:t>rfaisabilité</w:t>
                      </w:r>
                      <w:proofErr w:type="spellEnd"/>
                      <w:r w:rsidR="00F33221">
                        <w:rPr>
                          <w:color w:val="000000"/>
                          <w:sz w:val="18"/>
                        </w:rPr>
                        <w:t xml:space="preserve"> </w:t>
                      </w:r>
                      <w:r>
                        <w:rPr>
                          <w:color w:val="000000"/>
                          <w:sz w:val="18"/>
                        </w:rPr>
                        <w:t>et les options de réponse des TM</w:t>
                      </w:r>
                    </w:p>
                  </w:txbxContent>
                </v:textbox>
              </v:rect>
            </w:pict>
          </mc:Fallback>
        </mc:AlternateContent>
      </w:r>
      <w:r>
        <w:rPr>
          <w:rFonts w:ascii="Verdana" w:hAnsi="Verdana"/>
          <w:noProof/>
          <w:sz w:val="16"/>
        </w:rPr>
        <mc:AlternateContent>
          <mc:Choice Requires="wps">
            <w:drawing>
              <wp:anchor distT="0" distB="0" distL="114300" distR="114300" simplePos="0" relativeHeight="251670528" behindDoc="0" locked="0" layoutInCell="1" allowOverlap="1" wp14:anchorId="04F7BE7C" wp14:editId="111D1F9F">
                <wp:simplePos x="0" y="0"/>
                <wp:positionH relativeFrom="column">
                  <wp:posOffset>4251960</wp:posOffset>
                </wp:positionH>
                <wp:positionV relativeFrom="paragraph">
                  <wp:posOffset>285750</wp:posOffset>
                </wp:positionV>
                <wp:extent cx="816610" cy="944245"/>
                <wp:effectExtent l="50800" t="25400" r="59690" b="71755"/>
                <wp:wrapNone/>
                <wp:docPr id="15" name="Rectangle 15"/>
                <wp:cNvGraphicFramePr/>
                <a:graphic xmlns:a="http://schemas.openxmlformats.org/drawingml/2006/main">
                  <a:graphicData uri="http://schemas.microsoft.com/office/word/2010/wordprocessingShape">
                    <wps:wsp>
                      <wps:cNvSpPr/>
                      <wps:spPr>
                        <a:xfrm>
                          <a:off x="0" y="0"/>
                          <a:ext cx="816610" cy="944245"/>
                        </a:xfrm>
                        <a:prstGeom prst="rect">
                          <a:avLst/>
                        </a:prstGeom>
                        <a:solidFill>
                          <a:schemeClr val="bg1">
                            <a:lumMod val="65000"/>
                          </a:schemeClr>
                        </a:solidFill>
                        <a:ln>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txbx>
                        <w:txbxContent>
                          <w:p w14:paraId="249B2535" w14:textId="77777777" w:rsidR="004C0D65" w:rsidRDefault="004C0D65" w:rsidP="007B0DE7">
                            <w:pPr>
                              <w:jc w:val="center"/>
                              <w:rPr>
                                <w:rFonts w:cs="Arial"/>
                                <w:color w:val="000000"/>
                                <w:kern w:val="24"/>
                                <w:sz w:val="21"/>
                                <w:szCs w:val="21"/>
                              </w:rPr>
                            </w:pPr>
                          </w:p>
                          <w:p w14:paraId="5CB88298" w14:textId="0A02B309" w:rsidR="004C0D65" w:rsidRPr="006D35DE" w:rsidRDefault="004C0D65" w:rsidP="007B0DE7">
                            <w:pPr>
                              <w:jc w:val="center"/>
                              <w:rPr>
                                <w:rFonts w:cs="Arial"/>
                                <w:color w:val="000000"/>
                                <w:kern w:val="24"/>
                                <w:sz w:val="18"/>
                                <w:szCs w:val="18"/>
                              </w:rPr>
                            </w:pPr>
                            <w:r>
                              <w:rPr>
                                <w:color w:val="000000"/>
                                <w:sz w:val="18"/>
                              </w:rPr>
                              <w:t>Analyse des risques</w:t>
                            </w:r>
                          </w:p>
                          <w:p w14:paraId="487C0637" w14:textId="0CC1C412" w:rsidR="004C0D65" w:rsidRDefault="004C0D65" w:rsidP="00FD5AE3">
                            <w:pPr>
                              <w:jc w:val="center"/>
                              <w:rPr>
                                <w:rFonts w:cs="Arial"/>
                                <w:color w:val="000000"/>
                                <w:kern w:val="24"/>
                                <w:sz w:val="21"/>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F7BE7C" id="Rectangle 15" o:spid="_x0000_s1033" style="position:absolute;left:0;text-align:left;margin-left:334.8pt;margin-top:22.5pt;width:64.3pt;height:7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" fillcolor="#a5a5a5 [2092]" strokecolor="#a5a5a5 [2092]">
                <v:shadow on="t" color="black" opacity="22937f" origin=",.5" offset="0,.63889mm"/>
                <v:textbox>
                  <w:txbxContent>
                    <w:p w14:paraId="249B2535" w14:textId="77777777" w:rsidR="004C0D65" w:rsidRDefault="004C0D65" w:rsidP="007B0DE7">
                      <w:pPr>
                        <w:jc w:val="center"/>
                        <w:rPr>
                          <w:rFonts w:cs="Arial"/>
                          <w:color w:val="000000"/>
                          <w:kern w:val="24"/>
                          <w:sz w:val="21"/>
                          <w:szCs w:val="21"/>
                        </w:rPr>
                      </w:pPr>
                    </w:p>
                    <w:p w14:paraId="5CB88298" w14:textId="0A02B309" w:rsidR="004C0D65" w:rsidRPr="006D35DE" w:rsidRDefault="004C0D65" w:rsidP="007B0DE7">
                      <w:pPr>
                        <w:jc w:val="center"/>
                        <w:rPr>
                          <w:rFonts w:cs="Arial"/>
                          <w:color w:val="000000"/>
                          <w:kern w:val="24"/>
                          <w:sz w:val="18"/>
                          <w:szCs w:val="18"/>
                        </w:rPr>
                      </w:pPr>
                      <w:r>
                        <w:rPr>
                          <w:color w:val="000000"/>
                          <w:sz w:val="18"/>
                        </w:rPr>
                        <w:t>Analyse des risques</w:t>
                      </w:r>
                    </w:p>
                    <w:p w14:paraId="487C0637" w14:textId="0CC1C412" w:rsidR="004C0D65" w:rsidRDefault="004C0D65" w:rsidP="00FD5AE3">
                      <w:pPr>
                        <w:jc w:val="center"/>
                        <w:rPr>
                          <w:rFonts w:cs="Arial"/>
                          <w:color w:val="000000"/>
                          <w:kern w:val="24"/>
                          <w:sz w:val="21"/>
                          <w:szCs w:val="21"/>
                        </w:rPr>
                      </w:pPr>
                    </w:p>
                  </w:txbxContent>
                </v:textbox>
              </v:rect>
            </w:pict>
          </mc:Fallback>
        </mc:AlternateContent>
      </w:r>
      <w:r>
        <w:rPr>
          <w:rFonts w:ascii="Verdana" w:hAnsi="Verdana"/>
          <w:noProof/>
          <w:sz w:val="16"/>
        </w:rPr>
        <mc:AlternateContent>
          <mc:Choice Requires="wps">
            <w:drawing>
              <wp:anchor distT="0" distB="0" distL="114300" distR="114300" simplePos="0" relativeHeight="251698176" behindDoc="0" locked="0" layoutInCell="1" allowOverlap="1" wp14:anchorId="315A061A" wp14:editId="046BA82E">
                <wp:simplePos x="0" y="0"/>
                <wp:positionH relativeFrom="column">
                  <wp:posOffset>3409950</wp:posOffset>
                </wp:positionH>
                <wp:positionV relativeFrom="paragraph">
                  <wp:posOffset>276860</wp:posOffset>
                </wp:positionV>
                <wp:extent cx="833755" cy="956310"/>
                <wp:effectExtent l="50800" t="25400" r="67945" b="72390"/>
                <wp:wrapNone/>
                <wp:docPr id="17" name="Rectangle 11"/>
                <wp:cNvGraphicFramePr/>
                <a:graphic xmlns:a="http://schemas.openxmlformats.org/drawingml/2006/main">
                  <a:graphicData uri="http://schemas.microsoft.com/office/word/2010/wordprocessingShape">
                    <wps:wsp>
                      <wps:cNvSpPr/>
                      <wps:spPr>
                        <a:xfrm>
                          <a:off x="0" y="0"/>
                          <a:ext cx="833755" cy="956310"/>
                        </a:xfrm>
                        <a:prstGeom prst="rect">
                          <a:avLst/>
                        </a:prstGeom>
                        <a:solidFill>
                          <a:schemeClr val="accent4">
                            <a:lumMod val="60000"/>
                            <a:lumOff val="40000"/>
                          </a:schemeClr>
                        </a:solidFill>
                        <a:ln>
                          <a:solidFill>
                            <a:schemeClr val="accent4">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5C7A2B55" w14:textId="77777777" w:rsidR="00B22E01" w:rsidRDefault="00B22E01" w:rsidP="00B22E01">
                            <w:pPr>
                              <w:jc w:val="center"/>
                              <w:rPr>
                                <w:rFonts w:cs="Arial"/>
                                <w:color w:val="000000"/>
                                <w:kern w:val="24"/>
                                <w:sz w:val="18"/>
                                <w:szCs w:val="18"/>
                              </w:rPr>
                            </w:pPr>
                          </w:p>
                          <w:p w14:paraId="311F91F4" w14:textId="232EFBAF" w:rsidR="00B22E01" w:rsidRPr="006D35DE" w:rsidRDefault="00B22E01" w:rsidP="00B22E01">
                            <w:pPr>
                              <w:jc w:val="center"/>
                              <w:rPr>
                                <w:rFonts w:cs="Arial"/>
                                <w:color w:val="000000"/>
                                <w:kern w:val="24"/>
                                <w:sz w:val="18"/>
                                <w:szCs w:val="18"/>
                              </w:rPr>
                            </w:pPr>
                            <w:r>
                              <w:rPr>
                                <w:color w:val="000000"/>
                                <w:sz w:val="18"/>
                              </w:rPr>
                              <w:t>Prestataires de services financiers</w:t>
                            </w:r>
                          </w:p>
                          <w:p w14:paraId="44E6DA4A" w14:textId="1DCC8C3B" w:rsidR="006D35DE" w:rsidRPr="006D35DE" w:rsidRDefault="006D35DE" w:rsidP="006D35DE">
                            <w:pPr>
                              <w:jc w:val="center"/>
                              <w:rPr>
                                <w:rFonts w:cs="Arial"/>
                                <w:color w:val="000000" w:themeColor="text1"/>
                                <w:kern w:val="24"/>
                                <w:sz w:val="18"/>
                                <w:szCs w:val="18"/>
                                <w:lang w:val="en-GB"/>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5A061A" id="Rectangle 11" o:spid="_x0000_s1034" style="position:absolute;left:0;text-align:left;margin-left:268.5pt;margin-top:21.8pt;width:65.65pt;height:7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" fillcolor="#b2a1c7 [1943]" strokecolor="#b2a1c7 [1943]">
                <v:shadow on="t" color="black" opacity="22937f" origin=",.5" offset="0,.63889mm"/>
                <v:textbox>
                  <w:txbxContent>
                    <w:p w14:paraId="5C7A2B55" w14:textId="77777777" w:rsidR="00B22E01" w:rsidRDefault="00B22E01" w:rsidP="00B22E01">
                      <w:pPr>
                        <w:jc w:val="center"/>
                        <w:rPr>
                          <w:rFonts w:cs="Arial"/>
                          <w:color w:val="000000"/>
                          <w:kern w:val="24"/>
                          <w:sz w:val="18"/>
                          <w:szCs w:val="18"/>
                        </w:rPr>
                      </w:pPr>
                    </w:p>
                    <w:p w14:paraId="311F91F4" w14:textId="232EFBAF" w:rsidR="00B22E01" w:rsidRPr="006D35DE" w:rsidRDefault="00B22E01" w:rsidP="00B22E01">
                      <w:pPr>
                        <w:jc w:val="center"/>
                        <w:rPr>
                          <w:rFonts w:cs="Arial"/>
                          <w:color w:val="000000"/>
                          <w:kern w:val="24"/>
                          <w:sz w:val="18"/>
                          <w:szCs w:val="18"/>
                        </w:rPr>
                      </w:pPr>
                      <w:r>
                        <w:rPr>
                          <w:color w:val="000000"/>
                          <w:sz w:val="18"/>
                        </w:rPr>
                        <w:t>Prestataires de services financiers</w:t>
                      </w:r>
                    </w:p>
                    <w:p w14:paraId="44E6DA4A" w14:textId="1DCC8C3B" w:rsidR="006D35DE" w:rsidRPr="006D35DE" w:rsidRDefault="006D35DE" w:rsidP="006D35DE">
                      <w:pPr>
                        <w:jc w:val="center"/>
                        <w:rPr>
                          <w:rFonts w:cs="Arial"/>
                          <w:color w:val="000000" w:themeColor="text1"/>
                          <w:kern w:val="24"/>
                          <w:sz w:val="18"/>
                          <w:szCs w:val="18"/>
                          <w:lang w:val="en-GB"/>
                        </w:rPr>
                      </w:pPr>
                    </w:p>
                  </w:txbxContent>
                </v:textbox>
              </v:rect>
            </w:pict>
          </mc:Fallback>
        </mc:AlternateContent>
      </w:r>
      <w:r>
        <w:rPr>
          <w:rFonts w:ascii="Verdana" w:hAnsi="Verdana"/>
          <w:noProof/>
          <w:sz w:val="16"/>
        </w:rPr>
        <mc:AlternateContent>
          <mc:Choice Requires="wps">
            <w:drawing>
              <wp:anchor distT="0" distB="0" distL="114300" distR="114300" simplePos="0" relativeHeight="251668480" behindDoc="0" locked="0" layoutInCell="1" allowOverlap="1" wp14:anchorId="555ED555" wp14:editId="0F980BE1">
                <wp:simplePos x="0" y="0"/>
                <wp:positionH relativeFrom="column">
                  <wp:posOffset>2576830</wp:posOffset>
                </wp:positionH>
                <wp:positionV relativeFrom="paragraph">
                  <wp:posOffset>276860</wp:posOffset>
                </wp:positionV>
                <wp:extent cx="817880" cy="956945"/>
                <wp:effectExtent l="50800" t="25400" r="58420" b="71755"/>
                <wp:wrapNone/>
                <wp:docPr id="24" name="Rectangle 14"/>
                <wp:cNvGraphicFramePr/>
                <a:graphic xmlns:a="http://schemas.openxmlformats.org/drawingml/2006/main">
                  <a:graphicData uri="http://schemas.microsoft.com/office/word/2010/wordprocessingShape">
                    <wps:wsp>
                      <wps:cNvSpPr/>
                      <wps:spPr>
                        <a:xfrm>
                          <a:off x="0" y="0"/>
                          <a:ext cx="817880" cy="956945"/>
                        </a:xfrm>
                        <a:prstGeom prst="rect">
                          <a:avLst/>
                        </a:prstGeom>
                        <a:solidFill>
                          <a:schemeClr val="accent5"/>
                        </a:solidFill>
                        <a:ln>
                          <a:solidFill>
                            <a:schemeClr val="accent5"/>
                          </a:solidFill>
                        </a:ln>
                      </wps:spPr>
                      <wps:style>
                        <a:lnRef idx="1">
                          <a:schemeClr val="accent1"/>
                        </a:lnRef>
                        <a:fillRef idx="3">
                          <a:schemeClr val="accent1"/>
                        </a:fillRef>
                        <a:effectRef idx="2">
                          <a:schemeClr val="accent1"/>
                        </a:effectRef>
                        <a:fontRef idx="minor">
                          <a:schemeClr val="lt1"/>
                        </a:fontRef>
                      </wps:style>
                      <wps:txbx>
                        <w:txbxContent>
                          <w:p w14:paraId="615FE70C" w14:textId="77777777" w:rsidR="00B22E01" w:rsidRDefault="00B22E01" w:rsidP="00B22E01">
                            <w:pPr>
                              <w:jc w:val="center"/>
                              <w:rPr>
                                <w:rFonts w:cs="Arial"/>
                                <w:color w:val="000000" w:themeColor="text1"/>
                                <w:kern w:val="24"/>
                                <w:sz w:val="18"/>
                                <w:szCs w:val="18"/>
                                <w14:textOutline w14:w="9525" w14:cap="rnd" w14:cmpd="sng" w14:algn="ctr">
                                  <w14:noFill/>
                                  <w14:prstDash w14:val="solid"/>
                                  <w14:bevel/>
                                </w14:textOutline>
                              </w:rPr>
                            </w:pPr>
                          </w:p>
                          <w:p w14:paraId="6600D937" w14:textId="5F588129" w:rsidR="00B22E01" w:rsidRPr="00A92296" w:rsidRDefault="00B22E01" w:rsidP="00B22E01">
                            <w:pPr>
                              <w:jc w:val="center"/>
                              <w:rPr>
                                <w:rFonts w:cs="Arial"/>
                                <w:color w:val="000000" w:themeColor="text1"/>
                                <w:kern w:val="24"/>
                                <w:sz w:val="21"/>
                                <w:szCs w:val="21"/>
                                <w14:textOutline w14:w="9525" w14:cap="rnd" w14:cmpd="sng" w14:algn="ctr">
                                  <w14:noFill/>
                                  <w14:prstDash w14:val="solid"/>
                                  <w14:bevel/>
                                </w14:textOutline>
                              </w:rPr>
                            </w:pPr>
                            <w:r>
                              <w:rPr>
                                <w:color w:val="000000" w:themeColor="text1"/>
                                <w:sz w:val="18"/>
                                <w14:textOutline w14:w="9525" w14:cap="rnd" w14:cmpd="sng" w14:algn="ctr">
                                  <w14:noFill/>
                                  <w14:prstDash w14:val="solid"/>
                                  <w14:bevel/>
                                </w14:textOutline>
                              </w:rPr>
                              <w:t>Communauté et ménages</w:t>
                            </w:r>
                          </w:p>
                          <w:p w14:paraId="3F6CA4B8" w14:textId="5718C3EF" w:rsidR="004C0D65" w:rsidRDefault="004C0D65" w:rsidP="00FD5AE3">
                            <w:pPr>
                              <w:jc w:val="center"/>
                              <w:rPr>
                                <w:rFonts w:cs="Arial"/>
                                <w:color w:val="000000"/>
                                <w:kern w:val="24"/>
                                <w:sz w:val="21"/>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5ED555" id="Rectangle 14" o:spid="_x0000_s1035" style="position:absolute;left:0;text-align:left;margin-left:202.9pt;margin-top:21.8pt;width:64.4pt;height:7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" fillcolor="#4bacc6 [3208]" strokecolor="#4bacc6 [3208]">
                <v:shadow on="t" color="black" opacity="22937f" origin=",.5" offset="0,.63889mm"/>
                <v:textbox>
                  <w:txbxContent>
                    <w:p w14:paraId="615FE70C" w14:textId="77777777" w:rsidR="00B22E01" w:rsidRDefault="00B22E01" w:rsidP="00B22E01">
                      <w:pPr>
                        <w:jc w:val="center"/>
                        <w:rPr>
                          <w:rFonts w:cs="Arial"/>
                          <w:color w:val="000000" w:themeColor="text1"/>
                          <w:kern w:val="24"/>
                          <w:sz w:val="18"/>
                          <w:szCs w:val="18"/>
                          <w14:textOutline w14:w="9525" w14:cap="rnd" w14:cmpd="sng" w14:algn="ctr">
                            <w14:noFill/>
                            <w14:prstDash w14:val="solid"/>
                            <w14:bevel/>
                          </w14:textOutline>
                        </w:rPr>
                      </w:pPr>
                    </w:p>
                    <w:p w14:paraId="6600D937" w14:textId="5F588129" w:rsidR="00B22E01" w:rsidRPr="00A92296" w:rsidRDefault="00B22E01" w:rsidP="00B22E01">
                      <w:pPr>
                        <w:jc w:val="center"/>
                        <w:rPr>
                          <w:rFonts w:cs="Arial"/>
                          <w:color w:val="000000" w:themeColor="text1"/>
                          <w:kern w:val="24"/>
                          <w:sz w:val="21"/>
                          <w:szCs w:val="21"/>
                          <w14:textOutline w14:w="9525" w14:cap="rnd" w14:cmpd="sng" w14:algn="ctr">
                            <w14:noFill/>
                            <w14:prstDash w14:val="solid"/>
                            <w14:bevel/>
                          </w14:textOutline>
                        </w:rPr>
                      </w:pPr>
                      <w:r>
                        <w:rPr>
                          <w:color w:val="000000" w:themeColor="text1"/>
                          <w:sz w:val="18"/>
                          <w14:textOutline w14:w="9525" w14:cap="rnd" w14:cmpd="sng" w14:algn="ctr">
                            <w14:noFill/>
                            <w14:prstDash w14:val="solid"/>
                            <w14:bevel/>
                          </w14:textOutline>
                        </w:rPr>
                        <w:t>Communauté et ménages</w:t>
                      </w:r>
                    </w:p>
                    <w:p w14:paraId="3F6CA4B8" w14:textId="5718C3EF" w:rsidR="004C0D65" w:rsidRDefault="004C0D65" w:rsidP="00FD5AE3">
                      <w:pPr>
                        <w:jc w:val="center"/>
                        <w:rPr>
                          <w:rFonts w:cs="Arial"/>
                          <w:color w:val="000000"/>
                          <w:kern w:val="24"/>
                          <w:sz w:val="21"/>
                          <w:szCs w:val="21"/>
                        </w:rPr>
                      </w:pPr>
                    </w:p>
                  </w:txbxContent>
                </v:textbox>
              </v:rect>
            </w:pict>
          </mc:Fallback>
        </mc:AlternateContent>
      </w:r>
      <w:r>
        <w:rPr>
          <w:rFonts w:ascii="Verdana" w:hAnsi="Verdana"/>
          <w:noProof/>
          <w:sz w:val="16"/>
        </w:rPr>
        <mc:AlternateContent>
          <mc:Choice Requires="wps">
            <w:drawing>
              <wp:anchor distT="0" distB="0" distL="114300" distR="114300" simplePos="0" relativeHeight="251700224" behindDoc="0" locked="0" layoutInCell="1" allowOverlap="1" wp14:anchorId="49B37434" wp14:editId="381E54F9">
                <wp:simplePos x="0" y="0"/>
                <wp:positionH relativeFrom="column">
                  <wp:posOffset>1717040</wp:posOffset>
                </wp:positionH>
                <wp:positionV relativeFrom="paragraph">
                  <wp:posOffset>276860</wp:posOffset>
                </wp:positionV>
                <wp:extent cx="837565" cy="956945"/>
                <wp:effectExtent l="50800" t="25400" r="64135" b="71755"/>
                <wp:wrapNone/>
                <wp:docPr id="13" name="Rectangle 13"/>
                <wp:cNvGraphicFramePr/>
                <a:graphic xmlns:a="http://schemas.openxmlformats.org/drawingml/2006/main">
                  <a:graphicData uri="http://schemas.microsoft.com/office/word/2010/wordprocessingShape">
                    <wps:wsp>
                      <wps:cNvSpPr/>
                      <wps:spPr>
                        <a:xfrm>
                          <a:off x="0" y="0"/>
                          <a:ext cx="837565" cy="956945"/>
                        </a:xfrm>
                        <a:prstGeom prst="rect">
                          <a:avLst/>
                        </a:prstGeom>
                        <a:solidFill>
                          <a:schemeClr val="accent3"/>
                        </a:solidFill>
                        <a:ln>
                          <a:solidFill>
                            <a:schemeClr val="accent3"/>
                          </a:solidFill>
                        </a:ln>
                      </wps:spPr>
                      <wps:style>
                        <a:lnRef idx="1">
                          <a:schemeClr val="accent1"/>
                        </a:lnRef>
                        <a:fillRef idx="3">
                          <a:schemeClr val="accent1"/>
                        </a:fillRef>
                        <a:effectRef idx="2">
                          <a:schemeClr val="accent1"/>
                        </a:effectRef>
                        <a:fontRef idx="minor">
                          <a:schemeClr val="lt1"/>
                        </a:fontRef>
                      </wps:style>
                      <wps:txbx>
                        <w:txbxContent>
                          <w:p w14:paraId="3291E913" w14:textId="77777777" w:rsidR="00B22E01" w:rsidRDefault="00B22E01" w:rsidP="00B22E01">
                            <w:pPr>
                              <w:jc w:val="center"/>
                              <w:rPr>
                                <w:rFonts w:cs="Arial"/>
                                <w:color w:val="000000"/>
                                <w:kern w:val="24"/>
                                <w:sz w:val="18"/>
                                <w:szCs w:val="18"/>
                              </w:rPr>
                            </w:pPr>
                          </w:p>
                          <w:p w14:paraId="7EAEB4E3" w14:textId="0F5E5FE7" w:rsidR="00B22E01" w:rsidRPr="006D35DE" w:rsidRDefault="00B22E01" w:rsidP="00B22E01">
                            <w:pPr>
                              <w:jc w:val="center"/>
                              <w:rPr>
                                <w:rFonts w:cs="Arial"/>
                                <w:color w:val="000000"/>
                                <w:kern w:val="24"/>
                                <w:sz w:val="18"/>
                                <w:szCs w:val="18"/>
                              </w:rPr>
                            </w:pPr>
                            <w:r>
                              <w:rPr>
                                <w:color w:val="000000"/>
                                <w:sz w:val="18"/>
                              </w:rPr>
                              <w:t>Gouvernement et protection sociale</w:t>
                            </w:r>
                          </w:p>
                          <w:p w14:paraId="4B3E508B" w14:textId="27398DC7" w:rsidR="00A92296" w:rsidRPr="00A92296" w:rsidRDefault="00A92296" w:rsidP="00A92296">
                            <w:pPr>
                              <w:jc w:val="center"/>
                              <w:rPr>
                                <w:rFonts w:cs="Arial"/>
                                <w:color w:val="000000" w:themeColor="text1"/>
                                <w:kern w:val="24"/>
                                <w:sz w:val="21"/>
                                <w:szCs w:val="21"/>
                                <w14:textOutline w14:w="9525" w14:cap="rnd" w14:cmpd="sng" w14:algn="ctr">
                                  <w14:noFill/>
                                  <w14:prstDash w14:val="solid"/>
                                  <w14:bevel/>
                                </w14:textOutli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9B37434" id="Rectangle 13" o:spid="_x0000_s1036" style="position:absolute;left:0;text-align:left;margin-left:135.2pt;margin-top:21.8pt;width:65.95pt;height:7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" fillcolor="#9bbb59 [3206]" strokecolor="#9bbb59 [3206]">
                <v:shadow on="t" color="black" opacity="22937f" origin=",.5" offset="0,.63889mm"/>
                <v:textbox>
                  <w:txbxContent>
                    <w:p w14:paraId="3291E913" w14:textId="77777777" w:rsidR="00B22E01" w:rsidRDefault="00B22E01" w:rsidP="00B22E01">
                      <w:pPr>
                        <w:jc w:val="center"/>
                        <w:rPr>
                          <w:rFonts w:cs="Arial"/>
                          <w:color w:val="000000"/>
                          <w:kern w:val="24"/>
                          <w:sz w:val="18"/>
                          <w:szCs w:val="18"/>
                        </w:rPr>
                      </w:pPr>
                    </w:p>
                    <w:p w14:paraId="7EAEB4E3" w14:textId="0F5E5FE7" w:rsidR="00B22E01" w:rsidRPr="006D35DE" w:rsidRDefault="00B22E01" w:rsidP="00B22E01">
                      <w:pPr>
                        <w:jc w:val="center"/>
                        <w:rPr>
                          <w:rFonts w:cs="Arial"/>
                          <w:color w:val="000000"/>
                          <w:kern w:val="24"/>
                          <w:sz w:val="18"/>
                          <w:szCs w:val="18"/>
                        </w:rPr>
                      </w:pPr>
                      <w:r>
                        <w:rPr>
                          <w:color w:val="000000"/>
                          <w:sz w:val="18"/>
                        </w:rPr>
                        <w:t>Gouvernement et protection sociale</w:t>
                      </w:r>
                    </w:p>
                    <w:p w14:paraId="4B3E508B" w14:textId="27398DC7" w:rsidR="00A92296" w:rsidRPr="00A92296" w:rsidRDefault="00A92296" w:rsidP="00A92296">
                      <w:pPr>
                        <w:jc w:val="center"/>
                        <w:rPr>
                          <w:rFonts w:cs="Arial"/>
                          <w:color w:val="000000" w:themeColor="text1"/>
                          <w:kern w:val="24"/>
                          <w:sz w:val="21"/>
                          <w:szCs w:val="21"/>
                          <w14:textOutline w14:w="9525" w14:cap="rnd" w14:cmpd="sng" w14:algn="ctr">
                            <w14:noFill/>
                            <w14:prstDash w14:val="solid"/>
                            <w14:bevel/>
                          </w14:textOutline>
                        </w:rPr>
                      </w:pPr>
                    </w:p>
                  </w:txbxContent>
                </v:textbox>
              </v:rect>
            </w:pict>
          </mc:Fallback>
        </mc:AlternateContent>
      </w:r>
      <w:r>
        <w:rPr>
          <w:rFonts w:ascii="Verdana" w:hAnsi="Verdana"/>
          <w:noProof/>
          <w:sz w:val="16"/>
        </w:rPr>
        <mc:AlternateContent>
          <mc:Choice Requires="wps">
            <w:drawing>
              <wp:anchor distT="0" distB="0" distL="114300" distR="114300" simplePos="0" relativeHeight="251660288" behindDoc="0" locked="0" layoutInCell="1" allowOverlap="1" wp14:anchorId="5C05CB43" wp14:editId="7057648A">
                <wp:simplePos x="0" y="0"/>
                <wp:positionH relativeFrom="column">
                  <wp:posOffset>875030</wp:posOffset>
                </wp:positionH>
                <wp:positionV relativeFrom="paragraph">
                  <wp:posOffset>276860</wp:posOffset>
                </wp:positionV>
                <wp:extent cx="837565" cy="956945"/>
                <wp:effectExtent l="50800" t="25400" r="64135" b="71755"/>
                <wp:wrapNone/>
                <wp:docPr id="12" name="Rectangle 12"/>
                <wp:cNvGraphicFramePr/>
                <a:graphic xmlns:a="http://schemas.openxmlformats.org/drawingml/2006/main">
                  <a:graphicData uri="http://schemas.microsoft.com/office/word/2010/wordprocessingShape">
                    <wps:wsp>
                      <wps:cNvSpPr/>
                      <wps:spPr>
                        <a:xfrm>
                          <a:off x="0" y="0"/>
                          <a:ext cx="837565" cy="956945"/>
                        </a:xfrm>
                        <a:prstGeom prst="rect">
                          <a:avLst/>
                        </a:prstGeom>
                        <a:solidFill>
                          <a:schemeClr val="accent6"/>
                        </a:solidFill>
                        <a:ln>
                          <a:solidFill>
                            <a:schemeClr val="accent6"/>
                          </a:solidFill>
                        </a:ln>
                      </wps:spPr>
                      <wps:style>
                        <a:lnRef idx="1">
                          <a:schemeClr val="accent1"/>
                        </a:lnRef>
                        <a:fillRef idx="3">
                          <a:schemeClr val="accent1"/>
                        </a:fillRef>
                        <a:effectRef idx="2">
                          <a:schemeClr val="accent1"/>
                        </a:effectRef>
                        <a:fontRef idx="minor">
                          <a:schemeClr val="lt1"/>
                        </a:fontRef>
                      </wps:style>
                      <wps:txbx>
                        <w:txbxContent>
                          <w:p w14:paraId="3ED23AEE" w14:textId="77777777" w:rsidR="00B22E01" w:rsidRDefault="00B22E01" w:rsidP="00B22E01">
                            <w:pPr>
                              <w:jc w:val="center"/>
                              <w:rPr>
                                <w:rFonts w:cs="Arial"/>
                                <w:color w:val="000000"/>
                                <w:kern w:val="24"/>
                                <w:sz w:val="18"/>
                                <w:szCs w:val="18"/>
                                <w:lang w:val="en-GB"/>
                              </w:rPr>
                            </w:pPr>
                          </w:p>
                          <w:p w14:paraId="63B8F991" w14:textId="4A4B1E32" w:rsidR="00B22E01" w:rsidRPr="006D35DE" w:rsidRDefault="00B22E01" w:rsidP="00B22E01">
                            <w:pPr>
                              <w:jc w:val="center"/>
                              <w:rPr>
                                <w:rFonts w:cs="Arial"/>
                                <w:color w:val="000000" w:themeColor="text1"/>
                                <w:kern w:val="24"/>
                                <w:sz w:val="18"/>
                                <w:szCs w:val="18"/>
                              </w:rPr>
                            </w:pPr>
                            <w:r>
                              <w:rPr>
                                <w:color w:val="000000"/>
                                <w:sz w:val="18"/>
                              </w:rPr>
                              <w:t>Schématisation du marché</w:t>
                            </w:r>
                          </w:p>
                          <w:p w14:paraId="4F73E136" w14:textId="6A52048F" w:rsidR="004C0D65" w:rsidRDefault="004C0D65" w:rsidP="00D6294E">
                            <w:pPr>
                              <w:jc w:val="center"/>
                              <w:rPr>
                                <w:rFonts w:cs="Arial"/>
                                <w:color w:val="000000"/>
                                <w:kern w:val="24"/>
                                <w:sz w:val="21"/>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05CB43" id="Rectangle 12" o:spid="_x0000_s1037" style="position:absolute;left:0;text-align:left;margin-left:68.9pt;margin-top:21.8pt;width:65.95pt;height: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" fillcolor="#f79646 [3209]" strokecolor="#f79646 [3209]">
                <v:shadow on="t" color="black" opacity="22937f" origin=",.5" offset="0,.63889mm"/>
                <v:textbox>
                  <w:txbxContent>
                    <w:p w14:paraId="3ED23AEE" w14:textId="77777777" w:rsidR="00B22E01" w:rsidRDefault="00B22E01" w:rsidP="00B22E01">
                      <w:pPr>
                        <w:jc w:val="center"/>
                        <w:rPr>
                          <w:rFonts w:cs="Arial"/>
                          <w:color w:val="000000"/>
                          <w:kern w:val="24"/>
                          <w:sz w:val="18"/>
                          <w:szCs w:val="18"/>
                          <w:lang w:val="en-GB"/>
                        </w:rPr>
                      </w:pPr>
                    </w:p>
                    <w:p w14:paraId="63B8F991" w14:textId="4A4B1E32" w:rsidR="00B22E01" w:rsidRPr="006D35DE" w:rsidRDefault="00B22E01" w:rsidP="00B22E01">
                      <w:pPr>
                        <w:jc w:val="center"/>
                        <w:rPr>
                          <w:rFonts w:cs="Arial"/>
                          <w:color w:val="000000" w:themeColor="text1"/>
                          <w:kern w:val="24"/>
                          <w:sz w:val="18"/>
                          <w:szCs w:val="18"/>
                        </w:rPr>
                      </w:pPr>
                      <w:r>
                        <w:rPr>
                          <w:color w:val="000000"/>
                          <w:sz w:val="18"/>
                        </w:rPr>
                        <w:t>Schématisation du marché</w:t>
                      </w:r>
                    </w:p>
                    <w:p w14:paraId="4F73E136" w14:textId="6A52048F" w:rsidR="004C0D65" w:rsidRDefault="004C0D65" w:rsidP="00D6294E">
                      <w:pPr>
                        <w:jc w:val="center"/>
                        <w:rPr>
                          <w:rFonts w:cs="Arial"/>
                          <w:color w:val="000000"/>
                          <w:kern w:val="24"/>
                          <w:sz w:val="21"/>
                          <w:szCs w:val="21"/>
                        </w:rPr>
                      </w:pPr>
                    </w:p>
                  </w:txbxContent>
                </v:textbox>
              </v:rect>
            </w:pict>
          </mc:Fallback>
        </mc:AlternateContent>
      </w:r>
      <w:r>
        <w:rPr>
          <w:rFonts w:ascii="Verdana" w:hAnsi="Verdana"/>
          <w:noProof/>
          <w:sz w:val="16"/>
        </w:rPr>
        <mc:AlternateContent>
          <mc:Choice Requires="wps">
            <w:drawing>
              <wp:anchor distT="0" distB="0" distL="114300" distR="114300" simplePos="0" relativeHeight="251662336" behindDoc="0" locked="0" layoutInCell="1" allowOverlap="1" wp14:anchorId="23FA3CC5" wp14:editId="43C69834">
                <wp:simplePos x="0" y="0"/>
                <wp:positionH relativeFrom="column">
                  <wp:posOffset>-30480</wp:posOffset>
                </wp:positionH>
                <wp:positionV relativeFrom="paragraph">
                  <wp:posOffset>285750</wp:posOffset>
                </wp:positionV>
                <wp:extent cx="929005" cy="948690"/>
                <wp:effectExtent l="50800" t="25400" r="61595" b="80010"/>
                <wp:wrapNone/>
                <wp:docPr id="9" name="Rectangle 11"/>
                <wp:cNvGraphicFramePr/>
                <a:graphic xmlns:a="http://schemas.openxmlformats.org/drawingml/2006/main">
                  <a:graphicData uri="http://schemas.microsoft.com/office/word/2010/wordprocessingShape">
                    <wps:wsp>
                      <wps:cNvSpPr/>
                      <wps:spPr>
                        <a:xfrm>
                          <a:off x="0" y="0"/>
                          <a:ext cx="929005" cy="948690"/>
                        </a:xfrm>
                        <a:prstGeom prst="rect">
                          <a:avLst/>
                        </a:prstGeom>
                        <a:solidFill>
                          <a:srgbClr val="E9BE11"/>
                        </a:solidFill>
                        <a:ln>
                          <a:solidFill>
                            <a:srgbClr val="E9BE11"/>
                          </a:solidFill>
                        </a:ln>
                      </wps:spPr>
                      <wps:style>
                        <a:lnRef idx="1">
                          <a:schemeClr val="accent1"/>
                        </a:lnRef>
                        <a:fillRef idx="3">
                          <a:schemeClr val="accent1"/>
                        </a:fillRef>
                        <a:effectRef idx="2">
                          <a:schemeClr val="accent1"/>
                        </a:effectRef>
                        <a:fontRef idx="minor">
                          <a:schemeClr val="lt1"/>
                        </a:fontRef>
                      </wps:style>
                      <wps:txbx>
                        <w:txbxContent>
                          <w:p w14:paraId="2AABC901" w14:textId="0AFA83A4" w:rsidR="004C0D65" w:rsidRPr="006D35DE" w:rsidRDefault="00B22E01" w:rsidP="007B0DE7">
                            <w:pPr>
                              <w:jc w:val="center"/>
                              <w:rPr>
                                <w:rFonts w:cs="Arial"/>
                                <w:color w:val="000000" w:themeColor="text1"/>
                                <w:kern w:val="24"/>
                                <w:sz w:val="18"/>
                                <w:szCs w:val="18"/>
                              </w:rPr>
                            </w:pPr>
                            <w:r>
                              <w:rPr>
                                <w:color w:val="000000" w:themeColor="text1"/>
                                <w:sz w:val="18"/>
                              </w:rPr>
                              <w:t>Analyse de situation.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3FA3CC5" id="_x0000_s1038" style="position:absolute;left:0;text-align:left;margin-left:-2.4pt;margin-top:22.5pt;width:73.15pt;height:7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" fillcolor="#e9be11" strokecolor="#e9be11">
                <v:shadow on="t" color="black" opacity="22937f" origin=",.5" offset="0,.63889mm"/>
                <v:textbox>
                  <w:txbxContent>
                    <w:p w14:paraId="2AABC901" w14:textId="0AFA83A4" w:rsidR="004C0D65" w:rsidRPr="006D35DE" w:rsidRDefault="00B22E01" w:rsidP="007B0DE7">
                      <w:pPr>
                        <w:jc w:val="center"/>
                        <w:rPr>
                          <w:rFonts w:cs="Arial"/>
                          <w:color w:val="000000" w:themeColor="text1"/>
                          <w:kern w:val="24"/>
                          <w:sz w:val="18"/>
                          <w:szCs w:val="18"/>
                        </w:rPr>
                      </w:pPr>
                      <w:r>
                        <w:rPr>
                          <w:color w:val="000000" w:themeColor="text1"/>
                          <w:sz w:val="18"/>
                        </w:rPr>
                        <w:t>Analyse de situation.</w:t>
                      </w:r>
                    </w:p>
                  </w:txbxContent>
                </v:textbox>
              </v:rect>
            </w:pict>
          </mc:Fallback>
        </mc:AlternateContent>
      </w:r>
      <w:r>
        <w:rPr>
          <w:rFonts w:ascii="Verdana" w:hAnsi="Verdana"/>
          <w:sz w:val="16"/>
        </w:rPr>
        <w:t xml:space="preserve">Figure 2 – zones de référence de </w:t>
      </w:r>
      <w:r w:rsidR="009A7BE4">
        <w:rPr>
          <w:rFonts w:ascii="Verdana" w:hAnsi="Verdana"/>
          <w:sz w:val="16"/>
        </w:rPr>
        <w:t>faisabilité</w:t>
      </w:r>
      <w:r>
        <w:rPr>
          <w:rFonts w:ascii="Verdana" w:hAnsi="Verdana"/>
          <w:sz w:val="16"/>
        </w:rPr>
        <w:t xml:space="preserve"> des TM</w:t>
      </w:r>
    </w:p>
    <w:p w14:paraId="71C75841" w14:textId="10B44185" w:rsidR="00B22E01" w:rsidRDefault="00B22E01" w:rsidP="00903622">
      <w:pPr>
        <w:rPr>
          <w:rFonts w:ascii="Verdana" w:hAnsi="Verdana"/>
          <w:b/>
          <w:sz w:val="19"/>
          <w:szCs w:val="19"/>
        </w:rPr>
      </w:pPr>
    </w:p>
    <w:p w14:paraId="79528331" w14:textId="0CEA1B14" w:rsidR="00B22E01" w:rsidRDefault="00B22E01" w:rsidP="00903622">
      <w:pPr>
        <w:rPr>
          <w:rFonts w:ascii="Verdana" w:hAnsi="Verdana"/>
          <w:b/>
          <w:sz w:val="19"/>
          <w:szCs w:val="19"/>
        </w:rPr>
      </w:pPr>
      <w:r>
        <w:rPr>
          <w:rFonts w:ascii="Verdana" w:hAnsi="Verdana"/>
          <w:b/>
          <w:noProof/>
          <w:sz w:val="16"/>
        </w:rPr>
        <mc:AlternateContent>
          <mc:Choice Requires="wps">
            <w:drawing>
              <wp:anchor distT="0" distB="0" distL="114300" distR="114300" simplePos="0" relativeHeight="251680768" behindDoc="0" locked="0" layoutInCell="1" allowOverlap="1" wp14:anchorId="2B08BE08" wp14:editId="46B5F235">
                <wp:simplePos x="0" y="0"/>
                <wp:positionH relativeFrom="column">
                  <wp:posOffset>5097245</wp:posOffset>
                </wp:positionH>
                <wp:positionV relativeFrom="paragraph">
                  <wp:posOffset>71818</wp:posOffset>
                </wp:positionV>
                <wp:extent cx="286385" cy="374015"/>
                <wp:effectExtent l="50800" t="38100" r="69215" b="83185"/>
                <wp:wrapNone/>
                <wp:docPr id="1" name="Right Arrow 1"/>
                <wp:cNvGraphicFramePr/>
                <a:graphic xmlns:a="http://schemas.openxmlformats.org/drawingml/2006/main">
                  <a:graphicData uri="http://schemas.microsoft.com/office/word/2010/wordprocessingShape">
                    <wps:wsp>
                      <wps:cNvSpPr/>
                      <wps:spPr>
                        <a:xfrm>
                          <a:off x="0" y="0"/>
                          <a:ext cx="286385" cy="374015"/>
                        </a:xfrm>
                        <a:prstGeom prst="rightArrow">
                          <a:avLst/>
                        </a:prstGeom>
                        <a:solidFill>
                          <a:schemeClr val="tx1">
                            <a:lumMod val="75000"/>
                            <a:lumOff val="25000"/>
                          </a:schemeClr>
                        </a:solidFill>
                        <a:ln>
                          <a:solidFill>
                            <a:schemeClr val="tx1">
                              <a:lumMod val="75000"/>
                              <a:lumOff val="2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w:pict>
              <v:shapetype id="_x0000_t13" coordsize="21600,21600" o:spt="13" adj="16200,5400" path="m@0,l@0@1,0@1,0@2@0@2@0,21600,21600,10800xe" w14:anchorId="4A7A0204">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 style="position:absolute;margin-left:401.35pt;margin-top:5.65pt;width:22.55pt;height:2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4040 [2429]" strokecolor="#404040 [2429]"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">
                <v:shadow on="t" color="black" opacity="22937f" offset="0,.63889mm" origin=",.5"/>
              </v:shape>
            </w:pict>
          </mc:Fallback>
        </mc:AlternateContent>
      </w:r>
    </w:p>
    <w:p w14:paraId="5D408ADE" w14:textId="355F9B1E" w:rsidR="00B22E01" w:rsidRDefault="00B22E01" w:rsidP="00903622">
      <w:pPr>
        <w:rPr>
          <w:rFonts w:ascii="Verdana" w:hAnsi="Verdana"/>
          <w:b/>
          <w:sz w:val="19"/>
          <w:szCs w:val="19"/>
        </w:rPr>
      </w:pPr>
    </w:p>
    <w:p w14:paraId="2ABFA098" w14:textId="18207DAA" w:rsidR="00B22E01" w:rsidRDefault="00B22E01" w:rsidP="00903622">
      <w:pPr>
        <w:rPr>
          <w:rFonts w:ascii="Verdana" w:hAnsi="Verdana"/>
          <w:b/>
          <w:sz w:val="19"/>
          <w:szCs w:val="19"/>
        </w:rPr>
      </w:pPr>
    </w:p>
    <w:p w14:paraId="2AAEEBCB" w14:textId="03F74078" w:rsidR="00B22E01" w:rsidRDefault="00B22E01" w:rsidP="00903622">
      <w:pPr>
        <w:rPr>
          <w:rFonts w:ascii="Verdana" w:hAnsi="Verdana"/>
          <w:b/>
          <w:sz w:val="19"/>
          <w:szCs w:val="19"/>
        </w:rPr>
      </w:pPr>
    </w:p>
    <w:p w14:paraId="4726EBE0" w14:textId="21A105F6" w:rsidR="00FE4CFB" w:rsidRPr="004C3C23" w:rsidRDefault="0099167E" w:rsidP="00903622">
      <w:pPr>
        <w:rPr>
          <w:rFonts w:ascii="Verdana" w:hAnsi="Verdana"/>
          <w:b/>
          <w:sz w:val="19"/>
          <w:szCs w:val="19"/>
        </w:rPr>
      </w:pPr>
      <w:r>
        <w:rPr>
          <w:rFonts w:ascii="Verdana" w:hAnsi="Verdana"/>
          <w:b/>
          <w:sz w:val="19"/>
        </w:rPr>
        <w:t>Collecte d’informations - données primaires et secondaires</w:t>
      </w:r>
    </w:p>
    <w:p w14:paraId="709F6A48" w14:textId="5EDB7043" w:rsidR="00FD5AE3" w:rsidRPr="004314CE" w:rsidRDefault="009A6F1F" w:rsidP="00903622">
      <w:pPr>
        <w:rPr>
          <w:rFonts w:ascii="Verdana" w:hAnsi="Verdana"/>
          <w:color w:val="000000" w:themeColor="text1"/>
          <w:sz w:val="18"/>
          <w:szCs w:val="18"/>
        </w:rPr>
      </w:pPr>
      <w:r>
        <w:rPr>
          <w:rFonts w:ascii="Verdana" w:hAnsi="Verdana"/>
          <w:sz w:val="18"/>
        </w:rPr>
        <w:t>Avant de recueillir des données primaires sur le terrain, il convient de vérifier la disponibilité de données secondaires fiables, y compris auprès des finances/de l’administration et de la logistique. Cela permettra d’économiser du temps et des ressources. S’il y a suffisamment de données secondaires, il peut s’avérer inutile de recueillir des données primaires. Par la suite, procéder à une évaluation sur le terrain pour déceler toute lacune dans les données secondaires, au besoin. Les marchés, la protection sociale et les domaines du PSF en particulier peuvent être en mesure de s’appuyer sur des données secondaires. Les sources de données secondaires suggérées sont fournies dans les domaines en question.</w:t>
      </w:r>
    </w:p>
    <w:p w14:paraId="22D46FF6" w14:textId="7642AB65" w:rsidR="004B12F4" w:rsidRPr="004B12F4" w:rsidRDefault="004C0D65" w:rsidP="2E077326">
      <w:pPr>
        <w:spacing w:after="0" w:line="276" w:lineRule="auto"/>
        <w:jc w:val="left"/>
        <w:rPr>
          <w:rFonts w:eastAsia="MS Mincho"/>
          <w:i/>
          <w:iCs/>
          <w:color w:val="FF0000"/>
          <w:sz w:val="18"/>
          <w:szCs w:val="18"/>
        </w:rPr>
      </w:pPr>
      <w:r>
        <w:rPr>
          <w:rFonts w:ascii="Verdana" w:hAnsi="Verdana"/>
          <w:sz w:val="18"/>
        </w:rPr>
        <w:t xml:space="preserve">Une liste de vérification générale de la </w:t>
      </w:r>
      <w:proofErr w:type="spellStart"/>
      <w:r w:rsidR="00B05410">
        <w:rPr>
          <w:rFonts w:ascii="Verdana" w:hAnsi="Verdana"/>
          <w:sz w:val="18"/>
        </w:rPr>
        <w:t>baseline</w:t>
      </w:r>
      <w:proofErr w:type="spellEnd"/>
      <w:r w:rsidR="00B05410">
        <w:rPr>
          <w:rFonts w:ascii="Verdana" w:hAnsi="Verdana"/>
          <w:sz w:val="18"/>
        </w:rPr>
        <w:t xml:space="preserve"> de référence</w:t>
      </w:r>
      <w:r>
        <w:rPr>
          <w:rFonts w:ascii="Verdana" w:hAnsi="Verdana"/>
          <w:sz w:val="18"/>
        </w:rPr>
        <w:t xml:space="preserve"> de </w:t>
      </w:r>
      <w:r w:rsidR="009A7BE4">
        <w:rPr>
          <w:rFonts w:ascii="Verdana" w:hAnsi="Verdana"/>
          <w:sz w:val="18"/>
        </w:rPr>
        <w:t>faisabilité</w:t>
      </w:r>
      <w:r>
        <w:rPr>
          <w:rFonts w:ascii="Verdana" w:hAnsi="Verdana"/>
          <w:sz w:val="18"/>
        </w:rPr>
        <w:t xml:space="preserve"> </w:t>
      </w:r>
      <w:r w:rsidR="009A7BE4">
        <w:rPr>
          <w:rFonts w:ascii="Verdana" w:hAnsi="Verdana"/>
          <w:sz w:val="18"/>
        </w:rPr>
        <w:t xml:space="preserve">de </w:t>
      </w:r>
      <w:r w:rsidR="00CD352F">
        <w:rPr>
          <w:rFonts w:ascii="Verdana" w:hAnsi="Verdana"/>
          <w:sz w:val="18"/>
        </w:rPr>
        <w:t>la PTM</w:t>
      </w:r>
      <w:r>
        <w:rPr>
          <w:rFonts w:ascii="Verdana" w:hAnsi="Verdana"/>
          <w:sz w:val="18"/>
        </w:rPr>
        <w:t xml:space="preserve"> est fournie, qui suggère les questions de base à poser dans les principaux domaines de référence externes et peut être recueillie à partir de données secondaires ou primaires, ou d’une combinaison. Voir </w:t>
      </w:r>
      <w:hyperlink r:id="rId11" w:history="1">
        <w:r w:rsidRPr="00015F8A">
          <w:rPr>
            <w:rStyle w:val="Hyperlink"/>
            <w:rFonts w:ascii="Verdana" w:hAnsi="Verdana"/>
            <w:i/>
            <w:sz w:val="18"/>
          </w:rPr>
          <w:t>la liste de contrôle des entrevues de base de TM externe – agences humanitaires, autorités locales et niveau communautaire.</w:t>
        </w:r>
      </w:hyperlink>
      <w:r>
        <w:rPr>
          <w:rFonts w:ascii="Verdana" w:hAnsi="Verdana"/>
          <w:i/>
          <w:color w:val="FF0000"/>
          <w:sz w:val="18"/>
        </w:rPr>
        <w:t xml:space="preserve"> </w:t>
      </w:r>
      <w:r>
        <w:rPr>
          <w:rFonts w:ascii="Verdana" w:hAnsi="Verdana"/>
          <w:color w:val="000000" w:themeColor="text1"/>
          <w:sz w:val="18"/>
        </w:rPr>
        <w:t xml:space="preserve">Les données primaires devraient être recueillies au moyen d’entrevues avec les informateurs clés et, dans certains cas, par l’entremise de groupes de discussion.  Pour les SN ayant plus de capacité ou une expérience antérieure en TM, il existe une gamme d’outils supplémentaires suggérés qui peuvent fournir des informations supplémentaires, par zone. Pour obtenir la liste des sources de données secondaires, reportez-vous à la rubrique </w:t>
      </w:r>
      <w:hyperlink r:id="rId12" w:history="1">
        <w:r w:rsidRPr="00E54B3C">
          <w:rPr>
            <w:rStyle w:val="Hyperlink"/>
            <w:rFonts w:ascii="Verdana" w:hAnsi="Verdana"/>
            <w:i/>
            <w:sz w:val="18"/>
          </w:rPr>
          <w:t xml:space="preserve">sources de données secondaires de la </w:t>
        </w:r>
        <w:proofErr w:type="spellStart"/>
        <w:r w:rsidR="009A7BE4" w:rsidRPr="00E54B3C">
          <w:rPr>
            <w:rStyle w:val="Hyperlink"/>
            <w:rFonts w:ascii="Verdana" w:hAnsi="Verdana"/>
            <w:i/>
            <w:sz w:val="18"/>
          </w:rPr>
          <w:t>baseline</w:t>
        </w:r>
        <w:proofErr w:type="spellEnd"/>
        <w:r w:rsidRPr="00E54B3C">
          <w:rPr>
            <w:rStyle w:val="Hyperlink"/>
            <w:rFonts w:ascii="Verdana" w:hAnsi="Verdana"/>
            <w:i/>
            <w:sz w:val="18"/>
          </w:rPr>
          <w:t xml:space="preserve"> TM externe</w:t>
        </w:r>
      </w:hyperlink>
      <w:r w:rsidRPr="00497478">
        <w:rPr>
          <w:rFonts w:ascii="Verdana" w:hAnsi="Verdana"/>
          <w:i/>
          <w:color w:val="C00000"/>
          <w:sz w:val="18"/>
        </w:rPr>
        <w:t xml:space="preserve"> </w:t>
      </w:r>
    </w:p>
    <w:p w14:paraId="33A2AAB0" w14:textId="4AD7E531" w:rsidR="004C0D65" w:rsidRDefault="004C0D65" w:rsidP="4C0F3C97">
      <w:pPr>
        <w:keepNext/>
        <w:keepLines/>
        <w:spacing w:after="360"/>
        <w:rPr>
          <w:rFonts w:ascii="Verdana" w:hAnsi="Verdana"/>
          <w:color w:val="000000" w:themeColor="text1"/>
          <w:sz w:val="18"/>
          <w:szCs w:val="18"/>
        </w:rPr>
      </w:pPr>
    </w:p>
    <w:p w14:paraId="164223B0" w14:textId="515E9652" w:rsidR="3587FC46" w:rsidRDefault="005F5AD4" w:rsidP="4C0F3C97">
      <w:pPr>
        <w:pStyle w:val="Heading2"/>
        <w:pBdr>
          <w:top w:val="single" w:sz="4" w:space="7" w:color="auto"/>
        </w:pBdr>
        <w:jc w:val="both"/>
        <w:rPr>
          <w:rFonts w:ascii="Verdana" w:hAnsi="Verdana"/>
          <w:sz w:val="22"/>
          <w:szCs w:val="22"/>
        </w:rPr>
      </w:pPr>
      <w:r>
        <w:rPr>
          <w:rFonts w:ascii="Verdana" w:hAnsi="Verdana"/>
          <w:sz w:val="22"/>
        </w:rPr>
        <w:t>DOMAINES DE RÉFÉRENCE externes</w:t>
      </w:r>
    </w:p>
    <w:p w14:paraId="7BD70AA4" w14:textId="419B14DD" w:rsidR="001C2068" w:rsidRPr="001C2068" w:rsidRDefault="00F11BA1" w:rsidP="00F11BA1">
      <w:pPr>
        <w:pStyle w:val="Heading2"/>
        <w:pBdr>
          <w:top w:val="none" w:sz="0" w:space="0" w:color="auto"/>
        </w:pBdr>
        <w:jc w:val="both"/>
        <w:rPr>
          <w:rFonts w:ascii="Verdana" w:hAnsi="Verdana"/>
          <w:sz w:val="22"/>
          <w:szCs w:val="22"/>
        </w:rPr>
      </w:pPr>
      <w:r>
        <w:rPr>
          <w:rFonts w:ascii="Verdana" w:hAnsi="Verdana"/>
          <w:sz w:val="22"/>
        </w:rPr>
        <w:t>1. ANALYSE DE SITUATION DES TM</w:t>
      </w:r>
    </w:p>
    <w:p w14:paraId="183708BA" w14:textId="563BE065" w:rsidR="001C2068" w:rsidRPr="001C2068" w:rsidRDefault="001C2068" w:rsidP="001C2068">
      <w:pPr>
        <w:rPr>
          <w:rFonts w:ascii="Verdana" w:hAnsi="Verdana"/>
          <w:b/>
          <w:bCs/>
          <w:sz w:val="18"/>
          <w:szCs w:val="18"/>
        </w:rPr>
      </w:pPr>
      <w:r>
        <w:rPr>
          <w:rFonts w:ascii="Verdana" w:hAnsi="Verdana"/>
          <w:b/>
          <w:sz w:val="18"/>
        </w:rPr>
        <w:t>Généralités</w:t>
      </w:r>
    </w:p>
    <w:p w14:paraId="0C6B001B" w14:textId="59CBF898" w:rsidR="002D5E21" w:rsidRPr="002D5E21" w:rsidRDefault="009A7BE4" w:rsidP="002D5E21">
      <w:pPr>
        <w:rPr>
          <w:rFonts w:ascii="Verdana" w:hAnsi="Verdana"/>
          <w:sz w:val="18"/>
          <w:szCs w:val="18"/>
        </w:rPr>
      </w:pPr>
      <w:r>
        <w:rPr>
          <w:rFonts w:ascii="Verdana" w:hAnsi="Verdana"/>
          <w:sz w:val="18"/>
        </w:rPr>
        <w:t xml:space="preserve"> </w:t>
      </w:r>
      <w:r w:rsidR="002D5E21">
        <w:rPr>
          <w:rFonts w:ascii="Verdana" w:hAnsi="Verdana"/>
          <w:sz w:val="18"/>
        </w:rPr>
        <w:t xml:space="preserve">Au début de la phase de </w:t>
      </w:r>
      <w:proofErr w:type="spellStart"/>
      <w:r>
        <w:rPr>
          <w:rFonts w:ascii="Verdana" w:hAnsi="Verdana"/>
          <w:sz w:val="18"/>
        </w:rPr>
        <w:t>baseline</w:t>
      </w:r>
      <w:proofErr w:type="spellEnd"/>
      <w:r>
        <w:rPr>
          <w:rFonts w:ascii="Verdana" w:hAnsi="Verdana"/>
          <w:sz w:val="18"/>
        </w:rPr>
        <w:t xml:space="preserve"> externe en </w:t>
      </w:r>
      <w:proofErr w:type="gramStart"/>
      <w:r>
        <w:rPr>
          <w:rFonts w:ascii="Verdana" w:hAnsi="Verdana"/>
          <w:sz w:val="18"/>
        </w:rPr>
        <w:t>TM,</w:t>
      </w:r>
      <w:r w:rsidR="002D5E21">
        <w:rPr>
          <w:rFonts w:ascii="Verdana" w:hAnsi="Verdana"/>
          <w:sz w:val="18"/>
        </w:rPr>
        <w:t>,</w:t>
      </w:r>
      <w:proofErr w:type="gramEnd"/>
      <w:r w:rsidR="002D5E21">
        <w:rPr>
          <w:rFonts w:ascii="Verdana" w:hAnsi="Verdana"/>
          <w:sz w:val="18"/>
        </w:rPr>
        <w:t xml:space="preserve"> le contexte opérationnel devrait être brièvement résumé. Ces informations peuvent être obtenues à partir d’un examen secondaire des données des documents de préparation et d’intervention des SN et des mouvements.</w:t>
      </w:r>
    </w:p>
    <w:p w14:paraId="4F6B05B1" w14:textId="77777777" w:rsidR="002D5E21" w:rsidRDefault="002D5E21" w:rsidP="002D5E21">
      <w:pPr>
        <w:rPr>
          <w:rFonts w:ascii="Verdana" w:hAnsi="Verdana"/>
          <w:sz w:val="18"/>
          <w:szCs w:val="18"/>
        </w:rPr>
      </w:pPr>
      <w:r>
        <w:rPr>
          <w:rFonts w:ascii="Verdana" w:hAnsi="Verdana"/>
          <w:sz w:val="18"/>
        </w:rPr>
        <w:t>Cela devrait être :</w:t>
      </w:r>
    </w:p>
    <w:p w14:paraId="6AEA71A4" w14:textId="3D60909E" w:rsidR="002D5E21" w:rsidRDefault="002D5E21">
      <w:pPr>
        <w:pStyle w:val="Bullet2"/>
        <w:numPr>
          <w:ilvl w:val="0"/>
          <w:numId w:val="9"/>
        </w:numPr>
        <w:rPr>
          <w:rFonts w:ascii="Verdana" w:hAnsi="Verdana"/>
          <w:sz w:val="18"/>
          <w:szCs w:val="18"/>
        </w:rPr>
      </w:pPr>
      <w:r>
        <w:rPr>
          <w:rFonts w:ascii="Verdana" w:hAnsi="Verdana"/>
          <w:sz w:val="18"/>
        </w:rPr>
        <w:lastRenderedPageBreak/>
        <w:t xml:space="preserve">Un récapitulatif des types de situations d’urgence auxquelles le mouvement est susceptible de répondre et dans ce contexte. </w:t>
      </w:r>
    </w:p>
    <w:p w14:paraId="35D258CC" w14:textId="5622767F" w:rsidR="001C2068" w:rsidRDefault="002D5E21">
      <w:pPr>
        <w:pStyle w:val="Bullet2"/>
        <w:numPr>
          <w:ilvl w:val="0"/>
          <w:numId w:val="9"/>
        </w:numPr>
        <w:rPr>
          <w:rFonts w:ascii="Verdana" w:hAnsi="Verdana"/>
          <w:sz w:val="18"/>
          <w:szCs w:val="18"/>
        </w:rPr>
      </w:pPr>
      <w:r>
        <w:rPr>
          <w:rFonts w:ascii="Verdana" w:hAnsi="Verdana"/>
          <w:sz w:val="18"/>
        </w:rPr>
        <w:t xml:space="preserve">Une brève description des principaux dangers et vulnérabilités des populations cibles les plus probables. </w:t>
      </w:r>
    </w:p>
    <w:p w14:paraId="4711E902" w14:textId="4D32BA6B" w:rsidR="00B565F3" w:rsidRPr="004C3C23" w:rsidRDefault="00F11BA1" w:rsidP="001C2068">
      <w:pPr>
        <w:pStyle w:val="Heading2"/>
        <w:pBdr>
          <w:top w:val="none" w:sz="0" w:space="0" w:color="auto"/>
        </w:pBdr>
        <w:jc w:val="both"/>
        <w:rPr>
          <w:rFonts w:ascii="Verdana" w:hAnsi="Verdana"/>
          <w:sz w:val="22"/>
          <w:szCs w:val="22"/>
        </w:rPr>
      </w:pPr>
      <w:r>
        <w:rPr>
          <w:rFonts w:ascii="Verdana" w:hAnsi="Verdana"/>
          <w:sz w:val="22"/>
        </w:rPr>
        <w:t>2. SCHÉMATISATION DU MARCHÉ</w:t>
      </w:r>
    </w:p>
    <w:p w14:paraId="55C6566C" w14:textId="250E0111" w:rsidR="00B565F3" w:rsidRPr="004C3C23" w:rsidRDefault="00EC32D6" w:rsidP="00903622">
      <w:pPr>
        <w:rPr>
          <w:rFonts w:ascii="Verdana" w:hAnsi="Verdana"/>
          <w:b/>
          <w:bCs/>
          <w:sz w:val="18"/>
          <w:szCs w:val="18"/>
        </w:rPr>
      </w:pPr>
      <w:r>
        <w:rPr>
          <w:rFonts w:ascii="Verdana" w:hAnsi="Verdana"/>
          <w:b/>
          <w:sz w:val="18"/>
        </w:rPr>
        <w:t xml:space="preserve">Généralités </w:t>
      </w:r>
    </w:p>
    <w:p w14:paraId="6675F5C7" w14:textId="2F87018E" w:rsidR="00EA6CFF" w:rsidRPr="004C3C23" w:rsidRDefault="00EA6CFF" w:rsidP="00903622">
      <w:pPr>
        <w:rPr>
          <w:rFonts w:ascii="Verdana" w:hAnsi="Verdana"/>
          <w:sz w:val="18"/>
          <w:szCs w:val="18"/>
        </w:rPr>
      </w:pPr>
      <w:r>
        <w:rPr>
          <w:rFonts w:ascii="Verdana" w:hAnsi="Verdana"/>
          <w:sz w:val="18"/>
        </w:rPr>
        <w:t>Dans le cadre de cette étape, la SN recueillera des informations sur le marché qui devraient permettre une compréhension claire et complète des conditions actuelles ou « normales » des marchés. Des informations complémentaires peuvent également être recueillies pour prévoir et structurer les effets potentiels d’un scénario de crise sur les marchés.</w:t>
      </w:r>
    </w:p>
    <w:p w14:paraId="5662CDE0" w14:textId="010CB58A" w:rsidR="00EA6CFF" w:rsidRPr="004C3C23" w:rsidRDefault="00EA6CFF" w:rsidP="00903622">
      <w:pPr>
        <w:rPr>
          <w:rFonts w:ascii="Verdana" w:hAnsi="Verdana"/>
          <w:sz w:val="18"/>
          <w:szCs w:val="18"/>
        </w:rPr>
      </w:pPr>
      <w:r>
        <w:rPr>
          <w:rFonts w:ascii="Verdana" w:hAnsi="Verdana"/>
          <w:sz w:val="18"/>
        </w:rPr>
        <w:t xml:space="preserve">Les outils fournis soutiennent à la fois le processus de structuration d’une </w:t>
      </w:r>
      <w:proofErr w:type="spellStart"/>
      <w:r w:rsidR="00B05410">
        <w:rPr>
          <w:rFonts w:ascii="Verdana" w:hAnsi="Verdana"/>
          <w:sz w:val="18"/>
        </w:rPr>
        <w:t>baseline</w:t>
      </w:r>
      <w:proofErr w:type="spellEnd"/>
      <w:r w:rsidR="00B05410">
        <w:rPr>
          <w:rFonts w:ascii="Verdana" w:hAnsi="Verdana"/>
          <w:sz w:val="18"/>
        </w:rPr>
        <w:t xml:space="preserve"> de référence</w:t>
      </w:r>
      <w:r>
        <w:rPr>
          <w:rFonts w:ascii="Verdana" w:hAnsi="Verdana"/>
          <w:sz w:val="18"/>
        </w:rPr>
        <w:t xml:space="preserve"> et la prévision des effets probables sur les marchés d’un scénario de crise choisi. </w:t>
      </w:r>
    </w:p>
    <w:p w14:paraId="2780EA83" w14:textId="6E2D3C68" w:rsidR="00EA6CFF" w:rsidRPr="004C3C23" w:rsidRDefault="15E85011" w:rsidP="00903622">
      <w:pPr>
        <w:rPr>
          <w:rFonts w:ascii="Verdana" w:hAnsi="Verdana"/>
          <w:sz w:val="18"/>
          <w:szCs w:val="18"/>
        </w:rPr>
      </w:pPr>
      <w:r>
        <w:rPr>
          <w:rFonts w:ascii="Verdana" w:hAnsi="Verdana"/>
          <w:sz w:val="18"/>
        </w:rPr>
        <w:t>Dans l’ensemble, l’élaboration d’un processus de référence du marché comprend à la fois une analyse « avant » et une analyse « après », bien que le plus gros de l’accent soit mis sur la situation actuelle du marché. L’étape supplémentaire de structuration des prévisions peut aider à montrer comment la fonctionnalité du marché, la capacité et l’accès peuvent changer à la suite d’un choc. Cela peut alors étayer une décision sur la possibilité de réaliser les TM dans un scénario de choc typique et sur la modalité la mieux adaptée au regard de la capacité du marché.</w:t>
      </w:r>
    </w:p>
    <w:p w14:paraId="17B158CB" w14:textId="77777777" w:rsidR="00EA6CFF" w:rsidRPr="004C3C23" w:rsidRDefault="00EA6CFF" w:rsidP="00903622">
      <w:pPr>
        <w:rPr>
          <w:rFonts w:ascii="Verdana" w:hAnsi="Verdana"/>
          <w:sz w:val="18"/>
          <w:szCs w:val="18"/>
        </w:rPr>
      </w:pPr>
      <w:r>
        <w:rPr>
          <w:rFonts w:ascii="Verdana" w:hAnsi="Verdana"/>
          <w:sz w:val="18"/>
        </w:rPr>
        <w:t>Dans l’ensemble, les informations pertinentes sont les suivantes :</w:t>
      </w:r>
    </w:p>
    <w:p w14:paraId="09A815E0" w14:textId="77777777" w:rsidR="00EA6CFF" w:rsidRPr="004C3C23" w:rsidRDefault="00EA6CFF">
      <w:pPr>
        <w:pStyle w:val="Bullet2"/>
        <w:numPr>
          <w:ilvl w:val="0"/>
          <w:numId w:val="9"/>
        </w:numPr>
        <w:rPr>
          <w:rFonts w:ascii="Verdana" w:hAnsi="Verdana"/>
          <w:b/>
          <w:sz w:val="18"/>
          <w:szCs w:val="18"/>
        </w:rPr>
      </w:pPr>
      <w:r>
        <w:rPr>
          <w:rFonts w:ascii="Verdana" w:hAnsi="Verdana"/>
          <w:sz w:val="18"/>
        </w:rPr>
        <w:t>Définir le scénario de crise</w:t>
      </w:r>
    </w:p>
    <w:p w14:paraId="105BF9B6" w14:textId="77777777" w:rsidR="00EA6CFF" w:rsidRPr="004C3C23" w:rsidRDefault="00EA6CFF">
      <w:pPr>
        <w:pStyle w:val="Bullet2"/>
        <w:numPr>
          <w:ilvl w:val="0"/>
          <w:numId w:val="9"/>
        </w:numPr>
        <w:rPr>
          <w:rFonts w:ascii="Verdana" w:hAnsi="Verdana"/>
          <w:b/>
          <w:sz w:val="18"/>
          <w:szCs w:val="18"/>
        </w:rPr>
      </w:pPr>
      <w:r>
        <w:rPr>
          <w:rFonts w:ascii="Verdana" w:hAnsi="Verdana"/>
          <w:sz w:val="18"/>
        </w:rPr>
        <w:t>Quels sont les systèmes de marché critiques pour la population touchée ?</w:t>
      </w:r>
    </w:p>
    <w:p w14:paraId="33876B99" w14:textId="1AB5AB68" w:rsidR="00EA6CFF" w:rsidRPr="004C3C23" w:rsidRDefault="00EA6CFF">
      <w:pPr>
        <w:pStyle w:val="Bullet2"/>
        <w:numPr>
          <w:ilvl w:val="0"/>
          <w:numId w:val="9"/>
        </w:numPr>
        <w:rPr>
          <w:rFonts w:ascii="Verdana" w:hAnsi="Verdana"/>
          <w:b/>
          <w:sz w:val="18"/>
          <w:szCs w:val="18"/>
        </w:rPr>
      </w:pPr>
      <w:r>
        <w:rPr>
          <w:rFonts w:ascii="Verdana" w:hAnsi="Verdana"/>
          <w:sz w:val="18"/>
        </w:rPr>
        <w:t>Comment les marchés sont-ils structurés ?</w:t>
      </w:r>
    </w:p>
    <w:p w14:paraId="6B5310CD" w14:textId="0D021864" w:rsidR="00382077" w:rsidRPr="00382077" w:rsidRDefault="00EA6CFF">
      <w:pPr>
        <w:pStyle w:val="Bullet2"/>
        <w:numPr>
          <w:ilvl w:val="0"/>
          <w:numId w:val="9"/>
        </w:numPr>
        <w:rPr>
          <w:rFonts w:ascii="Verdana" w:hAnsi="Verdana"/>
          <w:b/>
          <w:sz w:val="18"/>
          <w:szCs w:val="18"/>
        </w:rPr>
      </w:pPr>
      <w:r>
        <w:rPr>
          <w:rFonts w:ascii="Verdana" w:hAnsi="Verdana"/>
          <w:sz w:val="18"/>
        </w:rPr>
        <w:t xml:space="preserve">Comment les marchés se portent-ils dans une année normale (de référence) ? </w:t>
      </w:r>
    </w:p>
    <w:p w14:paraId="540EDD81" w14:textId="59550BE7" w:rsidR="00E61F6F" w:rsidRPr="004C3C23" w:rsidRDefault="00382077">
      <w:pPr>
        <w:pStyle w:val="Bullet2"/>
        <w:numPr>
          <w:ilvl w:val="0"/>
          <w:numId w:val="9"/>
        </w:numPr>
        <w:rPr>
          <w:rFonts w:ascii="Verdana" w:hAnsi="Verdana"/>
          <w:b/>
          <w:bCs/>
          <w:sz w:val="18"/>
          <w:szCs w:val="18"/>
        </w:rPr>
      </w:pPr>
      <w:r>
        <w:rPr>
          <w:rFonts w:ascii="Verdana" w:hAnsi="Verdana"/>
          <w:sz w:val="18"/>
        </w:rPr>
        <w:t>Potentiellement, comment les marchés réagiront-ils pendant le scénario de crise ? (</w:t>
      </w:r>
      <w:r>
        <w:rPr>
          <w:rFonts w:ascii="Verdana" w:hAnsi="Verdana"/>
          <w:b/>
          <w:i/>
          <w:sz w:val="18"/>
        </w:rPr>
        <w:t>Option avancée</w:t>
      </w:r>
      <w:r>
        <w:rPr>
          <w:rFonts w:ascii="Verdana" w:hAnsi="Verdana"/>
          <w:sz w:val="18"/>
        </w:rPr>
        <w:t>)</w:t>
      </w:r>
    </w:p>
    <w:p w14:paraId="387377E6" w14:textId="6C5AE2D3" w:rsidR="00EA6CFF" w:rsidRPr="004C3C23" w:rsidRDefault="00865FD5" w:rsidP="00903622">
      <w:pPr>
        <w:rPr>
          <w:rFonts w:ascii="Verdana" w:hAnsi="Verdana"/>
          <w:sz w:val="18"/>
          <w:szCs w:val="18"/>
        </w:rPr>
      </w:pPr>
      <w:r>
        <w:rPr>
          <w:rFonts w:ascii="Verdana" w:hAnsi="Verdana"/>
          <w:sz w:val="18"/>
        </w:rPr>
        <w:t xml:space="preserve">Ce processus est déjà décrit dans son intégralité dans le Guide d’analyse du marché (GAM) du CRCR. Les outils GAM pertinents ont été extraits et adaptés ici. Les utilisateurs sont peut-être déjà familiarisés avec l’ERM, qui est généralement employée pour informer les TM immédiatement après un choc. Toutefois, le GAM fournit une base plus approfondie pour la prise de décision liée au programme, ce qui est plus pertinent pour une </w:t>
      </w:r>
      <w:proofErr w:type="spellStart"/>
      <w:r w:rsidR="00B05410">
        <w:rPr>
          <w:rFonts w:ascii="Verdana" w:hAnsi="Verdana"/>
          <w:sz w:val="18"/>
        </w:rPr>
        <w:t>baseline</w:t>
      </w:r>
      <w:proofErr w:type="spellEnd"/>
      <w:r w:rsidR="00B05410">
        <w:rPr>
          <w:rFonts w:ascii="Verdana" w:hAnsi="Verdana"/>
          <w:sz w:val="18"/>
        </w:rPr>
        <w:t xml:space="preserve"> de </w:t>
      </w:r>
      <w:proofErr w:type="gramStart"/>
      <w:r w:rsidR="00B05410">
        <w:rPr>
          <w:rFonts w:ascii="Verdana" w:hAnsi="Verdana"/>
          <w:sz w:val="18"/>
        </w:rPr>
        <w:t>référence</w:t>
      </w:r>
      <w:r>
        <w:rPr>
          <w:rFonts w:ascii="Verdana" w:hAnsi="Verdana"/>
          <w:sz w:val="18"/>
        </w:rPr>
        <w:t xml:space="preserve"> </w:t>
      </w:r>
      <w:r w:rsidR="00D44A85">
        <w:rPr>
          <w:rFonts w:ascii="Verdana" w:hAnsi="Verdana"/>
          <w:sz w:val="18"/>
        </w:rPr>
        <w:t xml:space="preserve"> concernant</w:t>
      </w:r>
      <w:proofErr w:type="gramEnd"/>
      <w:r w:rsidR="00D44A85">
        <w:rPr>
          <w:rFonts w:ascii="Verdana" w:hAnsi="Verdana"/>
          <w:sz w:val="18"/>
        </w:rPr>
        <w:t xml:space="preserve"> </w:t>
      </w:r>
      <w:r w:rsidR="00CD352F">
        <w:rPr>
          <w:rFonts w:ascii="Verdana" w:hAnsi="Verdana"/>
          <w:sz w:val="18"/>
        </w:rPr>
        <w:t>la PTM</w:t>
      </w:r>
      <w:r>
        <w:rPr>
          <w:rFonts w:ascii="Verdana" w:hAnsi="Verdana"/>
          <w:sz w:val="18"/>
        </w:rPr>
        <w:t xml:space="preserve"> et une analyse de la réponse prévue par rapport à une prévision.</w:t>
      </w:r>
    </w:p>
    <w:p w14:paraId="489FF280" w14:textId="77777777" w:rsidR="004B6FE7" w:rsidRPr="004C3C23" w:rsidRDefault="004B6FE7" w:rsidP="004B6FE7">
      <w:pPr>
        <w:rPr>
          <w:rFonts w:ascii="Verdana" w:hAnsi="Verdana"/>
          <w:sz w:val="18"/>
          <w:szCs w:val="18"/>
        </w:rPr>
      </w:pPr>
      <w:r>
        <w:rPr>
          <w:rFonts w:ascii="Verdana" w:hAnsi="Verdana"/>
          <w:sz w:val="18"/>
        </w:rPr>
        <w:t>Comme pour les autres étapes du scénario de référence externe de TM pour l’analyse préalable à la crise, un examen des données secondaires disponibles devrait servir de point de départ à l’évaluation du marché. Cela peut inclure tous les rapports sur des événements passés qui étaient similaires au scénario choisi. En fonction des lacunes, des renseignements supplémentaires devraient ensuite être recueillis à partir des données primaires (informateurs clés et groupes de discussion).</w:t>
      </w:r>
    </w:p>
    <w:p w14:paraId="0FF83303" w14:textId="7F3FE767" w:rsidR="00DA00BF" w:rsidRPr="00DA00BF" w:rsidRDefault="00DA00BF" w:rsidP="00903622">
      <w:pPr>
        <w:rPr>
          <w:rFonts w:ascii="Verdana" w:hAnsi="Verdana"/>
          <w:b/>
          <w:bCs/>
          <w:sz w:val="18"/>
          <w:szCs w:val="18"/>
        </w:rPr>
      </w:pPr>
      <w:r>
        <w:rPr>
          <w:rFonts w:ascii="Verdana" w:hAnsi="Verdana"/>
          <w:b/>
          <w:sz w:val="18"/>
        </w:rPr>
        <w:t>Principaux outils</w:t>
      </w:r>
    </w:p>
    <w:p w14:paraId="548FCB5D" w14:textId="0835D060" w:rsidR="00531D0B" w:rsidRPr="00497478" w:rsidRDefault="002315A3" w:rsidP="02B77CF7">
      <w:pPr>
        <w:rPr>
          <w:rFonts w:ascii="Verdana" w:hAnsi="Verdana"/>
          <w:b/>
          <w:bCs/>
          <w:color w:val="C00000"/>
          <w:sz w:val="18"/>
          <w:szCs w:val="18"/>
        </w:rPr>
      </w:pPr>
      <w:hyperlink r:id="rId13" w:history="1">
        <w:r w:rsidR="00080A4D" w:rsidRPr="002315A3">
          <w:rPr>
            <w:rStyle w:val="Hyperlink"/>
            <w:rFonts w:ascii="Verdana" w:hAnsi="Verdana"/>
            <w:i/>
            <w:sz w:val="18"/>
          </w:rPr>
          <w:t>Liste de contrôle des entretiens de base de TM externes</w:t>
        </w:r>
      </w:hyperlink>
      <w:r w:rsidR="00080A4D" w:rsidRPr="00497478">
        <w:rPr>
          <w:rFonts w:ascii="Verdana" w:hAnsi="Verdana"/>
          <w:color w:val="C00000"/>
          <w:sz w:val="18"/>
        </w:rPr>
        <w:t xml:space="preserve">, </w:t>
      </w:r>
      <w:hyperlink r:id="rId14" w:history="1">
        <w:r w:rsidR="00080A4D" w:rsidRPr="002315A3">
          <w:rPr>
            <w:rStyle w:val="Hyperlink"/>
            <w:rFonts w:ascii="Verdana" w:hAnsi="Verdana"/>
            <w:i/>
            <w:sz w:val="18"/>
          </w:rPr>
          <w:t>sources de données secondaires de base de TM externes,</w:t>
        </w:r>
      </w:hyperlink>
      <w:r w:rsidR="00080A4D" w:rsidRPr="00497478">
        <w:rPr>
          <w:color w:val="C00000"/>
        </w:rPr>
        <w:t xml:space="preserve"> </w:t>
      </w:r>
      <w:hyperlink r:id="rId15" w:history="1">
        <w:r w:rsidR="00080A4D" w:rsidRPr="004A0800">
          <w:rPr>
            <w:rStyle w:val="Hyperlink"/>
            <w:rFonts w:ascii="Verdana" w:hAnsi="Verdana"/>
            <w:i/>
            <w:sz w:val="18"/>
          </w:rPr>
          <w:t>liste de contrôle des marchés de base de TM externes</w:t>
        </w:r>
      </w:hyperlink>
      <w:r w:rsidR="00080A4D" w:rsidRPr="00497478">
        <w:rPr>
          <w:rFonts w:ascii="Verdana" w:hAnsi="Verdana"/>
          <w:i/>
          <w:color w:val="C00000"/>
          <w:sz w:val="18"/>
        </w:rPr>
        <w:t xml:space="preserve"> (avec options avancées),</w:t>
      </w:r>
      <w:r w:rsidR="00080A4D" w:rsidRPr="00497478">
        <w:rPr>
          <w:i/>
          <w:color w:val="C00000"/>
        </w:rPr>
        <w:t xml:space="preserve"> </w:t>
      </w:r>
      <w:hyperlink r:id="rId16" w:history="1">
        <w:r w:rsidR="00080A4D" w:rsidRPr="00DF4C00">
          <w:rPr>
            <w:rStyle w:val="Hyperlink"/>
            <w:rFonts w:ascii="Verdana" w:hAnsi="Verdana"/>
            <w:i/>
            <w:sz w:val="18"/>
          </w:rPr>
          <w:t>les marchés peuvent-ils répondre aux TM ?</w:t>
        </w:r>
      </w:hyperlink>
      <w:r w:rsidR="00080A4D" w:rsidRPr="00497478">
        <w:rPr>
          <w:rFonts w:ascii="Verdana" w:hAnsi="Verdana"/>
          <w:color w:val="C00000"/>
          <w:sz w:val="18"/>
        </w:rPr>
        <w:t xml:space="preserve"> </w:t>
      </w:r>
    </w:p>
    <w:p w14:paraId="582914BE" w14:textId="28AA64FE" w:rsidR="00531D0B" w:rsidRDefault="00080A4D" w:rsidP="00903622">
      <w:pPr>
        <w:rPr>
          <w:rFonts w:ascii="Verdana" w:hAnsi="Verdana"/>
          <w:b/>
          <w:bCs/>
          <w:color w:val="000000" w:themeColor="text1"/>
          <w:sz w:val="18"/>
          <w:szCs w:val="18"/>
        </w:rPr>
      </w:pPr>
      <w:r>
        <w:rPr>
          <w:rFonts w:ascii="Verdana" w:hAnsi="Verdana"/>
          <w:b/>
          <w:color w:val="000000" w:themeColor="text1"/>
          <w:sz w:val="18"/>
        </w:rPr>
        <w:t>Voir aussi</w:t>
      </w:r>
    </w:p>
    <w:p w14:paraId="2780D10D" w14:textId="1C834D0A" w:rsidR="002E2B9C" w:rsidRPr="00497478" w:rsidRDefault="00F725B8" w:rsidP="3130A2F0">
      <w:pPr>
        <w:rPr>
          <w:rFonts w:ascii="Verdana" w:hAnsi="Verdana"/>
          <w:i/>
          <w:iCs/>
          <w:color w:val="C00000"/>
          <w:sz w:val="18"/>
          <w:szCs w:val="18"/>
        </w:rPr>
      </w:pPr>
      <w:hyperlink r:id="rId17" w:history="1">
        <w:r w:rsidR="00BD53B1" w:rsidRPr="00F725B8">
          <w:rPr>
            <w:rStyle w:val="Hyperlink"/>
            <w:rFonts w:ascii="Verdana" w:hAnsi="Verdana"/>
            <w:i/>
            <w:sz w:val="18"/>
          </w:rPr>
          <w:t>Outil ERM 11 – arbre de conclusion pour évaluer la capacité de réponse du marché</w:t>
        </w:r>
      </w:hyperlink>
      <w:r w:rsidR="00BD53B1" w:rsidRPr="00497478">
        <w:rPr>
          <w:rFonts w:ascii="Verdana" w:hAnsi="Verdana"/>
          <w:i/>
          <w:color w:val="C00000"/>
          <w:sz w:val="18"/>
        </w:rPr>
        <w:t xml:space="preserve"> </w:t>
      </w:r>
    </w:p>
    <w:p w14:paraId="3F583362" w14:textId="77777777" w:rsidR="00903622" w:rsidRPr="00903622" w:rsidRDefault="00903622" w:rsidP="00903622">
      <w:pPr>
        <w:rPr>
          <w:rFonts w:ascii="Verdana" w:hAnsi="Verdana"/>
          <w:i/>
          <w:iCs/>
          <w:color w:val="FF0000"/>
          <w:sz w:val="18"/>
          <w:szCs w:val="18"/>
        </w:rPr>
      </w:pPr>
    </w:p>
    <w:p w14:paraId="04710F6A" w14:textId="17D91371" w:rsidR="0006650D" w:rsidRPr="002E2B9C" w:rsidRDefault="00F11BA1" w:rsidP="00903622">
      <w:pPr>
        <w:rPr>
          <w:rFonts w:ascii="Verdana" w:hAnsi="Verdana"/>
          <w:b/>
          <w:bCs/>
          <w:sz w:val="22"/>
          <w:szCs w:val="22"/>
        </w:rPr>
      </w:pPr>
      <w:r>
        <w:rPr>
          <w:rFonts w:ascii="Verdana" w:hAnsi="Verdana"/>
          <w:b/>
          <w:sz w:val="22"/>
        </w:rPr>
        <w:t xml:space="preserve">3. POLITIQUES GOUVERNEMENTALES ET PROTECTION SOCIALE </w:t>
      </w:r>
    </w:p>
    <w:p w14:paraId="6326A6C1" w14:textId="77777777" w:rsidR="004073FA" w:rsidRDefault="004073FA" w:rsidP="00903622">
      <w:pPr>
        <w:rPr>
          <w:rFonts w:ascii="Verdana" w:hAnsi="Verdana"/>
          <w:b/>
          <w:sz w:val="18"/>
          <w:szCs w:val="18"/>
        </w:rPr>
      </w:pPr>
    </w:p>
    <w:p w14:paraId="77E78E05" w14:textId="254BB0F6" w:rsidR="006D1FF2" w:rsidRDefault="00773E26" w:rsidP="00903622">
      <w:pPr>
        <w:rPr>
          <w:rFonts w:ascii="Verdana" w:hAnsi="Verdana"/>
          <w:b/>
          <w:sz w:val="18"/>
          <w:szCs w:val="18"/>
        </w:rPr>
      </w:pPr>
      <w:r>
        <w:rPr>
          <w:rFonts w:ascii="Verdana" w:hAnsi="Verdana"/>
          <w:b/>
          <w:sz w:val="18"/>
        </w:rPr>
        <w:t xml:space="preserve">Généralités </w:t>
      </w:r>
    </w:p>
    <w:p w14:paraId="1B0D6B54" w14:textId="32CA53E4" w:rsidR="002E2B9C" w:rsidRPr="006D1FF2" w:rsidRDefault="00382077" w:rsidP="00903622">
      <w:pPr>
        <w:rPr>
          <w:rFonts w:ascii="Verdana" w:hAnsi="Verdana"/>
          <w:b/>
          <w:sz w:val="18"/>
          <w:szCs w:val="18"/>
        </w:rPr>
      </w:pPr>
      <w:r>
        <w:rPr>
          <w:rFonts w:ascii="Verdana" w:hAnsi="Verdana"/>
          <w:sz w:val="18"/>
        </w:rPr>
        <w:t>Objectifs d’une référence gouvernementale et de protection sociale :</w:t>
      </w:r>
    </w:p>
    <w:p w14:paraId="1EBF214B" w14:textId="75BCAED0" w:rsidR="00382077" w:rsidRPr="00EA1BD9" w:rsidRDefault="00382077">
      <w:pPr>
        <w:pStyle w:val="H1"/>
        <w:numPr>
          <w:ilvl w:val="0"/>
          <w:numId w:val="10"/>
        </w:numPr>
        <w:spacing w:before="120" w:after="120"/>
        <w:jc w:val="both"/>
        <w:rPr>
          <w:rFonts w:ascii="Verdana" w:hAnsi="Verdana" w:cs="Arial"/>
          <w:b w:val="0"/>
          <w:bCs/>
          <w:color w:val="000000" w:themeColor="text1"/>
          <w:sz w:val="18"/>
          <w:szCs w:val="18"/>
        </w:rPr>
      </w:pPr>
      <w:r>
        <w:rPr>
          <w:rFonts w:ascii="Verdana" w:hAnsi="Verdana"/>
          <w:b w:val="0"/>
          <w:sz w:val="18"/>
        </w:rPr>
        <w:t xml:space="preserve">Évaluer les politiques gouvernementales ou les préférences en matière de TM. </w:t>
      </w:r>
      <w:r w:rsidR="00D44A85">
        <w:rPr>
          <w:rFonts w:ascii="Verdana" w:hAnsi="Verdana"/>
          <w:b w:val="0"/>
          <w:color w:val="000000" w:themeColor="text1"/>
          <w:sz w:val="18"/>
        </w:rPr>
        <w:t>Par</w:t>
      </w:r>
      <w:r>
        <w:rPr>
          <w:rFonts w:ascii="Verdana" w:hAnsi="Verdana"/>
          <w:b w:val="0"/>
          <w:color w:val="000000" w:themeColor="text1"/>
          <w:sz w:val="18"/>
        </w:rPr>
        <w:t xml:space="preserve"> exemple, acceptation au niveau national et local, restrictions concernant la valeur de transfert, questions fiscales, etc.</w:t>
      </w:r>
    </w:p>
    <w:p w14:paraId="6CDB399F" w14:textId="17010F92" w:rsidR="002E2B9C" w:rsidRPr="002E2B9C" w:rsidRDefault="002E2B9C">
      <w:pPr>
        <w:pStyle w:val="H1"/>
        <w:numPr>
          <w:ilvl w:val="0"/>
          <w:numId w:val="10"/>
        </w:numPr>
        <w:spacing w:before="120" w:after="120"/>
        <w:ind w:left="714" w:hanging="357"/>
        <w:jc w:val="both"/>
        <w:rPr>
          <w:rFonts w:ascii="Verdana" w:hAnsi="Verdana" w:cs="Arial"/>
          <w:b w:val="0"/>
          <w:sz w:val="18"/>
          <w:szCs w:val="18"/>
        </w:rPr>
      </w:pPr>
      <w:r>
        <w:rPr>
          <w:rFonts w:ascii="Verdana" w:hAnsi="Verdana"/>
          <w:b w:val="0"/>
          <w:sz w:val="18"/>
        </w:rPr>
        <w:t>Représenter de manière schématique pertinente la programmation de protection sociale du pays</w:t>
      </w:r>
    </w:p>
    <w:p w14:paraId="313E8D3C" w14:textId="77EF7366" w:rsidR="002E2B9C" w:rsidRPr="002E2B9C" w:rsidRDefault="002E2B9C">
      <w:pPr>
        <w:pStyle w:val="H1"/>
        <w:numPr>
          <w:ilvl w:val="0"/>
          <w:numId w:val="10"/>
        </w:numPr>
        <w:spacing w:before="120" w:after="120"/>
        <w:ind w:left="714" w:hanging="357"/>
        <w:jc w:val="both"/>
        <w:rPr>
          <w:rFonts w:ascii="Verdana" w:hAnsi="Verdana" w:cs="Arial"/>
          <w:b w:val="0"/>
          <w:sz w:val="18"/>
          <w:szCs w:val="18"/>
        </w:rPr>
      </w:pPr>
      <w:r>
        <w:rPr>
          <w:rFonts w:ascii="Verdana" w:hAnsi="Verdana"/>
          <w:b w:val="0"/>
          <w:sz w:val="18"/>
        </w:rPr>
        <w:lastRenderedPageBreak/>
        <w:t xml:space="preserve">Comprendre les politiques spécifiques, les acteurs clés et les mécanismes de coordination en place pour la protection sociale </w:t>
      </w:r>
    </w:p>
    <w:p w14:paraId="47BD1608" w14:textId="48ECB737" w:rsidR="002E2B9C" w:rsidRPr="002E2B9C" w:rsidRDefault="002E2B9C">
      <w:pPr>
        <w:pStyle w:val="H1"/>
        <w:numPr>
          <w:ilvl w:val="0"/>
          <w:numId w:val="10"/>
        </w:numPr>
        <w:spacing w:before="120" w:after="120"/>
        <w:jc w:val="both"/>
        <w:rPr>
          <w:rFonts w:ascii="Verdana" w:hAnsi="Verdana" w:cs="Arial"/>
          <w:b w:val="0"/>
          <w:sz w:val="18"/>
          <w:szCs w:val="18"/>
        </w:rPr>
      </w:pPr>
      <w:r>
        <w:rPr>
          <w:rFonts w:ascii="Verdana" w:hAnsi="Verdana"/>
          <w:b w:val="0"/>
          <w:sz w:val="18"/>
        </w:rPr>
        <w:t>Identifier les possibilités de lier la protection sociale aux TM et les options de réponse possibles pour l’engagement des SN (</w:t>
      </w:r>
      <w:r>
        <w:rPr>
          <w:rFonts w:ascii="Verdana" w:hAnsi="Verdana"/>
          <w:i/>
          <w:sz w:val="18"/>
        </w:rPr>
        <w:t>option avancée</w:t>
      </w:r>
      <w:r>
        <w:rPr>
          <w:rFonts w:ascii="Verdana" w:hAnsi="Verdana"/>
          <w:b w:val="0"/>
          <w:sz w:val="18"/>
        </w:rPr>
        <w:t>)</w:t>
      </w:r>
    </w:p>
    <w:p w14:paraId="105B688C" w14:textId="628B4CA2" w:rsidR="00A47C14" w:rsidRDefault="00871620" w:rsidP="5B534714">
      <w:pPr>
        <w:rPr>
          <w:rFonts w:ascii="Verdana" w:hAnsi="Verdana"/>
          <w:sz w:val="18"/>
          <w:szCs w:val="18"/>
        </w:rPr>
      </w:pPr>
      <w:r>
        <w:rPr>
          <w:rFonts w:ascii="Verdana" w:hAnsi="Verdana"/>
          <w:sz w:val="18"/>
        </w:rPr>
        <w:t xml:space="preserve">Selon le niveau d’expérience de la SN, l’évaluation de la protection sociale a une version de base et une version avancée. Lier les TM humanitaires à la protection sociale prend du temps, donc mener cela dans le cadre de </w:t>
      </w:r>
      <w:r w:rsidR="00CD352F">
        <w:rPr>
          <w:rFonts w:ascii="Verdana" w:hAnsi="Verdana"/>
          <w:sz w:val="18"/>
        </w:rPr>
        <w:t>la PTM</w:t>
      </w:r>
      <w:r>
        <w:rPr>
          <w:rFonts w:ascii="Verdana" w:hAnsi="Verdana"/>
          <w:sz w:val="18"/>
        </w:rPr>
        <w:t xml:space="preserve"> signifie que les SN peuvent être mieux placées pour comprendre les options et les opportunités pendant une réponse.</w:t>
      </w:r>
    </w:p>
    <w:p w14:paraId="286DED70" w14:textId="68203E77" w:rsidR="00CB2FAF" w:rsidRDefault="00871620" w:rsidP="3130A2F0">
      <w:pPr>
        <w:rPr>
          <w:rFonts w:ascii="Verdana" w:hAnsi="Verdana"/>
          <w:sz w:val="18"/>
          <w:szCs w:val="18"/>
        </w:rPr>
      </w:pPr>
      <w:r>
        <w:rPr>
          <w:rFonts w:ascii="Verdana" w:hAnsi="Verdana"/>
          <w:sz w:val="18"/>
        </w:rPr>
        <w:t>L’outil de</w:t>
      </w:r>
      <w:r>
        <w:rPr>
          <w:rFonts w:ascii="Verdana" w:hAnsi="Verdana"/>
          <w:b/>
          <w:i/>
          <w:sz w:val="18"/>
        </w:rPr>
        <w:t xml:space="preserve"> base </w:t>
      </w:r>
      <w:r>
        <w:rPr>
          <w:rFonts w:ascii="Verdana" w:hAnsi="Verdana"/>
          <w:sz w:val="18"/>
        </w:rPr>
        <w:t xml:space="preserve">« questions clés pour l’évaluation de la protection sociale » examine les politiques et préférences gouvernementales concernant le recours aux TM dans différents types de crise, ainsi qu’une vue d’ensemble et une schématisation des programmes de protection sociale existants. Les outils </w:t>
      </w:r>
      <w:r>
        <w:rPr>
          <w:rFonts w:ascii="Verdana" w:hAnsi="Verdana"/>
          <w:b/>
          <w:i/>
          <w:sz w:val="18"/>
        </w:rPr>
        <w:t>avancés</w:t>
      </w:r>
      <w:r>
        <w:rPr>
          <w:rFonts w:ascii="Verdana" w:hAnsi="Verdana"/>
          <w:sz w:val="18"/>
        </w:rPr>
        <w:t xml:space="preserve"> « Est-ce réalisable de relier les TM à la protection sociale » ainsi que « comparaison des TM avec les options de réponse en matière de protection sociale » dans le domaine 7 – décision sur la </w:t>
      </w:r>
      <w:r w:rsidR="009A7BE4">
        <w:rPr>
          <w:rFonts w:ascii="Verdana" w:hAnsi="Verdana"/>
          <w:sz w:val="18"/>
        </w:rPr>
        <w:t>faisabilité</w:t>
      </w:r>
      <w:r>
        <w:rPr>
          <w:rFonts w:ascii="Verdana" w:hAnsi="Verdana"/>
          <w:sz w:val="18"/>
        </w:rPr>
        <w:t xml:space="preserve"> des TM et l’analyse de la réponse va plus loin dans l’identification et l’évaluation des options de réponse potentielles pour relier les TM à la protection sociale. </w:t>
      </w:r>
    </w:p>
    <w:p w14:paraId="2B054251" w14:textId="38095524" w:rsidR="0020141D" w:rsidRDefault="002E2B9C" w:rsidP="0020141D">
      <w:pPr>
        <w:rPr>
          <w:rFonts w:ascii="Verdana" w:eastAsia="Times New Roman" w:hAnsi="Verdana" w:cs="Arial"/>
          <w:sz w:val="18"/>
          <w:szCs w:val="18"/>
        </w:rPr>
      </w:pPr>
      <w:r>
        <w:rPr>
          <w:rFonts w:ascii="Verdana" w:hAnsi="Verdana"/>
          <w:sz w:val="18"/>
        </w:rPr>
        <w:t xml:space="preserve">Outre les évaluations des aspects techniques de la protection sociale, la capacité des SN et les relations existantes avec les parties prenantes gouvernementales, y compris leur volonté de s’engager, sont importantes. La dimension stratégique et politique est donc prise en compte dans les outils de référence. Cela peut être construit en dehors de l’exercice de référence. Schématiser la protection sociale dans le cadre de </w:t>
      </w:r>
      <w:r w:rsidR="00CD352F">
        <w:rPr>
          <w:rFonts w:ascii="Verdana" w:hAnsi="Verdana"/>
          <w:sz w:val="18"/>
        </w:rPr>
        <w:t>la PTM</w:t>
      </w:r>
      <w:r>
        <w:rPr>
          <w:rFonts w:ascii="Verdana" w:hAnsi="Verdana"/>
          <w:sz w:val="18"/>
        </w:rPr>
        <w:t xml:space="preserve"> signifiera que les opportunités de programmation potentielles, les lacunes et les capacités identifiées à partir de l’évaluation de base peuvent alimenter à l’avance des discussions de plaidoyer plus larges entre SN et les gouvernements sur les options de réponse.</w:t>
      </w:r>
    </w:p>
    <w:p w14:paraId="39AD7562" w14:textId="725B14F7" w:rsidR="002E2B9C" w:rsidRPr="0020141D" w:rsidRDefault="00F841C9" w:rsidP="0020141D">
      <w:pPr>
        <w:rPr>
          <w:rFonts w:ascii="Verdana" w:hAnsi="Verdana"/>
          <w:bCs/>
          <w:sz w:val="18"/>
          <w:szCs w:val="18"/>
        </w:rPr>
      </w:pPr>
      <w:r>
        <w:rPr>
          <w:rFonts w:ascii="Verdana" w:hAnsi="Verdana"/>
          <w:sz w:val="18"/>
        </w:rPr>
        <w:t>Tout au long de l’analyse, il convient de garder à l’esprit les principes sous-jacents suivants :</w:t>
      </w:r>
    </w:p>
    <w:p w14:paraId="4E7D0B57" w14:textId="77777777" w:rsidR="002E2B9C" w:rsidRPr="001D5E14" w:rsidRDefault="002E2B9C">
      <w:pPr>
        <w:pStyle w:val="H1"/>
        <w:numPr>
          <w:ilvl w:val="0"/>
          <w:numId w:val="10"/>
        </w:numPr>
        <w:spacing w:before="120" w:after="120"/>
        <w:ind w:left="714" w:hanging="357"/>
        <w:jc w:val="both"/>
        <w:rPr>
          <w:rFonts w:ascii="Verdana" w:hAnsi="Verdana" w:cs="Arial"/>
          <w:b w:val="0"/>
          <w:sz w:val="18"/>
          <w:szCs w:val="18"/>
        </w:rPr>
      </w:pPr>
      <w:r>
        <w:rPr>
          <w:rFonts w:ascii="Verdana" w:hAnsi="Verdana"/>
          <w:b w:val="0"/>
          <w:sz w:val="18"/>
        </w:rPr>
        <w:t>La Société nationale peut-elle continuer à s’acquitter de son mandat et à respecter les principes fondamentaux ?</w:t>
      </w:r>
    </w:p>
    <w:p w14:paraId="2E28E12C" w14:textId="77777777" w:rsidR="002E2B9C" w:rsidRPr="001D5E14" w:rsidRDefault="002E2B9C">
      <w:pPr>
        <w:pStyle w:val="H1"/>
        <w:numPr>
          <w:ilvl w:val="0"/>
          <w:numId w:val="10"/>
        </w:numPr>
        <w:spacing w:before="120" w:after="120"/>
        <w:ind w:left="714" w:hanging="357"/>
        <w:jc w:val="both"/>
        <w:rPr>
          <w:rFonts w:ascii="Verdana" w:hAnsi="Verdana" w:cs="Arial"/>
          <w:b w:val="0"/>
          <w:sz w:val="18"/>
          <w:szCs w:val="18"/>
        </w:rPr>
      </w:pPr>
      <w:r>
        <w:rPr>
          <w:rFonts w:ascii="Verdana" w:hAnsi="Verdana"/>
          <w:b w:val="0"/>
          <w:sz w:val="18"/>
        </w:rPr>
        <w:t xml:space="preserve">La Société nationale dispose-t-elle de la capacité, des ressources et de l’expertise nécessaires pour réussir ? </w:t>
      </w:r>
    </w:p>
    <w:p w14:paraId="71532348" w14:textId="1DABD979" w:rsidR="002E2B9C" w:rsidRPr="002E2B9C" w:rsidRDefault="002E2B9C">
      <w:pPr>
        <w:pStyle w:val="H1"/>
        <w:numPr>
          <w:ilvl w:val="0"/>
          <w:numId w:val="10"/>
        </w:numPr>
        <w:spacing w:before="120" w:after="120"/>
        <w:jc w:val="both"/>
        <w:rPr>
          <w:rFonts w:ascii="Verdana" w:hAnsi="Verdana" w:cs="Arial"/>
          <w:b w:val="0"/>
          <w:sz w:val="18"/>
          <w:szCs w:val="18"/>
        </w:rPr>
      </w:pPr>
      <w:r>
        <w:rPr>
          <w:rFonts w:ascii="Verdana" w:hAnsi="Verdana"/>
          <w:b w:val="0"/>
          <w:sz w:val="18"/>
        </w:rPr>
        <w:t xml:space="preserve">La Société nationale peut-elle maintenir sa neutralité tout en travaillant avec un régime social, qui est généralement une responsabilité du gouvernement ? </w:t>
      </w:r>
    </w:p>
    <w:p w14:paraId="64E0BBF6" w14:textId="23A90C26" w:rsidR="002E2B9C" w:rsidRPr="00405731" w:rsidRDefault="002E2B9C">
      <w:pPr>
        <w:pStyle w:val="H1"/>
        <w:numPr>
          <w:ilvl w:val="0"/>
          <w:numId w:val="10"/>
        </w:numPr>
        <w:spacing w:before="120" w:after="120"/>
        <w:jc w:val="both"/>
        <w:rPr>
          <w:rFonts w:ascii="Verdana" w:hAnsi="Verdana" w:cs="Arial"/>
          <w:b w:val="0"/>
          <w:sz w:val="18"/>
          <w:szCs w:val="18"/>
        </w:rPr>
      </w:pPr>
      <w:r>
        <w:rPr>
          <w:rFonts w:ascii="Verdana" w:hAnsi="Verdana"/>
          <w:b w:val="0"/>
          <w:sz w:val="18"/>
        </w:rPr>
        <w:t>Le programme de PS existant respecte-t-il les normes de confidentialité des données existantes et existe-t-il une compréhension commune entre toutes les parties prenantes sur le recueil et la divulgation des données ?</w:t>
      </w:r>
      <w:r>
        <w:rPr>
          <w:rFonts w:ascii="Verdana" w:hAnsi="Verdana"/>
          <w:sz w:val="18"/>
        </w:rPr>
        <w:t xml:space="preserve"> </w:t>
      </w:r>
    </w:p>
    <w:p w14:paraId="70D069E6" w14:textId="39F29413" w:rsidR="00547EF9" w:rsidRPr="00156542" w:rsidRDefault="27E42C15" w:rsidP="0BF2B5FA">
      <w:pPr>
        <w:rPr>
          <w:rFonts w:ascii="Verdana" w:eastAsia="Times New Roman" w:hAnsi="Verdana" w:cs="Arial"/>
          <w:b/>
          <w:bCs/>
          <w:sz w:val="18"/>
          <w:szCs w:val="18"/>
        </w:rPr>
      </w:pPr>
      <w:r>
        <w:rPr>
          <w:rFonts w:ascii="Verdana" w:hAnsi="Verdana"/>
          <w:sz w:val="18"/>
        </w:rPr>
        <w:t>Dans l’ensemble, il convient de souligner que toute information recueillie dans le cadre de l’évaluation de référence de la protection sociale devra être accompagnée d’une adhésion institutionnelle SN à un engagement potentiel. Il faut aussi bien comprendre ce que la Croix-Rouge/Croissant-Rouge peut offrir aux régimes de protection sociale du pays, pour que des liens puissent être établis.</w:t>
      </w:r>
    </w:p>
    <w:p w14:paraId="554BC785" w14:textId="267B8DC4" w:rsidR="00547EF9" w:rsidRPr="00547EF9" w:rsidRDefault="00080A4D" w:rsidP="00903622">
      <w:pPr>
        <w:rPr>
          <w:rFonts w:ascii="Verdana" w:hAnsi="Verdana"/>
          <w:b/>
          <w:sz w:val="18"/>
          <w:szCs w:val="18"/>
        </w:rPr>
      </w:pPr>
      <w:r>
        <w:rPr>
          <w:rFonts w:ascii="Verdana" w:hAnsi="Verdana"/>
          <w:b/>
          <w:sz w:val="18"/>
        </w:rPr>
        <w:t>Principaux outils</w:t>
      </w:r>
    </w:p>
    <w:p w14:paraId="78D67900" w14:textId="348C8D89" w:rsidR="007F10F5" w:rsidRPr="00497478" w:rsidRDefault="004D2AB8" w:rsidP="3130A2F0">
      <w:pPr>
        <w:rPr>
          <w:rFonts w:ascii="Verdana" w:hAnsi="Verdana"/>
          <w:i/>
          <w:iCs/>
          <w:color w:val="C00000"/>
          <w:sz w:val="18"/>
          <w:szCs w:val="18"/>
        </w:rPr>
      </w:pPr>
      <w:hyperlink r:id="rId18" w:history="1">
        <w:r w:rsidRPr="002315A3">
          <w:rPr>
            <w:rStyle w:val="Hyperlink"/>
            <w:rFonts w:ascii="Verdana" w:hAnsi="Verdana"/>
            <w:i/>
            <w:sz w:val="18"/>
          </w:rPr>
          <w:t>Liste de contrôle des entretiens de base de TM externes</w:t>
        </w:r>
      </w:hyperlink>
      <w:r w:rsidRPr="00497478">
        <w:rPr>
          <w:rFonts w:ascii="Verdana" w:hAnsi="Verdana"/>
          <w:color w:val="C00000"/>
          <w:sz w:val="18"/>
        </w:rPr>
        <w:t xml:space="preserve">, </w:t>
      </w:r>
      <w:hyperlink r:id="rId19" w:history="1">
        <w:r w:rsidRPr="002315A3">
          <w:rPr>
            <w:rStyle w:val="Hyperlink"/>
            <w:rFonts w:ascii="Verdana" w:hAnsi="Verdana"/>
            <w:i/>
            <w:sz w:val="18"/>
          </w:rPr>
          <w:t>sources de données secondaires de base de TM externes,</w:t>
        </w:r>
      </w:hyperlink>
      <w:r w:rsidRPr="00497478">
        <w:rPr>
          <w:color w:val="C00000"/>
        </w:rPr>
        <w:t xml:space="preserve"> </w:t>
      </w:r>
      <w:r w:rsidR="00F071A1" w:rsidRPr="00497478">
        <w:rPr>
          <w:rFonts w:ascii="Verdana" w:hAnsi="Verdana"/>
          <w:i/>
          <w:color w:val="C00000"/>
          <w:sz w:val="18"/>
        </w:rPr>
        <w:t xml:space="preserve"> </w:t>
      </w:r>
      <w:hyperlink r:id="rId20" w:history="1">
        <w:r w:rsidR="00F071A1" w:rsidRPr="00555881">
          <w:rPr>
            <w:rStyle w:val="Hyperlink"/>
            <w:rFonts w:ascii="Verdana" w:hAnsi="Verdana"/>
            <w:i/>
            <w:sz w:val="18"/>
          </w:rPr>
          <w:t>questions clés pour l’évaluation de la protection sociale</w:t>
        </w:r>
      </w:hyperlink>
      <w:r w:rsidR="00F071A1" w:rsidRPr="00497478">
        <w:rPr>
          <w:rFonts w:ascii="Verdana" w:hAnsi="Verdana"/>
          <w:i/>
          <w:color w:val="C00000"/>
          <w:sz w:val="18"/>
        </w:rPr>
        <w:t xml:space="preserve"> (base)</w:t>
      </w:r>
    </w:p>
    <w:p w14:paraId="67A98568" w14:textId="5AEE5330" w:rsidR="009673D5" w:rsidRDefault="00080A4D" w:rsidP="00903622">
      <w:pPr>
        <w:rPr>
          <w:rFonts w:ascii="Verdana" w:hAnsi="Verdana"/>
          <w:b/>
          <w:sz w:val="18"/>
          <w:szCs w:val="18"/>
        </w:rPr>
      </w:pPr>
      <w:r>
        <w:rPr>
          <w:rFonts w:ascii="Verdana" w:hAnsi="Verdana"/>
          <w:b/>
          <w:sz w:val="18"/>
        </w:rPr>
        <w:t>Voir aussi</w:t>
      </w:r>
    </w:p>
    <w:p w14:paraId="02E2377E" w14:textId="7CCB744D" w:rsidR="00080A4D" w:rsidRPr="00497478" w:rsidRDefault="009E3D91" w:rsidP="00080A4D">
      <w:pPr>
        <w:rPr>
          <w:rFonts w:ascii="Verdana" w:hAnsi="Verdana"/>
          <w:i/>
          <w:iCs/>
          <w:color w:val="C00000"/>
          <w:sz w:val="18"/>
          <w:szCs w:val="18"/>
        </w:rPr>
      </w:pPr>
      <w:hyperlink r:id="rId21" w:history="1">
        <w:r w:rsidR="00F071A1" w:rsidRPr="009E3D91">
          <w:rPr>
            <w:rStyle w:val="Hyperlink"/>
            <w:rFonts w:ascii="Verdana" w:hAnsi="Verdana"/>
            <w:i/>
            <w:sz w:val="18"/>
          </w:rPr>
          <w:t xml:space="preserve">Renforcer les liens avec les systèmes de protection sociale – </w:t>
        </w:r>
        <w:proofErr w:type="spellStart"/>
        <w:r w:rsidR="00F071A1" w:rsidRPr="009E3D91">
          <w:rPr>
            <w:rStyle w:val="Hyperlink"/>
            <w:rFonts w:ascii="Verdana" w:hAnsi="Verdana"/>
            <w:i/>
            <w:sz w:val="18"/>
          </w:rPr>
          <w:t>instructi</w:t>
        </w:r>
        <w:proofErr w:type="spellEnd"/>
        <w:r w:rsidR="00064FBB" w:rsidRPr="009E3D91">
          <w:rPr>
            <w:rStyle w:val="Hyperlink"/>
            <w:rFonts w:ascii="Verdana" w:hAnsi="Verdana"/>
            <w:i/>
            <w:sz w:val="18"/>
          </w:rPr>
          <w:t xml:space="preserve"> </w:t>
        </w:r>
        <w:proofErr w:type="spellStart"/>
        <w:r w:rsidR="00F071A1" w:rsidRPr="009E3D91">
          <w:rPr>
            <w:rStyle w:val="Hyperlink"/>
            <w:rFonts w:ascii="Verdana" w:hAnsi="Verdana"/>
            <w:i/>
            <w:sz w:val="18"/>
          </w:rPr>
          <w:t>ons</w:t>
        </w:r>
        <w:proofErr w:type="spellEnd"/>
        <w:r w:rsidR="00F071A1" w:rsidRPr="009E3D91">
          <w:rPr>
            <w:rStyle w:val="Hyperlink"/>
            <w:rFonts w:ascii="Verdana" w:hAnsi="Verdana"/>
            <w:i/>
            <w:sz w:val="18"/>
          </w:rPr>
          <w:t xml:space="preserve"> pour les sociétés nationales de la Croix-Rouge et du Croissant-Rouge</w:t>
        </w:r>
      </w:hyperlink>
      <w:r w:rsidR="00F071A1" w:rsidRPr="00497478">
        <w:rPr>
          <w:rFonts w:ascii="Verdana" w:hAnsi="Verdana"/>
          <w:i/>
          <w:color w:val="C00000"/>
          <w:sz w:val="18"/>
        </w:rPr>
        <w:t xml:space="preserve"> </w:t>
      </w:r>
    </w:p>
    <w:p w14:paraId="3227BAE5" w14:textId="3B77914C" w:rsidR="009673D5" w:rsidRDefault="009673D5" w:rsidP="00903622">
      <w:pPr>
        <w:rPr>
          <w:rFonts w:ascii="Verdana" w:hAnsi="Verdana"/>
          <w:bCs/>
          <w:i/>
          <w:iCs/>
          <w:color w:val="FF0000"/>
          <w:sz w:val="18"/>
          <w:szCs w:val="18"/>
        </w:rPr>
      </w:pPr>
    </w:p>
    <w:p w14:paraId="62CF7D40" w14:textId="77777777" w:rsidR="00BB32F8" w:rsidRDefault="00BB32F8" w:rsidP="00903622">
      <w:pPr>
        <w:rPr>
          <w:rFonts w:ascii="Verdana" w:hAnsi="Verdana"/>
          <w:b/>
          <w:bCs/>
          <w:sz w:val="22"/>
          <w:szCs w:val="22"/>
        </w:rPr>
      </w:pPr>
    </w:p>
    <w:p w14:paraId="739C1092" w14:textId="071F726C" w:rsidR="00FE10F1" w:rsidRPr="00547EF9" w:rsidRDefault="00F11BA1" w:rsidP="00903622">
      <w:pPr>
        <w:rPr>
          <w:rFonts w:ascii="Verdana" w:hAnsi="Verdana"/>
          <w:b/>
          <w:bCs/>
          <w:sz w:val="22"/>
          <w:szCs w:val="22"/>
        </w:rPr>
      </w:pPr>
      <w:r>
        <w:rPr>
          <w:rFonts w:ascii="Verdana" w:hAnsi="Verdana"/>
          <w:b/>
          <w:sz w:val="22"/>
        </w:rPr>
        <w:t>4. PRÉFÉRENCES DES BÉNÉFICIAIRES</w:t>
      </w:r>
    </w:p>
    <w:p w14:paraId="6BE54984" w14:textId="2444E235" w:rsidR="003302FA" w:rsidRPr="00C67AC4" w:rsidRDefault="003302FA" w:rsidP="00903622">
      <w:pPr>
        <w:rPr>
          <w:rFonts w:ascii="Verdana" w:hAnsi="Verdana"/>
          <w:b/>
          <w:bCs/>
          <w:sz w:val="18"/>
          <w:szCs w:val="18"/>
        </w:rPr>
      </w:pPr>
      <w:r>
        <w:rPr>
          <w:rFonts w:ascii="Verdana" w:hAnsi="Verdana"/>
          <w:b/>
          <w:sz w:val="18"/>
        </w:rPr>
        <w:t>Généralités</w:t>
      </w:r>
    </w:p>
    <w:p w14:paraId="15F8B19F" w14:textId="71648B35" w:rsidR="00C67AC4" w:rsidRPr="00C67AC4" w:rsidRDefault="003302FA" w:rsidP="00903622">
      <w:pPr>
        <w:rPr>
          <w:rFonts w:ascii="Verdana" w:hAnsi="Verdana"/>
          <w:sz w:val="18"/>
          <w:szCs w:val="18"/>
        </w:rPr>
      </w:pPr>
      <w:r>
        <w:rPr>
          <w:rFonts w:ascii="Verdana" w:hAnsi="Verdana"/>
          <w:sz w:val="18"/>
        </w:rPr>
        <w:t xml:space="preserve">La liste de contrôle pour les communautés et les ménages est axée sur l’accès et l’utilisation des TM, ainsi que sur leurs préférences et les problèmes potentiels liés à l’aide en transferts monétaires. Elle comprend également leur utilisation des services financiers, leur propriété et leur capacité d’utiliser des téléphones portables, ainsi que leur expérience en matière de TM et leurs préférences pour différents types d’assistance, y compris la protection sociale. La </w:t>
      </w:r>
      <w:r w:rsidR="009A7BE4">
        <w:rPr>
          <w:rFonts w:ascii="Verdana" w:hAnsi="Verdana"/>
          <w:sz w:val="18"/>
        </w:rPr>
        <w:t>faisabilité</w:t>
      </w:r>
      <w:r>
        <w:rPr>
          <w:rFonts w:ascii="Verdana" w:hAnsi="Verdana"/>
          <w:sz w:val="18"/>
        </w:rPr>
        <w:t xml:space="preserve"> peut varier en fonction des groupes de population, il convient donc de la relier aux options d’intervention proposées dans le domaine 7 - décision sur la </w:t>
      </w:r>
      <w:r w:rsidR="009A7BE4">
        <w:rPr>
          <w:rFonts w:ascii="Verdana" w:hAnsi="Verdana"/>
          <w:sz w:val="18"/>
        </w:rPr>
        <w:t>faisabilité</w:t>
      </w:r>
      <w:r>
        <w:rPr>
          <w:rFonts w:ascii="Verdana" w:hAnsi="Verdana"/>
          <w:sz w:val="18"/>
        </w:rPr>
        <w:t xml:space="preserve"> des TM et les options d’intervention.</w:t>
      </w:r>
    </w:p>
    <w:p w14:paraId="1D952115" w14:textId="045AF254" w:rsidR="009D3764" w:rsidRPr="00C67AC4" w:rsidRDefault="00ED775B" w:rsidP="00903622">
      <w:pPr>
        <w:rPr>
          <w:rFonts w:ascii="Verdana" w:hAnsi="Verdana"/>
          <w:sz w:val="18"/>
          <w:szCs w:val="18"/>
        </w:rPr>
      </w:pPr>
      <w:r>
        <w:rPr>
          <w:rFonts w:ascii="Verdana" w:hAnsi="Verdana"/>
          <w:sz w:val="18"/>
        </w:rPr>
        <w:t xml:space="preserve">Pour déterminer la valeur de transfert, avant d’utiliser le modèle de calcul des besoins prioritaires proposé, vérifiez si un panier de produits alimentaires et non alimentaires n’est pas déjà disponible auprès du groupe </w:t>
      </w:r>
      <w:r>
        <w:rPr>
          <w:rFonts w:ascii="Verdana" w:hAnsi="Verdana"/>
          <w:sz w:val="18"/>
        </w:rPr>
        <w:lastRenderedPageBreak/>
        <w:t xml:space="preserve">de travail </w:t>
      </w:r>
      <w:r w:rsidR="00DE5AAF">
        <w:rPr>
          <w:rFonts w:ascii="Verdana" w:hAnsi="Verdana"/>
          <w:sz w:val="18"/>
        </w:rPr>
        <w:t xml:space="preserve">(Cash </w:t>
      </w:r>
      <w:proofErr w:type="spellStart"/>
      <w:r w:rsidR="00DE5AAF">
        <w:rPr>
          <w:rFonts w:ascii="Verdana" w:hAnsi="Verdana"/>
          <w:sz w:val="18"/>
        </w:rPr>
        <w:t>Working</w:t>
      </w:r>
      <w:proofErr w:type="spellEnd"/>
      <w:r w:rsidR="00DE5AAF">
        <w:rPr>
          <w:rFonts w:ascii="Verdana" w:hAnsi="Verdana"/>
          <w:sz w:val="18"/>
        </w:rPr>
        <w:t xml:space="preserve"> Group) </w:t>
      </w:r>
      <w:r>
        <w:rPr>
          <w:rFonts w:ascii="Verdana" w:hAnsi="Verdana"/>
          <w:sz w:val="18"/>
        </w:rPr>
        <w:t xml:space="preserve">sur </w:t>
      </w:r>
      <w:r w:rsidR="00DE5AAF">
        <w:rPr>
          <w:rFonts w:ascii="Verdana" w:hAnsi="Verdana"/>
          <w:sz w:val="18"/>
        </w:rPr>
        <w:t>le cash</w:t>
      </w:r>
      <w:r>
        <w:rPr>
          <w:rFonts w:ascii="Verdana" w:hAnsi="Verdana"/>
          <w:sz w:val="18"/>
        </w:rPr>
        <w:t xml:space="preserve"> </w:t>
      </w:r>
      <w:r w:rsidR="00DE5AAF">
        <w:rPr>
          <w:rFonts w:ascii="Verdana" w:hAnsi="Verdana"/>
          <w:sz w:val="18"/>
        </w:rPr>
        <w:t xml:space="preserve">dans le </w:t>
      </w:r>
      <w:r>
        <w:rPr>
          <w:rFonts w:ascii="Verdana" w:hAnsi="Verdana"/>
          <w:sz w:val="18"/>
        </w:rPr>
        <w:t>pays (c’est-à-dire panier de dépenses minimum (</w:t>
      </w:r>
      <w:r w:rsidR="00DE5AAF">
        <w:rPr>
          <w:rFonts w:ascii="Verdana" w:hAnsi="Verdana"/>
          <w:sz w:val="18"/>
        </w:rPr>
        <w:t xml:space="preserve">Minimum </w:t>
      </w:r>
      <w:proofErr w:type="spellStart"/>
      <w:r w:rsidR="00DE5AAF">
        <w:rPr>
          <w:rFonts w:ascii="Verdana" w:hAnsi="Verdana"/>
          <w:sz w:val="18"/>
        </w:rPr>
        <w:t>Expenditure</w:t>
      </w:r>
      <w:proofErr w:type="spellEnd"/>
      <w:r w:rsidR="00DE5AAF">
        <w:rPr>
          <w:rFonts w:ascii="Verdana" w:hAnsi="Verdana"/>
          <w:sz w:val="18"/>
        </w:rPr>
        <w:t xml:space="preserve"> Basket - </w:t>
      </w:r>
      <w:r>
        <w:rPr>
          <w:rFonts w:ascii="Verdana" w:hAnsi="Verdana"/>
          <w:sz w:val="18"/>
        </w:rPr>
        <w:t>MEB). Vérifiez également si le gouvernement a son propre panier de dépenses ou calcul de la valeur de transfert. Cependant, bien qu’utiles, ces documents ne sont pas toujours à jour et devraient être recoupés avec les conclusions des discussions communautaires.</w:t>
      </w:r>
    </w:p>
    <w:p w14:paraId="7507DD19" w14:textId="01D8B0C8" w:rsidR="002D620B" w:rsidRPr="00C67AC4" w:rsidRDefault="00080A4D" w:rsidP="00903622">
      <w:pPr>
        <w:rPr>
          <w:rFonts w:ascii="Verdana" w:hAnsi="Verdana"/>
          <w:b/>
          <w:bCs/>
          <w:sz w:val="18"/>
          <w:szCs w:val="18"/>
        </w:rPr>
      </w:pPr>
      <w:r>
        <w:rPr>
          <w:rFonts w:ascii="Verdana" w:hAnsi="Verdana"/>
          <w:b/>
          <w:sz w:val="18"/>
        </w:rPr>
        <w:t>Principaux outils</w:t>
      </w:r>
    </w:p>
    <w:p w14:paraId="12840969" w14:textId="21F49D22" w:rsidR="00B37899" w:rsidRPr="00497478" w:rsidRDefault="00945A15" w:rsidP="5B534714">
      <w:pPr>
        <w:rPr>
          <w:rFonts w:ascii="Verdana" w:hAnsi="Verdana"/>
          <w:color w:val="C00000"/>
          <w:sz w:val="18"/>
          <w:szCs w:val="18"/>
          <w:highlight w:val="yellow"/>
        </w:rPr>
      </w:pPr>
      <w:hyperlink r:id="rId22" w:history="1">
        <w:r w:rsidR="00F071A1" w:rsidRPr="00945A15">
          <w:rPr>
            <w:rStyle w:val="Hyperlink"/>
            <w:rFonts w:ascii="Verdana" w:hAnsi="Verdana"/>
            <w:i/>
            <w:sz w:val="18"/>
          </w:rPr>
          <w:t>Liste de contrôle des entretiens de base de TM externes ;</w:t>
        </w:r>
      </w:hyperlink>
      <w:r w:rsidR="00F071A1" w:rsidRPr="00497478">
        <w:rPr>
          <w:rFonts w:ascii="Verdana" w:hAnsi="Verdana"/>
          <w:i/>
          <w:color w:val="C00000"/>
          <w:sz w:val="18"/>
        </w:rPr>
        <w:t xml:space="preserve"> </w:t>
      </w:r>
      <w:hyperlink r:id="rId23" w:history="1">
        <w:r w:rsidR="00F071A1" w:rsidRPr="00C73246">
          <w:rPr>
            <w:rStyle w:val="Hyperlink"/>
            <w:rFonts w:ascii="Verdana" w:hAnsi="Verdana"/>
            <w:i/>
            <w:sz w:val="18"/>
          </w:rPr>
          <w:t xml:space="preserve">Outil ERM 3 - Quels </w:t>
        </w:r>
        <w:r w:rsidR="00DC0796" w:rsidRPr="00C73246">
          <w:rPr>
            <w:rStyle w:val="Hyperlink"/>
            <w:rFonts w:ascii="Verdana" w:hAnsi="Verdana"/>
            <w:i/>
            <w:sz w:val="18"/>
          </w:rPr>
          <w:t>PSF</w:t>
        </w:r>
        <w:r w:rsidR="00F071A1" w:rsidRPr="00C73246">
          <w:rPr>
            <w:rStyle w:val="Hyperlink"/>
            <w:rFonts w:ascii="Verdana" w:hAnsi="Verdana"/>
            <w:i/>
            <w:sz w:val="18"/>
          </w:rPr>
          <w:t xml:space="preserve"> sont disponibles et accessibles ?</w:t>
        </w:r>
      </w:hyperlink>
      <w:r w:rsidR="00F071A1" w:rsidRPr="00497478">
        <w:rPr>
          <w:color w:val="C00000"/>
        </w:rPr>
        <w:t> </w:t>
      </w:r>
      <w:r w:rsidR="00F071A1" w:rsidRPr="00497478">
        <w:rPr>
          <w:rFonts w:ascii="Verdana" w:hAnsi="Verdana"/>
          <w:color w:val="C00000"/>
          <w:sz w:val="18"/>
        </w:rPr>
        <w:t xml:space="preserve">; </w:t>
      </w:r>
      <w:hyperlink r:id="rId24" w:history="1">
        <w:r w:rsidR="00F071A1" w:rsidRPr="005353F8">
          <w:rPr>
            <w:rStyle w:val="Hyperlink"/>
            <w:rFonts w:ascii="Verdana" w:hAnsi="Verdana"/>
            <w:i/>
            <w:sz w:val="18"/>
          </w:rPr>
          <w:t>M1_1_2_4 calcul des besoins prioritaires proposé</w:t>
        </w:r>
      </w:hyperlink>
      <w:r w:rsidR="00F071A1" w:rsidRPr="00497478">
        <w:rPr>
          <w:rFonts w:ascii="Verdana" w:hAnsi="Verdana"/>
          <w:i/>
          <w:color w:val="C00000"/>
          <w:sz w:val="18"/>
        </w:rPr>
        <w:t xml:space="preserve"> </w:t>
      </w:r>
    </w:p>
    <w:p w14:paraId="6E834037" w14:textId="03FA3D99" w:rsidR="00DF6E86" w:rsidRPr="00DF6E86" w:rsidRDefault="00080A4D" w:rsidP="00903622">
      <w:pPr>
        <w:rPr>
          <w:rFonts w:ascii="Verdana" w:hAnsi="Verdana"/>
          <w:b/>
          <w:bCs/>
          <w:color w:val="000000" w:themeColor="text1"/>
          <w:sz w:val="18"/>
          <w:szCs w:val="18"/>
        </w:rPr>
      </w:pPr>
      <w:r>
        <w:rPr>
          <w:rFonts w:ascii="Verdana" w:hAnsi="Verdana"/>
          <w:b/>
          <w:color w:val="000000" w:themeColor="text1"/>
          <w:sz w:val="18"/>
        </w:rPr>
        <w:t>Voir aussi</w:t>
      </w:r>
    </w:p>
    <w:p w14:paraId="1BE9E6B5" w14:textId="7D493DF1" w:rsidR="00DF6E86" w:rsidRPr="00497478" w:rsidRDefault="006559DB" w:rsidP="00903622">
      <w:pPr>
        <w:rPr>
          <w:rFonts w:ascii="Verdana" w:hAnsi="Verdana"/>
          <w:i/>
          <w:iCs/>
          <w:color w:val="C00000"/>
          <w:sz w:val="18"/>
          <w:szCs w:val="18"/>
        </w:rPr>
      </w:pPr>
      <w:hyperlink r:id="rId25" w:history="1">
        <w:r w:rsidR="00F071A1" w:rsidRPr="006559DB">
          <w:rPr>
            <w:rStyle w:val="Hyperlink"/>
            <w:rFonts w:ascii="Verdana" w:hAnsi="Verdana"/>
            <w:i/>
            <w:sz w:val="18"/>
          </w:rPr>
          <w:t xml:space="preserve">M3_2_1_2 éléments à prendre en compte lors de la définition de la valeur du </w:t>
        </w:r>
        <w:proofErr w:type="gramStart"/>
        <w:r w:rsidR="00F071A1" w:rsidRPr="006559DB">
          <w:rPr>
            <w:rStyle w:val="Hyperlink"/>
            <w:rFonts w:ascii="Verdana" w:hAnsi="Verdana"/>
            <w:i/>
            <w:sz w:val="18"/>
          </w:rPr>
          <w:t>transfert;</w:t>
        </w:r>
        <w:proofErr w:type="gramEnd"/>
      </w:hyperlink>
      <w:r w:rsidR="00F071A1" w:rsidRPr="00497478">
        <w:rPr>
          <w:rFonts w:ascii="Verdana" w:hAnsi="Verdana"/>
          <w:i/>
          <w:color w:val="C00000"/>
          <w:sz w:val="18"/>
        </w:rPr>
        <w:t xml:space="preserve"> </w:t>
      </w:r>
      <w:hyperlink r:id="rId26" w:history="1">
        <w:r w:rsidR="00F071A1" w:rsidRPr="0097443E">
          <w:rPr>
            <w:rStyle w:val="Hyperlink"/>
            <w:rFonts w:ascii="Verdana" w:hAnsi="Verdana"/>
            <w:i/>
            <w:sz w:val="18"/>
          </w:rPr>
          <w:t>M2_2_4_1 modèle de rapport d’évaluation communautaire</w:t>
        </w:r>
      </w:hyperlink>
      <w:r w:rsidR="00F071A1" w:rsidRPr="00497478">
        <w:rPr>
          <w:rFonts w:ascii="Verdana" w:hAnsi="Verdana"/>
          <w:i/>
          <w:color w:val="C00000"/>
          <w:sz w:val="18"/>
        </w:rPr>
        <w:t xml:space="preserve"> </w:t>
      </w:r>
    </w:p>
    <w:p w14:paraId="76913F60" w14:textId="77777777" w:rsidR="00CB2FAF" w:rsidRDefault="00CB2FAF" w:rsidP="00903622">
      <w:pPr>
        <w:rPr>
          <w:rFonts w:ascii="Verdana" w:hAnsi="Verdana"/>
          <w:b/>
          <w:bCs/>
          <w:sz w:val="22"/>
          <w:szCs w:val="22"/>
        </w:rPr>
      </w:pPr>
    </w:p>
    <w:p w14:paraId="06072E10" w14:textId="2218102C" w:rsidR="00B204BC" w:rsidRDefault="00F11BA1" w:rsidP="00903622">
      <w:pPr>
        <w:rPr>
          <w:rFonts w:ascii="Verdana" w:hAnsi="Verdana"/>
          <w:b/>
          <w:bCs/>
          <w:sz w:val="22"/>
          <w:szCs w:val="22"/>
        </w:rPr>
      </w:pPr>
      <w:r>
        <w:rPr>
          <w:rFonts w:ascii="Verdana" w:hAnsi="Verdana"/>
          <w:b/>
          <w:sz w:val="22"/>
        </w:rPr>
        <w:t xml:space="preserve">5. PRESTATAIRES DE SERVICES FINANCIERS (PSF) </w:t>
      </w:r>
    </w:p>
    <w:p w14:paraId="11E470B7" w14:textId="6AFA6BB8" w:rsidR="00156542" w:rsidRDefault="00156542" w:rsidP="00903622">
      <w:pPr>
        <w:rPr>
          <w:rFonts w:ascii="Verdana" w:hAnsi="Verdana"/>
          <w:b/>
          <w:bCs/>
          <w:sz w:val="18"/>
          <w:szCs w:val="18"/>
        </w:rPr>
      </w:pPr>
      <w:r>
        <w:rPr>
          <w:rFonts w:ascii="Verdana" w:hAnsi="Verdana"/>
          <w:b/>
          <w:sz w:val="18"/>
        </w:rPr>
        <w:t xml:space="preserve">Généralités </w:t>
      </w:r>
    </w:p>
    <w:p w14:paraId="5A8EF670" w14:textId="1718D369" w:rsidR="003302FA" w:rsidRPr="003302FA" w:rsidRDefault="005A77FB" w:rsidP="5B534714">
      <w:pPr>
        <w:pStyle w:val="Heading3"/>
        <w:jc w:val="both"/>
        <w:rPr>
          <w:rFonts w:ascii="Verdana" w:hAnsi="Verdana"/>
          <w:b w:val="0"/>
          <w:sz w:val="18"/>
          <w:szCs w:val="18"/>
        </w:rPr>
      </w:pPr>
      <w:r>
        <w:rPr>
          <w:rFonts w:ascii="Verdana" w:hAnsi="Verdana"/>
          <w:b w:val="0"/>
          <w:sz w:val="18"/>
        </w:rPr>
        <w:t xml:space="preserve">Cette étape implique la recherche et le rétrécissement des fournisseurs de services financiers potentiels (PSF), y compris la prise en compte de la capacité des PSF à se charger des TM dans les situations d’urgence et les risques de travailler avec eux. Tenez compte des éléments suivants pour affiner votre choix : </w:t>
      </w:r>
    </w:p>
    <w:p w14:paraId="39910D7D" w14:textId="20269DDB" w:rsidR="003302FA" w:rsidRPr="001D5E14" w:rsidRDefault="003302FA">
      <w:pPr>
        <w:pStyle w:val="H1"/>
        <w:numPr>
          <w:ilvl w:val="0"/>
          <w:numId w:val="10"/>
        </w:numPr>
        <w:spacing w:before="120" w:after="120"/>
        <w:jc w:val="both"/>
        <w:rPr>
          <w:rFonts w:ascii="Verdana" w:hAnsi="Verdana" w:cs="Arial"/>
          <w:b w:val="0"/>
          <w:sz w:val="18"/>
          <w:szCs w:val="18"/>
        </w:rPr>
      </w:pPr>
      <w:proofErr w:type="gramStart"/>
      <w:r>
        <w:rPr>
          <w:rFonts w:ascii="Verdana" w:hAnsi="Verdana"/>
          <w:b w:val="0"/>
          <w:sz w:val="18"/>
        </w:rPr>
        <w:t>comment</w:t>
      </w:r>
      <w:proofErr w:type="gramEnd"/>
      <w:r>
        <w:rPr>
          <w:rFonts w:ascii="Verdana" w:hAnsi="Verdana"/>
          <w:b w:val="0"/>
          <w:sz w:val="18"/>
        </w:rPr>
        <w:t xml:space="preserve"> ils répondent aux besoins de l’organisation et des bénéficiaires visés</w:t>
      </w:r>
    </w:p>
    <w:p w14:paraId="0CBF5658" w14:textId="22A07DA3" w:rsidR="003302FA" w:rsidRPr="001D5E14" w:rsidRDefault="003302FA">
      <w:pPr>
        <w:pStyle w:val="H1"/>
        <w:numPr>
          <w:ilvl w:val="0"/>
          <w:numId w:val="10"/>
        </w:numPr>
        <w:spacing w:before="120" w:after="120"/>
        <w:jc w:val="both"/>
        <w:rPr>
          <w:rFonts w:ascii="Verdana" w:hAnsi="Verdana" w:cs="Arial"/>
          <w:b w:val="0"/>
          <w:sz w:val="18"/>
          <w:szCs w:val="18"/>
        </w:rPr>
      </w:pPr>
      <w:proofErr w:type="gramStart"/>
      <w:r>
        <w:rPr>
          <w:rFonts w:ascii="Verdana" w:hAnsi="Verdana"/>
          <w:b w:val="0"/>
          <w:sz w:val="18"/>
        </w:rPr>
        <w:t>leur</w:t>
      </w:r>
      <w:proofErr w:type="gramEnd"/>
      <w:r>
        <w:rPr>
          <w:rFonts w:ascii="Verdana" w:hAnsi="Verdana"/>
          <w:b w:val="0"/>
          <w:sz w:val="18"/>
        </w:rPr>
        <w:t xml:space="preserve"> couverture géographique</w:t>
      </w:r>
    </w:p>
    <w:p w14:paraId="236030F5" w14:textId="77777777" w:rsidR="003302FA" w:rsidRPr="001D5E14" w:rsidRDefault="003302FA">
      <w:pPr>
        <w:pStyle w:val="H1"/>
        <w:numPr>
          <w:ilvl w:val="0"/>
          <w:numId w:val="10"/>
        </w:numPr>
        <w:spacing w:before="120" w:after="120"/>
        <w:jc w:val="both"/>
        <w:rPr>
          <w:rFonts w:ascii="Verdana" w:hAnsi="Verdana" w:cs="Arial"/>
          <w:b w:val="0"/>
          <w:sz w:val="18"/>
          <w:szCs w:val="18"/>
        </w:rPr>
      </w:pPr>
      <w:proofErr w:type="gramStart"/>
      <w:r>
        <w:rPr>
          <w:rFonts w:ascii="Verdana" w:hAnsi="Verdana"/>
          <w:b w:val="0"/>
          <w:sz w:val="18"/>
        </w:rPr>
        <w:t>les</w:t>
      </w:r>
      <w:proofErr w:type="gramEnd"/>
      <w:r>
        <w:rPr>
          <w:rFonts w:ascii="Verdana" w:hAnsi="Verdana"/>
          <w:b w:val="0"/>
          <w:sz w:val="18"/>
        </w:rPr>
        <w:t xml:space="preserve"> frais qu’ils facturent, et </w:t>
      </w:r>
    </w:p>
    <w:p w14:paraId="3C42E951" w14:textId="77777777" w:rsidR="003302FA" w:rsidRPr="001D5E14" w:rsidRDefault="003302FA">
      <w:pPr>
        <w:pStyle w:val="H1"/>
        <w:numPr>
          <w:ilvl w:val="0"/>
          <w:numId w:val="10"/>
        </w:numPr>
        <w:spacing w:before="120" w:after="120"/>
        <w:jc w:val="both"/>
        <w:rPr>
          <w:rFonts w:ascii="Verdana" w:hAnsi="Verdana" w:cs="Arial"/>
          <w:b w:val="0"/>
          <w:sz w:val="18"/>
          <w:szCs w:val="18"/>
        </w:rPr>
      </w:pPr>
      <w:proofErr w:type="gramStart"/>
      <w:r>
        <w:rPr>
          <w:rFonts w:ascii="Verdana" w:hAnsi="Verdana"/>
          <w:b w:val="0"/>
          <w:sz w:val="18"/>
        </w:rPr>
        <w:t>la</w:t>
      </w:r>
      <w:proofErr w:type="gramEnd"/>
      <w:r>
        <w:rPr>
          <w:rFonts w:ascii="Verdana" w:hAnsi="Verdana"/>
          <w:b w:val="0"/>
          <w:sz w:val="18"/>
        </w:rPr>
        <w:t xml:space="preserve"> qualité du service qu’ils offrent. </w:t>
      </w:r>
    </w:p>
    <w:p w14:paraId="6DFD98BF" w14:textId="0A545115" w:rsidR="003302FA" w:rsidRPr="003302FA" w:rsidRDefault="003302FA" w:rsidP="00903622">
      <w:pPr>
        <w:rPr>
          <w:rFonts w:ascii="Verdana" w:hAnsi="Verdana"/>
          <w:sz w:val="18"/>
          <w:szCs w:val="18"/>
        </w:rPr>
      </w:pPr>
      <w:r>
        <w:rPr>
          <w:rFonts w:ascii="Verdana" w:hAnsi="Verdana"/>
          <w:sz w:val="18"/>
        </w:rPr>
        <w:t>Les outils de référence dans ce domaine peuvent vous aider à comprendre ce que vous devez demander à des PSF spécifiques, afin qu’ils puissent éventuellement être inclus dans le processus de sélection. L’évaluation des sources de services financiers et de la liste de contrôle va plus loin dans la schématisation et examine l’environnement financier favorable en général.</w:t>
      </w:r>
    </w:p>
    <w:p w14:paraId="03C4DE7F" w14:textId="29695703" w:rsidR="00156542" w:rsidRPr="002D620B" w:rsidRDefault="00080A4D" w:rsidP="00903622">
      <w:pPr>
        <w:rPr>
          <w:rFonts w:ascii="Verdana" w:hAnsi="Verdana"/>
          <w:b/>
          <w:bCs/>
          <w:sz w:val="18"/>
          <w:szCs w:val="18"/>
        </w:rPr>
      </w:pPr>
      <w:r>
        <w:rPr>
          <w:rFonts w:ascii="Verdana" w:hAnsi="Verdana"/>
          <w:b/>
          <w:sz w:val="18"/>
        </w:rPr>
        <w:t>Principaux outils</w:t>
      </w:r>
    </w:p>
    <w:p w14:paraId="6CEEA32D" w14:textId="3078F128" w:rsidR="003302FA" w:rsidRPr="00497478" w:rsidRDefault="00A2490B" w:rsidP="3130A2F0">
      <w:pPr>
        <w:spacing w:line="276" w:lineRule="auto"/>
        <w:rPr>
          <w:rFonts w:ascii="Verdana" w:hAnsi="Verdana"/>
          <w:color w:val="C00000"/>
          <w:sz w:val="18"/>
          <w:szCs w:val="18"/>
        </w:rPr>
      </w:pPr>
      <w:hyperlink r:id="rId27" w:history="1">
        <w:r w:rsidR="00F071A1" w:rsidRPr="00A2490B">
          <w:rPr>
            <w:rStyle w:val="Hyperlink"/>
            <w:rFonts w:ascii="Verdana" w:hAnsi="Verdana"/>
            <w:i/>
            <w:sz w:val="18"/>
          </w:rPr>
          <w:t>Liste de contrôle pour les entrevues de base des TM externes </w:t>
        </w:r>
      </w:hyperlink>
      <w:r w:rsidR="00F071A1" w:rsidRPr="00497478">
        <w:rPr>
          <w:color w:val="C00000"/>
        </w:rPr>
        <w:t xml:space="preserve">; </w:t>
      </w:r>
      <w:hyperlink r:id="rId28" w:history="1">
        <w:r w:rsidR="000C0907" w:rsidRPr="00A2490B">
          <w:rPr>
            <w:rStyle w:val="Hyperlink"/>
            <w:rFonts w:ascii="Verdana" w:hAnsi="Verdana"/>
            <w:i/>
            <w:iCs/>
            <w:sz w:val="18"/>
          </w:rPr>
          <w:t>S</w:t>
        </w:r>
        <w:r w:rsidR="00F071A1" w:rsidRPr="00A2490B">
          <w:rPr>
            <w:rStyle w:val="Hyperlink"/>
            <w:rFonts w:ascii="Verdana" w:hAnsi="Verdana"/>
            <w:i/>
            <w:iCs/>
            <w:sz w:val="18"/>
          </w:rPr>
          <w:t>ources de données secondaires de base des TM externes</w:t>
        </w:r>
        <w:r w:rsidR="00F071A1" w:rsidRPr="00A2490B">
          <w:rPr>
            <w:rStyle w:val="Hyperlink"/>
          </w:rPr>
          <w:t>,</w:t>
        </w:r>
      </w:hyperlink>
      <w:r w:rsidR="00F071A1" w:rsidRPr="00497478">
        <w:rPr>
          <w:color w:val="C00000"/>
        </w:rPr>
        <w:t xml:space="preserve"> </w:t>
      </w:r>
      <w:hyperlink r:id="rId29" w:history="1">
        <w:r w:rsidR="00F071A1" w:rsidRPr="004B559D">
          <w:rPr>
            <w:rStyle w:val="Hyperlink"/>
            <w:rFonts w:ascii="Verdana" w:hAnsi="Verdana"/>
            <w:i/>
            <w:sz w:val="18"/>
          </w:rPr>
          <w:t>M1_1_2_6 liste de contrôle pour la cartographie de base des PSF</w:t>
        </w:r>
      </w:hyperlink>
      <w:r w:rsidR="00F071A1" w:rsidRPr="00497478">
        <w:rPr>
          <w:color w:val="C00000"/>
        </w:rPr>
        <w:t xml:space="preserve">, </w:t>
      </w:r>
      <w:hyperlink r:id="rId30" w:history="1">
        <w:r w:rsidR="00F071A1" w:rsidRPr="004B559D">
          <w:rPr>
            <w:rStyle w:val="Hyperlink"/>
            <w:rFonts w:ascii="Verdana" w:hAnsi="Verdana"/>
            <w:i/>
            <w:sz w:val="18"/>
          </w:rPr>
          <w:t>M1_1_2_7 modèle pour l’identification des PSF</w:t>
        </w:r>
        <w:r w:rsidR="00F071A1" w:rsidRPr="004B559D">
          <w:rPr>
            <w:rStyle w:val="Hyperlink"/>
          </w:rPr>
          <w:t>,</w:t>
        </w:r>
      </w:hyperlink>
      <w:r w:rsidR="00F071A1" w:rsidRPr="00497478">
        <w:rPr>
          <w:color w:val="C00000"/>
        </w:rPr>
        <w:t xml:space="preserve"> </w:t>
      </w:r>
      <w:hyperlink r:id="rId31" w:history="1">
        <w:r w:rsidR="00F071A1" w:rsidRPr="00856D5A">
          <w:rPr>
            <w:rStyle w:val="Hyperlink"/>
            <w:rFonts w:ascii="Verdana" w:hAnsi="Verdana"/>
            <w:i/>
            <w:sz w:val="18"/>
          </w:rPr>
          <w:t>M4_1_1 évaluation des sources de services financiers et liste de contrôle</w:t>
        </w:r>
      </w:hyperlink>
      <w:r w:rsidR="00F071A1" w:rsidRPr="00497478">
        <w:rPr>
          <w:color w:val="C00000"/>
        </w:rPr>
        <w:t xml:space="preserve"> (Option avancée)</w:t>
      </w:r>
      <w:r w:rsidR="00F071A1" w:rsidRPr="00497478">
        <w:rPr>
          <w:rFonts w:ascii="Verdana" w:hAnsi="Verdana"/>
          <w:color w:val="C00000"/>
          <w:sz w:val="18"/>
        </w:rPr>
        <w:t xml:space="preserve"> </w:t>
      </w:r>
    </w:p>
    <w:p w14:paraId="71860017" w14:textId="7B4FCAB0" w:rsidR="009B052E" w:rsidRPr="00CB2FAF" w:rsidRDefault="009B052E" w:rsidP="009B052E">
      <w:pPr>
        <w:spacing w:after="0" w:line="276" w:lineRule="auto"/>
        <w:jc w:val="left"/>
        <w:rPr>
          <w:rFonts w:ascii="Verdana" w:hAnsi="Verdana"/>
          <w:b/>
          <w:bCs/>
          <w:color w:val="000000" w:themeColor="text1"/>
          <w:sz w:val="18"/>
          <w:szCs w:val="18"/>
        </w:rPr>
      </w:pPr>
      <w:r>
        <w:rPr>
          <w:rFonts w:ascii="Verdana" w:hAnsi="Verdana"/>
          <w:b/>
          <w:color w:val="000000" w:themeColor="text1"/>
          <w:sz w:val="18"/>
        </w:rPr>
        <w:t>Autres outils utiles</w:t>
      </w:r>
    </w:p>
    <w:p w14:paraId="2176A86B" w14:textId="6E00C5F8" w:rsidR="009B052E" w:rsidRPr="00497478" w:rsidRDefault="00FE6129" w:rsidP="5B534714">
      <w:pPr>
        <w:spacing w:after="0" w:line="276" w:lineRule="auto"/>
        <w:jc w:val="left"/>
        <w:rPr>
          <w:rFonts w:ascii="Verdana" w:hAnsi="Verdana"/>
          <w:i/>
          <w:iCs/>
          <w:color w:val="C00000"/>
          <w:sz w:val="18"/>
          <w:szCs w:val="18"/>
        </w:rPr>
      </w:pPr>
      <w:hyperlink r:id="rId32" w:history="1">
        <w:r w:rsidR="00F071A1" w:rsidRPr="00FE6129">
          <w:rPr>
            <w:rStyle w:val="Hyperlink"/>
            <w:rFonts w:ascii="Verdana" w:hAnsi="Verdana"/>
            <w:i/>
            <w:sz w:val="18"/>
          </w:rPr>
          <w:t>M2_4_0 « Plan pour les prestataires de service capacité organisationnelle et analyse des risques »</w:t>
        </w:r>
      </w:hyperlink>
    </w:p>
    <w:p w14:paraId="27AE532C" w14:textId="77777777" w:rsidR="009B052E" w:rsidRPr="00872D29" w:rsidRDefault="009B052E" w:rsidP="009B052E">
      <w:pPr>
        <w:spacing w:line="276" w:lineRule="auto"/>
        <w:rPr>
          <w:rFonts w:ascii="Verdana" w:hAnsi="Verdana"/>
          <w:color w:val="FF0000"/>
          <w:sz w:val="18"/>
          <w:szCs w:val="18"/>
        </w:rPr>
      </w:pPr>
    </w:p>
    <w:p w14:paraId="068BF887" w14:textId="7D36AA57" w:rsidR="0061281E" w:rsidRPr="00547EF9" w:rsidRDefault="00F11BA1" w:rsidP="5B534714">
      <w:pPr>
        <w:pStyle w:val="Heading3"/>
        <w:rPr>
          <w:rFonts w:ascii="Verdana" w:hAnsi="Verdana"/>
        </w:rPr>
      </w:pPr>
      <w:r>
        <w:rPr>
          <w:rFonts w:ascii="Verdana" w:hAnsi="Verdana"/>
        </w:rPr>
        <w:t>6. ANALYSE DES RISQUES</w:t>
      </w:r>
    </w:p>
    <w:p w14:paraId="1C2DA685" w14:textId="7EA2E295" w:rsidR="00EC32D6" w:rsidRDefault="00156542" w:rsidP="00903622">
      <w:pPr>
        <w:rPr>
          <w:rFonts w:ascii="Verdana" w:hAnsi="Verdana"/>
          <w:b/>
          <w:bCs/>
          <w:sz w:val="18"/>
          <w:szCs w:val="18"/>
        </w:rPr>
      </w:pPr>
      <w:r>
        <w:rPr>
          <w:rFonts w:ascii="Verdana" w:hAnsi="Verdana"/>
          <w:b/>
          <w:sz w:val="18"/>
        </w:rPr>
        <w:t>Généralités</w:t>
      </w:r>
    </w:p>
    <w:p w14:paraId="0DC19D51" w14:textId="097F374E" w:rsidR="00443BA3" w:rsidRPr="00811B5D" w:rsidRDefault="00443BA3" w:rsidP="00903622">
      <w:pPr>
        <w:rPr>
          <w:rFonts w:ascii="Verdana" w:hAnsi="Verdana"/>
          <w:sz w:val="18"/>
          <w:szCs w:val="18"/>
        </w:rPr>
      </w:pPr>
      <w:r>
        <w:rPr>
          <w:rFonts w:ascii="Verdana" w:hAnsi="Verdana"/>
          <w:sz w:val="18"/>
        </w:rPr>
        <w:t xml:space="preserve">Le processus d’analyse des risques est expliqué dans la feuille de route de l’outil </w:t>
      </w:r>
      <w:r>
        <w:rPr>
          <w:rFonts w:ascii="Verdana" w:hAnsi="Verdana"/>
          <w:b/>
          <w:color w:val="000000" w:themeColor="text1"/>
          <w:sz w:val="18"/>
        </w:rPr>
        <w:t>pour l’analyse des risques</w:t>
      </w:r>
      <w:r>
        <w:rPr>
          <w:rFonts w:ascii="Verdana" w:hAnsi="Verdana"/>
          <w:sz w:val="18"/>
        </w:rPr>
        <w:t xml:space="preserve">. Le </w:t>
      </w:r>
      <w:r>
        <w:rPr>
          <w:rFonts w:ascii="Verdana" w:hAnsi="Verdana"/>
          <w:b/>
          <w:sz w:val="18"/>
        </w:rPr>
        <w:t xml:space="preserve">modèle de matrice des risques </w:t>
      </w:r>
      <w:r>
        <w:rPr>
          <w:rFonts w:ascii="Verdana" w:hAnsi="Verdana"/>
          <w:sz w:val="18"/>
        </w:rPr>
        <w:t xml:space="preserve">et le </w:t>
      </w:r>
      <w:r>
        <w:rPr>
          <w:rFonts w:ascii="Verdana" w:hAnsi="Verdana"/>
          <w:b/>
          <w:sz w:val="18"/>
        </w:rPr>
        <w:t>modèle de registre des risques</w:t>
      </w:r>
      <w:r>
        <w:rPr>
          <w:rFonts w:ascii="Verdana" w:hAnsi="Verdana"/>
          <w:sz w:val="18"/>
        </w:rPr>
        <w:t xml:space="preserve"> aideront à identifier et à consigner les principaux risques, ainsi que les mesures d’atténuation potentielles. Pour les SN qui souhaitent aller plus loin, ils peuvent également utiliser la liste de contrôle détaillée </w:t>
      </w:r>
      <w:r>
        <w:rPr>
          <w:rFonts w:ascii="Verdana" w:hAnsi="Verdana"/>
          <w:b/>
          <w:sz w:val="18"/>
        </w:rPr>
        <w:t>de la gestion des risques des PON FICR</w:t>
      </w:r>
      <w:r>
        <w:rPr>
          <w:rFonts w:ascii="Verdana" w:hAnsi="Verdana"/>
          <w:sz w:val="18"/>
        </w:rPr>
        <w:t>, en particulier s’il existe un partenaire ou un soutien FICR disponible. La FICR exige un niveau plus élevé de sensibilisation aux risques et tient compte des risques juridiques, de conformité, stratégiques, de sécurité, financiers et de programmation.</w:t>
      </w:r>
    </w:p>
    <w:p w14:paraId="19113D98" w14:textId="64803AE3" w:rsidR="00595BBC" w:rsidRDefault="00901DB8" w:rsidP="00903622">
      <w:pPr>
        <w:rPr>
          <w:rFonts w:ascii="Verdana" w:hAnsi="Verdana"/>
          <w:sz w:val="18"/>
          <w:szCs w:val="18"/>
        </w:rPr>
      </w:pPr>
      <w:r>
        <w:rPr>
          <w:rFonts w:ascii="Verdana" w:hAnsi="Verdana"/>
          <w:sz w:val="18"/>
        </w:rPr>
        <w:t>Principales étapes de l’analyse des risques TM :</w:t>
      </w:r>
    </w:p>
    <w:p w14:paraId="788AF859" w14:textId="278D60E9" w:rsidR="00595BBC" w:rsidRPr="001D5E14" w:rsidRDefault="00595BBC">
      <w:pPr>
        <w:pStyle w:val="H1"/>
        <w:numPr>
          <w:ilvl w:val="0"/>
          <w:numId w:val="10"/>
        </w:numPr>
        <w:spacing w:before="120" w:after="120"/>
        <w:jc w:val="both"/>
        <w:rPr>
          <w:rFonts w:ascii="Verdana" w:hAnsi="Verdana" w:cs="Arial"/>
          <w:b w:val="0"/>
          <w:sz w:val="18"/>
          <w:szCs w:val="18"/>
        </w:rPr>
      </w:pPr>
      <w:r>
        <w:rPr>
          <w:rFonts w:ascii="Verdana" w:hAnsi="Verdana"/>
          <w:b w:val="0"/>
          <w:sz w:val="18"/>
        </w:rPr>
        <w:t>Identifier et décrire les risques</w:t>
      </w:r>
    </w:p>
    <w:p w14:paraId="06667189" w14:textId="5A57D42B" w:rsidR="00595BBC" w:rsidRDefault="00595BBC">
      <w:pPr>
        <w:pStyle w:val="H1"/>
        <w:numPr>
          <w:ilvl w:val="0"/>
          <w:numId w:val="10"/>
        </w:numPr>
        <w:spacing w:before="120" w:after="120"/>
        <w:jc w:val="both"/>
        <w:rPr>
          <w:rFonts w:ascii="Verdana" w:hAnsi="Verdana" w:cs="Arial"/>
          <w:b w:val="0"/>
          <w:sz w:val="18"/>
          <w:szCs w:val="18"/>
        </w:rPr>
      </w:pPr>
      <w:r>
        <w:rPr>
          <w:rFonts w:ascii="Verdana" w:hAnsi="Verdana"/>
          <w:b w:val="0"/>
          <w:sz w:val="18"/>
        </w:rPr>
        <w:t>Évaluer la gravité du risque</w:t>
      </w:r>
    </w:p>
    <w:p w14:paraId="786C9487" w14:textId="0F80ABFD" w:rsidR="00595BBC" w:rsidRDefault="00DF6E86">
      <w:pPr>
        <w:pStyle w:val="H1"/>
        <w:numPr>
          <w:ilvl w:val="0"/>
          <w:numId w:val="10"/>
        </w:numPr>
        <w:spacing w:before="120" w:after="120"/>
        <w:jc w:val="both"/>
        <w:rPr>
          <w:rFonts w:ascii="Verdana" w:hAnsi="Verdana" w:cs="Arial"/>
          <w:b w:val="0"/>
          <w:sz w:val="18"/>
          <w:szCs w:val="18"/>
        </w:rPr>
      </w:pPr>
      <w:r>
        <w:rPr>
          <w:rFonts w:ascii="Verdana" w:hAnsi="Verdana"/>
          <w:b w:val="0"/>
          <w:sz w:val="18"/>
        </w:rPr>
        <w:t xml:space="preserve">Les risques doivent être classés selon le fait qu’ils sont contextuels, programmatiques ou institutionnels </w:t>
      </w:r>
    </w:p>
    <w:p w14:paraId="0F460EAE" w14:textId="13232BDC" w:rsidR="00901DB8" w:rsidRDefault="00901DB8">
      <w:pPr>
        <w:pStyle w:val="H1"/>
        <w:numPr>
          <w:ilvl w:val="0"/>
          <w:numId w:val="10"/>
        </w:numPr>
        <w:spacing w:before="120" w:after="120"/>
        <w:jc w:val="both"/>
        <w:rPr>
          <w:rFonts w:ascii="Verdana" w:hAnsi="Verdana" w:cs="Arial"/>
          <w:b w:val="0"/>
          <w:sz w:val="18"/>
          <w:szCs w:val="18"/>
        </w:rPr>
      </w:pPr>
      <w:r>
        <w:rPr>
          <w:rFonts w:ascii="Verdana" w:hAnsi="Verdana"/>
          <w:b w:val="0"/>
          <w:sz w:val="18"/>
        </w:rPr>
        <w:t>Décidez de la réponse : accepter, contrôler, éviter ou transférer</w:t>
      </w:r>
    </w:p>
    <w:p w14:paraId="475644C7" w14:textId="6062188A" w:rsidR="00901DB8" w:rsidRPr="00901DB8" w:rsidRDefault="00901DB8">
      <w:pPr>
        <w:pStyle w:val="H1"/>
        <w:numPr>
          <w:ilvl w:val="0"/>
          <w:numId w:val="10"/>
        </w:numPr>
        <w:spacing w:before="120" w:after="120"/>
        <w:jc w:val="both"/>
        <w:rPr>
          <w:rFonts w:ascii="Verdana" w:hAnsi="Verdana" w:cs="Arial"/>
          <w:b w:val="0"/>
          <w:sz w:val="18"/>
          <w:szCs w:val="18"/>
        </w:rPr>
      </w:pPr>
      <w:r>
        <w:rPr>
          <w:rFonts w:ascii="Verdana" w:hAnsi="Verdana"/>
          <w:b w:val="0"/>
          <w:sz w:val="18"/>
        </w:rPr>
        <w:t>Déterminer les mesures à prendre (contrôles/atténuations)</w:t>
      </w:r>
    </w:p>
    <w:p w14:paraId="258A7203" w14:textId="4CA0DCA0" w:rsidR="00901DB8" w:rsidRPr="00D315FA" w:rsidRDefault="00901DB8" w:rsidP="00903622">
      <w:pPr>
        <w:pStyle w:val="H1"/>
        <w:spacing w:before="120" w:after="120"/>
        <w:jc w:val="both"/>
        <w:rPr>
          <w:rFonts w:ascii="Verdana" w:hAnsi="Verdana" w:cs="Arial"/>
          <w:b w:val="0"/>
          <w:sz w:val="18"/>
          <w:szCs w:val="18"/>
        </w:rPr>
      </w:pPr>
      <w:r>
        <w:rPr>
          <w:rFonts w:ascii="Verdana" w:hAnsi="Verdana"/>
          <w:b w:val="0"/>
          <w:sz w:val="18"/>
        </w:rPr>
        <w:lastRenderedPageBreak/>
        <w:t>Les SN devraient examiner attentivement le niveau d’appétit pour le risque organisationnel qu’ils sont prêts à prendre pour les risques identifiés.  L’appétit pour le risque est la quantité de risque qu’une SN est prêt à prendre. Il est également important que le niveau de contrôle corresponde au niveau de risque atténué.</w:t>
      </w:r>
    </w:p>
    <w:p w14:paraId="16205A1F" w14:textId="3B628730" w:rsidR="00CB2FAF" w:rsidRPr="00DB0F9F" w:rsidRDefault="00B75D4D" w:rsidP="00903622">
      <w:pPr>
        <w:rPr>
          <w:rFonts w:ascii="Verdana" w:hAnsi="Verdana"/>
          <w:sz w:val="18"/>
          <w:szCs w:val="18"/>
        </w:rPr>
      </w:pPr>
      <w:r>
        <w:rPr>
          <w:rFonts w:ascii="Verdana" w:hAnsi="Verdana"/>
          <w:sz w:val="18"/>
        </w:rPr>
        <w:t>Les conclusions de l’évaluation initiale en ce qui concerne les risques devraient être discutées et compilées collectivement lors d’une réunion d’équipe entre les principaux départements concernés (TM, programmes, opérations, logistique, etc.) et au niveau des directions générales.</w:t>
      </w:r>
    </w:p>
    <w:p w14:paraId="427032A4" w14:textId="7DDFD27B" w:rsidR="002036DF" w:rsidRDefault="00777C9B" w:rsidP="00903622">
      <w:pPr>
        <w:rPr>
          <w:rFonts w:ascii="Verdana" w:hAnsi="Verdana"/>
          <w:b/>
          <w:bCs/>
          <w:sz w:val="19"/>
          <w:szCs w:val="19"/>
        </w:rPr>
      </w:pPr>
      <w:r>
        <w:rPr>
          <w:rFonts w:ascii="Verdana" w:hAnsi="Verdana"/>
          <w:b/>
          <w:sz w:val="18"/>
        </w:rPr>
        <w:t>Principaux outils</w:t>
      </w:r>
    </w:p>
    <w:p w14:paraId="13D0D157" w14:textId="486C8702" w:rsidR="000D7985" w:rsidRPr="00497478" w:rsidRDefault="008E792A" w:rsidP="00CB2FAF">
      <w:pPr>
        <w:rPr>
          <w:rFonts w:ascii="Verdana" w:hAnsi="Verdana"/>
          <w:iCs/>
          <w:color w:val="C00000"/>
          <w:sz w:val="18"/>
          <w:szCs w:val="18"/>
        </w:rPr>
      </w:pPr>
      <w:r>
        <w:rPr>
          <w:rFonts w:ascii="Verdana" w:hAnsi="Verdana"/>
          <w:i/>
          <w:color w:val="C00000"/>
          <w:sz w:val="18"/>
        </w:rPr>
        <w:fldChar w:fldCharType="begin"/>
      </w:r>
      <w:r>
        <w:rPr>
          <w:rFonts w:ascii="Verdana" w:hAnsi="Verdana"/>
          <w:i/>
          <w:color w:val="C00000"/>
          <w:sz w:val="18"/>
        </w:rPr>
        <w:instrText>HYPERLINK "https://cash-hub.org/wp-content/uploads/sites/3/2024/11/1_4_1-Feuille-de-route-pour-lanalyse-des-risques-lies-aux-programmes-de-transferts-monetaires.docx"</w:instrText>
      </w:r>
      <w:r>
        <w:rPr>
          <w:rFonts w:ascii="Verdana" w:hAnsi="Verdana"/>
          <w:i/>
          <w:color w:val="C00000"/>
          <w:sz w:val="18"/>
        </w:rPr>
      </w:r>
      <w:r>
        <w:rPr>
          <w:rFonts w:ascii="Verdana" w:hAnsi="Verdana"/>
          <w:i/>
          <w:color w:val="C00000"/>
          <w:sz w:val="18"/>
        </w:rPr>
        <w:fldChar w:fldCharType="separate"/>
      </w:r>
      <w:r w:rsidR="00F071A1" w:rsidRPr="008E792A">
        <w:rPr>
          <w:rStyle w:val="Hyperlink"/>
          <w:rFonts w:ascii="Verdana" w:hAnsi="Verdana"/>
          <w:i/>
          <w:sz w:val="18"/>
        </w:rPr>
        <w:t>M3_1_4_1 feuille de route pour l’analyse des risques,</w:t>
      </w:r>
      <w:r>
        <w:rPr>
          <w:rFonts w:ascii="Verdana" w:hAnsi="Verdana"/>
          <w:i/>
          <w:color w:val="C00000"/>
          <w:sz w:val="18"/>
        </w:rPr>
        <w:fldChar w:fldCharType="end"/>
      </w:r>
      <w:r w:rsidR="00F071A1" w:rsidRPr="00497478">
        <w:rPr>
          <w:rFonts w:ascii="Verdana" w:hAnsi="Verdana"/>
          <w:i/>
          <w:color w:val="C00000"/>
          <w:sz w:val="18"/>
        </w:rPr>
        <w:t xml:space="preserve"> </w:t>
      </w:r>
      <w:hyperlink r:id="rId33" w:history="1">
        <w:r w:rsidR="00911DCA" w:rsidRPr="00911DCA">
          <w:rPr>
            <w:rStyle w:val="Hyperlink"/>
            <w:rFonts w:ascii="Verdana" w:hAnsi="Verdana"/>
            <w:i/>
            <w:sz w:val="18"/>
          </w:rPr>
          <w:t>M3_1_4_</w:t>
        </w:r>
        <w:r w:rsidR="00911DCA" w:rsidRPr="00911DCA">
          <w:rPr>
            <w:rStyle w:val="Hyperlink"/>
            <w:rFonts w:ascii="Verdana" w:hAnsi="Verdana"/>
            <w:i/>
            <w:sz w:val="18"/>
          </w:rPr>
          <w:t xml:space="preserve">2 </w:t>
        </w:r>
        <w:r w:rsidR="00F071A1" w:rsidRPr="00911DCA">
          <w:rPr>
            <w:rStyle w:val="Hyperlink"/>
            <w:rFonts w:ascii="Verdana" w:hAnsi="Verdana"/>
            <w:i/>
            <w:sz w:val="18"/>
          </w:rPr>
          <w:t>modèle de matrice des risques</w:t>
        </w:r>
        <w:r w:rsidR="00F071A1" w:rsidRPr="00911DCA">
          <w:rPr>
            <w:rStyle w:val="Hyperlink"/>
          </w:rPr>
          <w:t>,</w:t>
        </w:r>
      </w:hyperlink>
      <w:r w:rsidR="00F071A1" w:rsidRPr="00497478">
        <w:rPr>
          <w:color w:val="C00000"/>
        </w:rPr>
        <w:t xml:space="preserve"> </w:t>
      </w:r>
      <w:hyperlink r:id="rId34" w:history="1">
        <w:r w:rsidR="00F071A1" w:rsidRPr="00911DCA">
          <w:rPr>
            <w:rStyle w:val="Hyperlink"/>
            <w:rFonts w:ascii="Verdana" w:hAnsi="Verdana"/>
            <w:i/>
            <w:sz w:val="18"/>
          </w:rPr>
          <w:t>M3_1_4_3 modèle de registre des risques</w:t>
        </w:r>
        <w:r w:rsidR="00F071A1" w:rsidRPr="00911DCA">
          <w:rPr>
            <w:rStyle w:val="Hyperlink"/>
          </w:rPr>
          <w:t>,</w:t>
        </w:r>
      </w:hyperlink>
      <w:r w:rsidR="00F071A1" w:rsidRPr="00497478">
        <w:rPr>
          <w:color w:val="C00000"/>
        </w:rPr>
        <w:t xml:space="preserve"> </w:t>
      </w:r>
      <w:hyperlink r:id="rId35" w:history="1">
        <w:r w:rsidR="00F071A1" w:rsidRPr="005B08EF">
          <w:rPr>
            <w:rStyle w:val="Hyperlink"/>
            <w:rFonts w:ascii="Verdana" w:hAnsi="Verdana"/>
            <w:i/>
            <w:sz w:val="18"/>
          </w:rPr>
          <w:t xml:space="preserve">M1_1_2_9 liste de contrôle de la gestion des risques des PON de la FICR </w:t>
        </w:r>
      </w:hyperlink>
      <w:r w:rsidR="00F071A1" w:rsidRPr="00497478">
        <w:rPr>
          <w:rFonts w:ascii="Verdana" w:hAnsi="Verdana"/>
          <w:i/>
          <w:color w:val="C00000"/>
          <w:sz w:val="18"/>
        </w:rPr>
        <w:t xml:space="preserve"> </w:t>
      </w:r>
    </w:p>
    <w:p w14:paraId="4D834D03" w14:textId="77777777" w:rsidR="00CB2FAF" w:rsidRDefault="00CB2FAF" w:rsidP="0006650D">
      <w:pPr>
        <w:rPr>
          <w:rFonts w:ascii="Verdana" w:hAnsi="Verdana"/>
          <w:b/>
          <w:bCs/>
          <w:sz w:val="22"/>
          <w:szCs w:val="22"/>
        </w:rPr>
      </w:pPr>
    </w:p>
    <w:p w14:paraId="417874C9" w14:textId="300F2AA0" w:rsidR="00D20147" w:rsidRPr="00CB2FAF" w:rsidRDefault="00F11BA1" w:rsidP="0006650D">
      <w:pPr>
        <w:rPr>
          <w:rFonts w:ascii="Verdana" w:hAnsi="Verdana"/>
          <w:b/>
          <w:bCs/>
          <w:sz w:val="22"/>
          <w:szCs w:val="22"/>
        </w:rPr>
      </w:pPr>
      <w:r>
        <w:rPr>
          <w:rFonts w:ascii="Verdana" w:hAnsi="Verdana"/>
          <w:b/>
          <w:sz w:val="22"/>
        </w:rPr>
        <w:t xml:space="preserve">7. DÉCISION SUR LA </w:t>
      </w:r>
      <w:r w:rsidR="009A7BE4">
        <w:rPr>
          <w:rFonts w:ascii="Verdana" w:hAnsi="Verdana"/>
          <w:b/>
          <w:sz w:val="22"/>
        </w:rPr>
        <w:t>FAISABILITÉ</w:t>
      </w:r>
      <w:r>
        <w:rPr>
          <w:rFonts w:ascii="Verdana" w:hAnsi="Verdana"/>
          <w:b/>
          <w:sz w:val="22"/>
        </w:rPr>
        <w:t xml:space="preserve"> ET LES OPTIONS DE RÉPONSE DES TM</w:t>
      </w:r>
    </w:p>
    <w:p w14:paraId="652C8CDE" w14:textId="77777777" w:rsidR="00D20147" w:rsidRPr="006B562C" w:rsidRDefault="00D20147" w:rsidP="00E86A7D">
      <w:pPr>
        <w:rPr>
          <w:rFonts w:ascii="Verdana" w:hAnsi="Verdana"/>
          <w:b/>
          <w:bCs/>
          <w:sz w:val="19"/>
          <w:szCs w:val="19"/>
        </w:rPr>
      </w:pPr>
      <w:r>
        <w:rPr>
          <w:rFonts w:ascii="Verdana" w:hAnsi="Verdana"/>
          <w:b/>
          <w:sz w:val="19"/>
        </w:rPr>
        <w:t>Pourquoi est-ce important ?</w:t>
      </w:r>
    </w:p>
    <w:p w14:paraId="1573473B" w14:textId="50E3191C" w:rsidR="006B562C" w:rsidRDefault="1400933F" w:rsidP="00E86A7D">
      <w:pPr>
        <w:rPr>
          <w:rFonts w:ascii="Verdana" w:hAnsi="Verdana"/>
          <w:sz w:val="18"/>
          <w:szCs w:val="18"/>
        </w:rPr>
      </w:pPr>
      <w:r>
        <w:rPr>
          <w:rFonts w:ascii="Verdana" w:hAnsi="Verdana"/>
          <w:sz w:val="18"/>
        </w:rPr>
        <w:t xml:space="preserve">Cette section rassemble toutes les informations recueillies dans l’analyse TM avant une crise pour éclairer une décision préliminaire sur l’utilisation de TM, au préalable d’une réponse. Le processus est très similaire à la sous-étape « faisabilité, modalité et mécanisme » de l’analyse de la réponse, mais il met plutôt en avant une grande partie de la prise de décision pour faire partie </w:t>
      </w:r>
      <w:r w:rsidR="009A7BE4">
        <w:rPr>
          <w:rFonts w:ascii="Verdana" w:hAnsi="Verdana"/>
          <w:sz w:val="18"/>
        </w:rPr>
        <w:t xml:space="preserve">de </w:t>
      </w:r>
      <w:r w:rsidR="00CD352F">
        <w:rPr>
          <w:rFonts w:ascii="Verdana" w:hAnsi="Verdana"/>
          <w:sz w:val="18"/>
        </w:rPr>
        <w:t>la PTM</w:t>
      </w:r>
      <w:r>
        <w:rPr>
          <w:rFonts w:ascii="Verdana" w:hAnsi="Verdana"/>
          <w:sz w:val="18"/>
        </w:rPr>
        <w:t xml:space="preserve">. </w:t>
      </w:r>
    </w:p>
    <w:p w14:paraId="39D9EC3A" w14:textId="58012450" w:rsidR="00D20147" w:rsidRDefault="00032164" w:rsidP="00E86A7D">
      <w:pPr>
        <w:rPr>
          <w:rFonts w:ascii="Verdana" w:hAnsi="Verdana"/>
          <w:b/>
          <w:bCs/>
          <w:sz w:val="18"/>
          <w:szCs w:val="18"/>
        </w:rPr>
      </w:pPr>
      <w:r>
        <w:rPr>
          <w:noProof/>
        </w:rPr>
        <mc:AlternateContent>
          <mc:Choice Requires="wps">
            <w:drawing>
              <wp:anchor distT="0" distB="0" distL="114300" distR="114300" simplePos="0" relativeHeight="251694080" behindDoc="0" locked="0" layoutInCell="1" allowOverlap="1" wp14:anchorId="0BE4C000" wp14:editId="0FDEF49F">
                <wp:simplePos x="0" y="0"/>
                <wp:positionH relativeFrom="column">
                  <wp:posOffset>147320</wp:posOffset>
                </wp:positionH>
                <wp:positionV relativeFrom="paragraph">
                  <wp:posOffset>83617</wp:posOffset>
                </wp:positionV>
                <wp:extent cx="1316355" cy="693393"/>
                <wp:effectExtent l="50800" t="25400" r="67945" b="81915"/>
                <wp:wrapNone/>
                <wp:docPr id="22" name="Chevron 22"/>
                <wp:cNvGraphicFramePr/>
                <a:graphic xmlns:a="http://schemas.openxmlformats.org/drawingml/2006/main">
                  <a:graphicData uri="http://schemas.microsoft.com/office/word/2010/wordprocessingShape">
                    <wps:wsp>
                      <wps:cNvSpPr/>
                      <wps:spPr>
                        <a:xfrm>
                          <a:off x="0" y="0"/>
                          <a:ext cx="1316355" cy="693393"/>
                        </a:xfrm>
                        <a:prstGeom prst="chevron">
                          <a:avLst/>
                        </a:prstGeom>
                        <a:gradFill>
                          <a:gsLst>
                            <a:gs pos="100000">
                              <a:schemeClr val="accent5">
                                <a:lumMod val="60000"/>
                                <a:lumOff val="40000"/>
                              </a:schemeClr>
                            </a:gs>
                            <a:gs pos="100000">
                              <a:schemeClr val="accent1">
                                <a:tint val="50000"/>
                                <a:shade val="100000"/>
                                <a:satMod val="350000"/>
                              </a:schemeClr>
                            </a:gs>
                          </a:gsLst>
                        </a:gradFill>
                        <a:ln>
                          <a:solidFill>
                            <a:schemeClr val="accent5">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7528CD32" w14:textId="3F4C84CA" w:rsidR="00333F74" w:rsidRPr="00333F74" w:rsidRDefault="00777C9B" w:rsidP="00333F74">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Résultats de référence des TM externes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BE4C000" id="Chevron 22" o:spid="_x0000_s1039" type="#_x0000_t55" style="position:absolute;left:0;text-align:left;margin-left:11.6pt;margin-top:6.6pt;width:103.65pt;height:5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" adj="15911" fillcolor="#92cddc [1944]" strokecolor="#b6dde8 [1304]">
                <v:fill color2="#a7bfde [1620]" rotate="t" angle="180" colors="0 #93cddd;1 #93cddd" focus="100%" type="gradient">
                  <o:fill v:ext="view" type="gradientUnscaled"/>
                </v:fill>
                <v:shadow on="t" color="black" opacity="22937f" origin=",.5" offset="0,.63889mm"/>
                <v:textbox>
                  <w:txbxContent>
                    <w:p w14:paraId="7528CD32" w14:textId="3F4C84CA" w:rsidR="00333F74" w:rsidRPr="00333F74" w:rsidRDefault="00777C9B" w:rsidP="00333F74">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Résultats de référence des TM externes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4840583" wp14:editId="494368AD">
                <wp:simplePos x="0" y="0"/>
                <wp:positionH relativeFrom="column">
                  <wp:posOffset>3284220</wp:posOffset>
                </wp:positionH>
                <wp:positionV relativeFrom="paragraph">
                  <wp:posOffset>36830</wp:posOffset>
                </wp:positionV>
                <wp:extent cx="1384300" cy="772795"/>
                <wp:effectExtent l="50800" t="25400" r="63500" b="78105"/>
                <wp:wrapNone/>
                <wp:docPr id="8" name="Chevron 8"/>
                <wp:cNvGraphicFramePr/>
                <a:graphic xmlns:a="http://schemas.openxmlformats.org/drawingml/2006/main">
                  <a:graphicData uri="http://schemas.microsoft.com/office/word/2010/wordprocessingShape">
                    <wps:wsp>
                      <wps:cNvSpPr/>
                      <wps:spPr>
                        <a:xfrm>
                          <a:off x="0" y="0"/>
                          <a:ext cx="1384300" cy="772795"/>
                        </a:xfrm>
                        <a:prstGeom prst="chevron">
                          <a:avLst/>
                        </a:prstGeom>
                        <a:gradFill>
                          <a:gsLst>
                            <a:gs pos="100000">
                              <a:schemeClr val="accent3">
                                <a:lumMod val="60000"/>
                                <a:lumOff val="40000"/>
                              </a:schemeClr>
                            </a:gs>
                            <a:gs pos="100000">
                              <a:schemeClr val="accent1">
                                <a:tint val="50000"/>
                                <a:shade val="100000"/>
                                <a:satMod val="350000"/>
                              </a:schemeClr>
                            </a:gs>
                          </a:gsLst>
                        </a:gradFill>
                        <a:ln>
                          <a:solidFill>
                            <a:schemeClr val="accent3">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0D5201F9" w14:textId="79679B25" w:rsidR="00D20147" w:rsidRPr="00333F74" w:rsidRDefault="009D3764" w:rsidP="00D3056F">
                            <w:pPr>
                              <w:spacing w:line="276" w:lineRule="auto"/>
                              <w:ind w:left="-142" w:right="-52"/>
                              <w:jc w:val="center"/>
                              <w:rPr>
                                <w:rFonts w:ascii="Arial Narrow" w:eastAsia="MS Mincho" w:hAnsi="Arial Narrow" w:cs="Arial"/>
                                <w:color w:val="000000"/>
                                <w:kern w:val="24"/>
                                <w:sz w:val="18"/>
                                <w:szCs w:val="18"/>
                              </w:rPr>
                            </w:pPr>
                            <w:r>
                              <w:rPr>
                                <w:rFonts w:ascii="Arial Narrow" w:hAnsi="Arial Narrow"/>
                                <w:color w:val="000000"/>
                                <w:sz w:val="18"/>
                              </w:rPr>
                              <w:t>Comparer les options de réponse des TM</w:t>
                            </w:r>
                          </w:p>
                        </w:txbxContent>
                      </wps:txbx>
                      <wps:bodyPr wrap="square" rtlCol="0" anchor="ctr"/>
                    </wps:wsp>
                  </a:graphicData>
                </a:graphic>
                <wp14:sizeRelH relativeFrom="margin">
                  <wp14:pctWidth>0</wp14:pctWidth>
                </wp14:sizeRelH>
              </wp:anchor>
            </w:drawing>
          </mc:Choice>
          <mc:Fallback>
            <w:pict>
              <v:shape w14:anchorId="34840583" id="Chevron 8" o:spid="_x0000_s1040" type="#_x0000_t55" style="position:absolute;left:0;text-align:left;margin-left:258.6pt;margin-top:2.9pt;width:109pt;height:60.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" adj="15571" fillcolor="#c2d69b [1942]" strokecolor="#c2d69b [1942]">
                <v:fill color2="#a7bfde [1620]" rotate="t" angle="180" colors="0 #c3d69b;1 #c3d69b" focus="100%" type="gradient">
                  <o:fill v:ext="view" type="gradientUnscaled"/>
                </v:fill>
                <v:shadow on="t" color="black" opacity="22937f" origin=",.5" offset="0,.63889mm"/>
                <v:textbox>
                  <w:txbxContent>
                    <w:p w14:paraId="0D5201F9" w14:textId="79679B25" w:rsidR="00D20147" w:rsidRPr="00333F74" w:rsidRDefault="009D3764" w:rsidP="00D3056F">
                      <w:pPr>
                        <w:spacing w:line="276" w:lineRule="auto"/>
                        <w:ind w:left="-142" w:right="-52"/>
                        <w:jc w:val="center"/>
                        <w:rPr>
                          <w:rFonts w:ascii="Arial Narrow" w:eastAsia="MS Mincho" w:hAnsi="Arial Narrow" w:cs="Arial"/>
                          <w:color w:val="000000"/>
                          <w:kern w:val="24"/>
                          <w:sz w:val="18"/>
                          <w:szCs w:val="18"/>
                        </w:rPr>
                      </w:pPr>
                      <w:r>
                        <w:rPr>
                          <w:rFonts w:ascii="Arial Narrow" w:hAnsi="Arial Narrow"/>
                          <w:color w:val="000000"/>
                          <w:sz w:val="18"/>
                        </w:rPr>
                        <w:t>Comparer les options de réponse des TM</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5DE3122" wp14:editId="0611AA95">
                <wp:simplePos x="0" y="0"/>
                <wp:positionH relativeFrom="column">
                  <wp:posOffset>4284345</wp:posOffset>
                </wp:positionH>
                <wp:positionV relativeFrom="paragraph">
                  <wp:posOffset>36830</wp:posOffset>
                </wp:positionV>
                <wp:extent cx="1525270" cy="772795"/>
                <wp:effectExtent l="50800" t="25400" r="62230" b="78105"/>
                <wp:wrapNone/>
                <wp:docPr id="10" name="Chevron 10"/>
                <wp:cNvGraphicFramePr/>
                <a:graphic xmlns:a="http://schemas.openxmlformats.org/drawingml/2006/main">
                  <a:graphicData uri="http://schemas.microsoft.com/office/word/2010/wordprocessingShape">
                    <wps:wsp>
                      <wps:cNvSpPr/>
                      <wps:spPr>
                        <a:xfrm>
                          <a:off x="0" y="0"/>
                          <a:ext cx="1525270" cy="772795"/>
                        </a:xfrm>
                        <a:prstGeom prst="chevron">
                          <a:avLst/>
                        </a:prstGeom>
                        <a:gradFill>
                          <a:gsLst>
                            <a:gs pos="100000">
                              <a:schemeClr val="accent3">
                                <a:lumMod val="75000"/>
                              </a:schemeClr>
                            </a:gs>
                            <a:gs pos="100000">
                              <a:schemeClr val="accent1">
                                <a:tint val="50000"/>
                                <a:shade val="100000"/>
                                <a:satMod val="350000"/>
                              </a:schemeClr>
                            </a:gs>
                          </a:gsLst>
                        </a:gradFill>
                        <a:ln>
                          <a:solidFill>
                            <a:schemeClr val="accent3">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26D3CF2C" w14:textId="2CD1A967" w:rsidR="00D20147" w:rsidRPr="00333F74" w:rsidRDefault="00382077" w:rsidP="00AB63CD">
                            <w:pPr>
                              <w:spacing w:line="276" w:lineRule="auto"/>
                              <w:ind w:left="-142"/>
                              <w:jc w:val="center"/>
                              <w:rPr>
                                <w:rFonts w:ascii="Arial Narrow" w:eastAsia="MS Mincho" w:hAnsi="Arial Narrow" w:cs="Arial"/>
                                <w:color w:val="000000"/>
                                <w:kern w:val="24"/>
                                <w:sz w:val="18"/>
                                <w:szCs w:val="18"/>
                              </w:rPr>
                            </w:pPr>
                            <w:r>
                              <w:rPr>
                                <w:rFonts w:ascii="Arial Narrow" w:hAnsi="Arial Narrow"/>
                                <w:color w:val="000000"/>
                                <w:sz w:val="18"/>
                              </w:rPr>
                              <w:t>Prendre une décision PAEC sur l’utilisation des TM</w:t>
                            </w:r>
                          </w:p>
                        </w:txbxContent>
                      </wps:txbx>
                      <wps:bodyPr wrap="square" rtlCol="0" anchor="ctr"/>
                    </wps:wsp>
                  </a:graphicData>
                </a:graphic>
                <wp14:sizeRelH relativeFrom="margin">
                  <wp14:pctWidth>0</wp14:pctWidth>
                </wp14:sizeRelH>
              </wp:anchor>
            </w:drawing>
          </mc:Choice>
          <mc:Fallback>
            <w:pict>
              <v:shape w14:anchorId="35DE3122" id="Chevron 10" o:spid="_x0000_s1041" type="#_x0000_t55" style="position:absolute;left:0;text-align:left;margin-left:337.35pt;margin-top:2.9pt;width:120.1pt;height:60.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" adj="16128" fillcolor="#76923c [2406]" strokecolor="#76923c [2406]">
                <v:fill color2="#a7bfde [1620]" rotate="t" angle="180" colors="0 #77933c;1 #77933c" focus="100%" type="gradient">
                  <o:fill v:ext="view" type="gradientUnscaled"/>
                </v:fill>
                <v:shadow on="t" color="black" opacity="22937f" origin=",.5" offset="0,.63889mm"/>
                <v:textbox>
                  <w:txbxContent>
                    <w:p w14:paraId="26D3CF2C" w14:textId="2CD1A967" w:rsidR="00D20147" w:rsidRPr="00333F74" w:rsidRDefault="00382077" w:rsidP="00AB63CD">
                      <w:pPr>
                        <w:spacing w:line="276" w:lineRule="auto"/>
                        <w:ind w:left="-142"/>
                        <w:jc w:val="center"/>
                        <w:rPr>
                          <w:rFonts w:ascii="Arial Narrow" w:eastAsia="MS Mincho" w:hAnsi="Arial Narrow" w:cs="Arial"/>
                          <w:color w:val="000000"/>
                          <w:kern w:val="24"/>
                          <w:sz w:val="18"/>
                          <w:szCs w:val="18"/>
                        </w:rPr>
                      </w:pPr>
                      <w:r>
                        <w:rPr>
                          <w:rFonts w:ascii="Arial Narrow" w:hAnsi="Arial Narrow"/>
                          <w:color w:val="000000"/>
                          <w:sz w:val="18"/>
                        </w:rPr>
                        <w:t>Prendre une décision PAEC sur l’utilisation des TM</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0687DFE" wp14:editId="18E0E082">
                <wp:simplePos x="0" y="0"/>
                <wp:positionH relativeFrom="column">
                  <wp:posOffset>1528445</wp:posOffset>
                </wp:positionH>
                <wp:positionV relativeFrom="paragraph">
                  <wp:posOffset>33655</wp:posOffset>
                </wp:positionV>
                <wp:extent cx="1028700" cy="780415"/>
                <wp:effectExtent l="50800" t="25400" r="63500" b="70485"/>
                <wp:wrapNone/>
                <wp:docPr id="11" name="Pentagon 6"/>
                <wp:cNvGraphicFramePr/>
                <a:graphic xmlns:a="http://schemas.openxmlformats.org/drawingml/2006/main">
                  <a:graphicData uri="http://schemas.microsoft.com/office/word/2010/wordprocessingShape">
                    <wps:wsp>
                      <wps:cNvSpPr/>
                      <wps:spPr>
                        <a:xfrm>
                          <a:off x="0" y="0"/>
                          <a:ext cx="1028700" cy="780415"/>
                        </a:xfrm>
                        <a:prstGeom prst="homePlate">
                          <a:avLst/>
                        </a:prstGeom>
                        <a:solidFill>
                          <a:schemeClr val="accent3">
                            <a:lumMod val="20000"/>
                            <a:lumOff val="80000"/>
                          </a:schemeClr>
                        </a:solidFill>
                        <a:ln>
                          <a:solidFill>
                            <a:schemeClr val="accent3">
                              <a:lumMod val="20000"/>
                              <a:lumOff val="80000"/>
                            </a:schemeClr>
                          </a:solidFill>
                        </a:ln>
                      </wps:spPr>
                      <wps:style>
                        <a:lnRef idx="1">
                          <a:schemeClr val="accent1"/>
                        </a:lnRef>
                        <a:fillRef idx="3">
                          <a:schemeClr val="accent1"/>
                        </a:fillRef>
                        <a:effectRef idx="2">
                          <a:schemeClr val="accent1"/>
                        </a:effectRef>
                        <a:fontRef idx="minor">
                          <a:schemeClr val="lt1"/>
                        </a:fontRef>
                      </wps:style>
                      <wps:txbx>
                        <w:txbxContent>
                          <w:p w14:paraId="1E5A2466" w14:textId="07F1EAAB" w:rsidR="00D20147" w:rsidRPr="00D20147" w:rsidRDefault="00EF2F13" w:rsidP="00D20147">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Les TM sont-ils réalisables ?</w:t>
                            </w:r>
                          </w:p>
                        </w:txbxContent>
                      </wps:txbx>
                      <wps:bodyPr wrap="square" rtlCol="0" anchor="ctr"/>
                    </wps:wsp>
                  </a:graphicData>
                </a:graphic>
                <wp14:sizeRelH relativeFrom="margin">
                  <wp14:pctWidth>0</wp14:pctWidth>
                </wp14:sizeRelH>
              </wp:anchor>
            </w:drawing>
          </mc:Choice>
          <mc:Fallback>
            <w:pict>
              <v:shape w14:anchorId="00687DFE" id="_x0000_s1042" type="#_x0000_t15" style="position:absolute;left:0;text-align:left;margin-left:120.35pt;margin-top:2.65pt;width:81pt;height:61.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" adj="13407" fillcolor="#eaf1dd [662]" strokecolor="#eaf1dd [662]">
                <v:shadow on="t" color="black" opacity="22937f" origin=",.5" offset="0,.63889mm"/>
                <v:textbox>
                  <w:txbxContent>
                    <w:p w14:paraId="1E5A2466" w14:textId="07F1EAAB" w:rsidR="00D20147" w:rsidRPr="00D20147" w:rsidRDefault="00EF2F13" w:rsidP="00D20147">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Les TM sont-ils réalisables ?</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76CE2D8" wp14:editId="6836297F">
                <wp:simplePos x="0" y="0"/>
                <wp:positionH relativeFrom="column">
                  <wp:posOffset>2196465</wp:posOffset>
                </wp:positionH>
                <wp:positionV relativeFrom="paragraph">
                  <wp:posOffset>41597</wp:posOffset>
                </wp:positionV>
                <wp:extent cx="1491615" cy="772795"/>
                <wp:effectExtent l="50800" t="25400" r="57785" b="78105"/>
                <wp:wrapNone/>
                <wp:docPr id="6" name="Chevron 6"/>
                <wp:cNvGraphicFramePr/>
                <a:graphic xmlns:a="http://schemas.openxmlformats.org/drawingml/2006/main">
                  <a:graphicData uri="http://schemas.microsoft.com/office/word/2010/wordprocessingShape">
                    <wps:wsp>
                      <wps:cNvSpPr/>
                      <wps:spPr>
                        <a:xfrm>
                          <a:off x="0" y="0"/>
                          <a:ext cx="1491615" cy="772795"/>
                        </a:xfrm>
                        <a:prstGeom prst="chevron">
                          <a:avLst/>
                        </a:prstGeom>
                        <a:solidFill>
                          <a:schemeClr val="accent3">
                            <a:lumMod val="40000"/>
                            <a:lumOff val="60000"/>
                          </a:schemeClr>
                        </a:solidFill>
                        <a:ln>
                          <a:solidFill>
                            <a:schemeClr val="accent3">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5CD8F7AB" w14:textId="7C076F64" w:rsidR="00D20147" w:rsidRPr="00D20147" w:rsidRDefault="00EF2F13" w:rsidP="00D20147">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Explorer les options de réponse potentielles</w:t>
                            </w:r>
                          </w:p>
                        </w:txbxContent>
                      </wps:txbx>
                      <wps:bodyPr wrap="square" rtlCol="0" anchor="ctr"/>
                    </wps:wsp>
                  </a:graphicData>
                </a:graphic>
                <wp14:sizeRelH relativeFrom="margin">
                  <wp14:pctWidth>0</wp14:pctWidth>
                </wp14:sizeRelH>
              </wp:anchor>
            </w:drawing>
          </mc:Choice>
          <mc:Fallback>
            <w:pict>
              <v:shape w14:anchorId="376CE2D8" id="Chevron 6" o:spid="_x0000_s1043" type="#_x0000_t55" style="position:absolute;left:0;text-align:left;margin-left:172.95pt;margin-top:3.3pt;width:117.45pt;height:60.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" adj="16005" fillcolor="#d6e3bc [1302]" strokecolor="#d6e3bc [1302]">
                <v:shadow on="t" color="black" opacity="22937f" origin=",.5" offset="0,.63889mm"/>
                <v:textbox>
                  <w:txbxContent>
                    <w:p w14:paraId="5CD8F7AB" w14:textId="7C076F64" w:rsidR="00D20147" w:rsidRPr="00D20147" w:rsidRDefault="00EF2F13" w:rsidP="00D20147">
                      <w:pPr>
                        <w:spacing w:line="276" w:lineRule="auto"/>
                        <w:jc w:val="center"/>
                        <w:rPr>
                          <w:rFonts w:ascii="Arial Narrow" w:eastAsia="MS Mincho" w:hAnsi="Arial Narrow" w:cs="Arial"/>
                          <w:color w:val="000000"/>
                          <w:kern w:val="24"/>
                          <w:sz w:val="18"/>
                          <w:szCs w:val="18"/>
                        </w:rPr>
                      </w:pPr>
                      <w:r>
                        <w:rPr>
                          <w:rFonts w:ascii="Arial Narrow" w:hAnsi="Arial Narrow"/>
                          <w:color w:val="000000"/>
                          <w:sz w:val="18"/>
                        </w:rPr>
                        <w:t>Explorer les options de réponse potentielles</w:t>
                      </w:r>
                    </w:p>
                  </w:txbxContent>
                </v:textbox>
              </v:shape>
            </w:pict>
          </mc:Fallback>
        </mc:AlternateContent>
      </w:r>
    </w:p>
    <w:p w14:paraId="069BD86B" w14:textId="0F0A9644" w:rsidR="00D20147" w:rsidRDefault="00D20147" w:rsidP="00E86A7D">
      <w:pPr>
        <w:rPr>
          <w:rFonts w:ascii="Verdana" w:hAnsi="Verdana"/>
          <w:b/>
          <w:bCs/>
          <w:sz w:val="18"/>
          <w:szCs w:val="18"/>
        </w:rPr>
      </w:pPr>
    </w:p>
    <w:p w14:paraId="1D8C5FEC" w14:textId="0C3B3F89" w:rsidR="00D20147" w:rsidRDefault="00D20147" w:rsidP="00E86A7D">
      <w:pPr>
        <w:rPr>
          <w:rFonts w:ascii="Verdana" w:hAnsi="Verdana"/>
          <w:b/>
          <w:bCs/>
          <w:sz w:val="18"/>
          <w:szCs w:val="18"/>
        </w:rPr>
      </w:pPr>
    </w:p>
    <w:p w14:paraId="22C24809" w14:textId="5DFFC747" w:rsidR="00D20147" w:rsidRDefault="00D20147" w:rsidP="00E86A7D">
      <w:pPr>
        <w:pStyle w:val="Heading3"/>
        <w:jc w:val="both"/>
        <w:rPr>
          <w:rFonts w:ascii="Verdana" w:hAnsi="Verdana"/>
          <w:color w:val="000000" w:themeColor="text1"/>
          <w:sz w:val="19"/>
          <w:szCs w:val="19"/>
        </w:rPr>
      </w:pPr>
    </w:p>
    <w:p w14:paraId="369740FF" w14:textId="77777777" w:rsidR="00EF2F13" w:rsidRPr="00EC32D6" w:rsidRDefault="00EF2F13">
      <w:pPr>
        <w:pStyle w:val="Heading3"/>
        <w:numPr>
          <w:ilvl w:val="0"/>
          <w:numId w:val="11"/>
        </w:numPr>
        <w:jc w:val="both"/>
        <w:rPr>
          <w:rFonts w:ascii="Verdana" w:hAnsi="Verdana"/>
          <w:color w:val="000000" w:themeColor="text1"/>
          <w:sz w:val="19"/>
          <w:szCs w:val="19"/>
        </w:rPr>
      </w:pPr>
      <w:r>
        <w:rPr>
          <w:rFonts w:ascii="Verdana" w:hAnsi="Verdana"/>
          <w:color w:val="000000" w:themeColor="text1"/>
          <w:sz w:val="19"/>
        </w:rPr>
        <w:t>Les TM sont-ils réalisables ?</w:t>
      </w:r>
    </w:p>
    <w:p w14:paraId="63A538CC" w14:textId="4D2E8637" w:rsidR="00EF2F13" w:rsidRDefault="00EF2F13" w:rsidP="00EF2F13">
      <w:pPr>
        <w:rPr>
          <w:rFonts w:ascii="Verdana" w:eastAsia="Times New Roman" w:hAnsi="Verdana" w:cs="Arial"/>
          <w:sz w:val="18"/>
          <w:szCs w:val="18"/>
        </w:rPr>
      </w:pPr>
      <w:r>
        <w:rPr>
          <w:rFonts w:ascii="Verdana" w:hAnsi="Verdana"/>
          <w:sz w:val="18"/>
        </w:rPr>
        <w:t xml:space="preserve">L’outil « Est-ce que </w:t>
      </w:r>
      <w:r w:rsidR="00DE5AAF">
        <w:rPr>
          <w:rFonts w:ascii="Verdana" w:hAnsi="Verdana"/>
          <w:sz w:val="18"/>
        </w:rPr>
        <w:t>le cash est faisable</w:t>
      </w:r>
      <w:r>
        <w:rPr>
          <w:rFonts w:ascii="Verdana" w:hAnsi="Verdana"/>
          <w:sz w:val="18"/>
        </w:rPr>
        <w:t xml:space="preserve"> ? » </w:t>
      </w:r>
      <w:r w:rsidR="00DE5AAF">
        <w:rPr>
          <w:rFonts w:ascii="Verdana" w:hAnsi="Verdana"/>
          <w:sz w:val="18"/>
        </w:rPr>
        <w:t xml:space="preserve">suggère </w:t>
      </w:r>
      <w:r>
        <w:rPr>
          <w:rFonts w:ascii="Verdana" w:hAnsi="Verdana"/>
          <w:sz w:val="18"/>
        </w:rPr>
        <w:t>une liste de contrôle avec des critères et des considérations clés qui aideront la SN à décider si les TM est une option réalisable. Selon la nature et le contexte de la crise, une combinaison de modalités de transfert et de mécanismes d’exécution peut s’avérer nécessaire et utilisée à différents stades de la crise. Si la SN a entrepris l’évaluation complète de la protection sociale, l’outil permettant d’analyser si les TM peut être lié à la protection sociale peut être utilisé à ce stade également pour éclairer la prise de décision. L’outil « relier les TM à la protection sociale est-il réalisable » (option avancée) va plus loin dans l’identification et l’évaluation des options de réponse potentielles pour relier les TM à la protection sociale, en s’appuyant sur les informations recueillies dans l’évaluation de base.</w:t>
      </w:r>
    </w:p>
    <w:p w14:paraId="5480D2DC" w14:textId="27A5607E" w:rsidR="00EF2F13" w:rsidRPr="00531D0B" w:rsidRDefault="00777C9B" w:rsidP="00EF2F13">
      <w:pPr>
        <w:rPr>
          <w:rFonts w:ascii="Verdana" w:eastAsia="Times New Roman" w:hAnsi="Verdana" w:cs="Arial"/>
          <w:b/>
          <w:bCs/>
          <w:sz w:val="18"/>
          <w:szCs w:val="18"/>
        </w:rPr>
      </w:pPr>
      <w:r>
        <w:rPr>
          <w:rFonts w:ascii="Verdana" w:hAnsi="Verdana"/>
          <w:b/>
          <w:sz w:val="18"/>
        </w:rPr>
        <w:t>Principaux outils</w:t>
      </w:r>
    </w:p>
    <w:p w14:paraId="03525212" w14:textId="188F44D2" w:rsidR="00A57B8D" w:rsidRPr="00497478" w:rsidRDefault="000170D0" w:rsidP="00EF2F13">
      <w:pPr>
        <w:rPr>
          <w:rFonts w:ascii="Verdana" w:eastAsia="Times New Roman" w:hAnsi="Verdana" w:cs="Arial"/>
          <w:color w:val="C00000"/>
          <w:sz w:val="18"/>
          <w:szCs w:val="18"/>
        </w:rPr>
      </w:pPr>
      <w:hyperlink r:id="rId36" w:history="1">
        <w:r w:rsidR="00F071A1" w:rsidRPr="000170D0">
          <w:rPr>
            <w:rStyle w:val="Hyperlink"/>
            <w:rFonts w:ascii="Verdana" w:hAnsi="Verdana"/>
            <w:i/>
            <w:sz w:val="18"/>
          </w:rPr>
          <w:t xml:space="preserve">M3_1_2_1 </w:t>
        </w:r>
        <w:proofErr w:type="gramStart"/>
        <w:r w:rsidRPr="000170D0">
          <w:rPr>
            <w:rStyle w:val="Hyperlink"/>
            <w:rFonts w:ascii="Verdana" w:hAnsi="Verdana"/>
            <w:i/>
            <w:sz w:val="18"/>
          </w:rPr>
          <w:t>Checklist</w:t>
        </w:r>
        <w:r w:rsidR="00DE5AAF" w:rsidRPr="000170D0">
          <w:rPr>
            <w:rStyle w:val="Hyperlink"/>
            <w:rFonts w:ascii="Verdana" w:hAnsi="Verdana"/>
            <w:i/>
            <w:sz w:val="18"/>
          </w:rPr>
          <w:t>:</w:t>
        </w:r>
        <w:proofErr w:type="gramEnd"/>
        <w:r w:rsidR="00DE5AAF" w:rsidRPr="000170D0">
          <w:rPr>
            <w:rStyle w:val="Hyperlink"/>
            <w:rFonts w:ascii="Verdana" w:hAnsi="Verdana"/>
            <w:i/>
            <w:sz w:val="18"/>
          </w:rPr>
          <w:t xml:space="preserve"> </w:t>
        </w:r>
        <w:r w:rsidR="00F071A1" w:rsidRPr="000170D0">
          <w:rPr>
            <w:rStyle w:val="Hyperlink"/>
            <w:rFonts w:ascii="Verdana" w:hAnsi="Verdana"/>
            <w:i/>
            <w:sz w:val="18"/>
          </w:rPr>
          <w:t>Est-ce que</w:t>
        </w:r>
        <w:r w:rsidR="00DE5AAF" w:rsidRPr="000170D0">
          <w:rPr>
            <w:rStyle w:val="Hyperlink"/>
            <w:rFonts w:ascii="Verdana" w:hAnsi="Verdana"/>
            <w:i/>
            <w:sz w:val="18"/>
          </w:rPr>
          <w:t xml:space="preserve"> le cash</w:t>
        </w:r>
        <w:r w:rsidR="00F071A1" w:rsidRPr="000170D0">
          <w:rPr>
            <w:rStyle w:val="Hyperlink"/>
            <w:rFonts w:ascii="Verdana" w:hAnsi="Verdana"/>
            <w:i/>
            <w:sz w:val="18"/>
          </w:rPr>
          <w:t xml:space="preserve"> est réalisable</w:t>
        </w:r>
      </w:hyperlink>
      <w:r w:rsidR="00F071A1" w:rsidRPr="00497478">
        <w:rPr>
          <w:rFonts w:ascii="Verdana" w:hAnsi="Verdana"/>
          <w:i/>
          <w:color w:val="C00000"/>
          <w:sz w:val="18"/>
        </w:rPr>
        <w:t>,</w:t>
      </w:r>
      <w:r w:rsidR="00F071A1" w:rsidRPr="00497478">
        <w:rPr>
          <w:rFonts w:ascii="Verdana" w:hAnsi="Verdana"/>
          <w:color w:val="C00000"/>
          <w:sz w:val="18"/>
        </w:rPr>
        <w:t xml:space="preserve"> </w:t>
      </w:r>
      <w:hyperlink r:id="rId37" w:history="1">
        <w:r w:rsidR="00F071A1" w:rsidRPr="00FE5EBC">
          <w:rPr>
            <w:rStyle w:val="Hyperlink"/>
            <w:rFonts w:ascii="Verdana" w:hAnsi="Verdana"/>
            <w:i/>
            <w:sz w:val="18"/>
          </w:rPr>
          <w:t xml:space="preserve">Le lien </w:t>
        </w:r>
        <w:r w:rsidR="00DE5AAF" w:rsidRPr="00FE5EBC">
          <w:rPr>
            <w:rStyle w:val="Hyperlink"/>
            <w:rFonts w:ascii="Verdana" w:hAnsi="Verdana"/>
            <w:i/>
            <w:sz w:val="18"/>
          </w:rPr>
          <w:t xml:space="preserve">entre les TM et  </w:t>
        </w:r>
        <w:r w:rsidR="00F071A1" w:rsidRPr="00FE5EBC">
          <w:rPr>
            <w:rStyle w:val="Hyperlink"/>
            <w:rFonts w:ascii="Verdana" w:hAnsi="Verdana"/>
            <w:i/>
            <w:sz w:val="18"/>
          </w:rPr>
          <w:t>la protection sociale est-il réalisable ?</w:t>
        </w:r>
      </w:hyperlink>
      <w:r w:rsidR="00F071A1" w:rsidRPr="00497478">
        <w:rPr>
          <w:rFonts w:ascii="Verdana" w:hAnsi="Verdana"/>
          <w:i/>
          <w:color w:val="C00000"/>
          <w:sz w:val="18"/>
        </w:rPr>
        <w:t xml:space="preserve"> </w:t>
      </w:r>
      <w:r w:rsidR="00F071A1" w:rsidRPr="00497478">
        <w:rPr>
          <w:rFonts w:ascii="Verdana" w:hAnsi="Verdana"/>
          <w:color w:val="C00000"/>
          <w:sz w:val="18"/>
        </w:rPr>
        <w:t>(Avancé)</w:t>
      </w:r>
      <w:r w:rsidR="00F071A1" w:rsidRPr="00497478">
        <w:rPr>
          <w:rFonts w:ascii="Verdana" w:hAnsi="Verdana"/>
          <w:i/>
          <w:color w:val="C00000"/>
          <w:sz w:val="18"/>
        </w:rPr>
        <w:t xml:space="preserve">  </w:t>
      </w:r>
    </w:p>
    <w:p w14:paraId="0BD74214" w14:textId="2605EA82" w:rsidR="009D3764" w:rsidRPr="00C67AC4" w:rsidRDefault="009D3764">
      <w:pPr>
        <w:pStyle w:val="Heading3"/>
        <w:numPr>
          <w:ilvl w:val="0"/>
          <w:numId w:val="11"/>
        </w:numPr>
        <w:jc w:val="both"/>
        <w:rPr>
          <w:rFonts w:ascii="Verdana" w:hAnsi="Verdana"/>
          <w:sz w:val="19"/>
          <w:szCs w:val="19"/>
        </w:rPr>
      </w:pPr>
      <w:r>
        <w:rPr>
          <w:rFonts w:ascii="Verdana" w:hAnsi="Verdana"/>
          <w:sz w:val="19"/>
        </w:rPr>
        <w:t xml:space="preserve">Explorer les options de réponse potentielles </w:t>
      </w:r>
    </w:p>
    <w:p w14:paraId="5C0EB761" w14:textId="0D781820" w:rsidR="009D3764" w:rsidRDefault="1CF9F9EA" w:rsidP="00E86A7D">
      <w:pPr>
        <w:rPr>
          <w:rFonts w:ascii="Verdana" w:hAnsi="Verdana"/>
          <w:color w:val="000000"/>
          <w:sz w:val="18"/>
          <w:szCs w:val="18"/>
        </w:rPr>
      </w:pPr>
      <w:r>
        <w:rPr>
          <w:rFonts w:ascii="Verdana" w:hAnsi="Verdana"/>
          <w:sz w:val="18"/>
        </w:rPr>
        <w:t xml:space="preserve">Afin de proposer une large liste d’options de réponse, les SN peuvent organiser une séance de réflexion avec les principaux intervenants, les encourageant à réfléchir largement et librement aux options possibles. </w:t>
      </w:r>
      <w:r w:rsidR="001E7DA9">
        <w:rPr>
          <w:rFonts w:ascii="Verdana" w:hAnsi="Verdana"/>
          <w:sz w:val="18"/>
        </w:rPr>
        <w:t>La participation des gouvernements nationaux et locaux au processus de référence peut également contribuer à l’acceptabilité de l’évaluation des TM</w:t>
      </w:r>
      <w:r>
        <w:rPr>
          <w:rFonts w:ascii="Verdana" w:hAnsi="Verdana"/>
          <w:sz w:val="18"/>
        </w:rPr>
        <w:t xml:space="preserve">. À ce stade, rien ne devrait être exclu car cela pourrait contribuer à promouvoir des idées novatrices. L’outil </w:t>
      </w:r>
      <w:r>
        <w:rPr>
          <w:rFonts w:ascii="Verdana" w:hAnsi="Verdana"/>
          <w:i/>
          <w:sz w:val="18"/>
        </w:rPr>
        <w:t>« Options d’intervention en réponse » suggère des options d’intervention</w:t>
      </w:r>
      <w:r>
        <w:rPr>
          <w:rFonts w:ascii="Verdana" w:hAnsi="Verdana"/>
          <w:sz w:val="18"/>
        </w:rPr>
        <w:t xml:space="preserve"> </w:t>
      </w:r>
      <w:r>
        <w:rPr>
          <w:rFonts w:ascii="Verdana" w:hAnsi="Verdana"/>
          <w:color w:val="000000" w:themeColor="text1"/>
          <w:sz w:val="18"/>
        </w:rPr>
        <w:t xml:space="preserve">potentielles pour chaque phase, selon les secteurs et les objectifs.  </w:t>
      </w:r>
    </w:p>
    <w:p w14:paraId="3B9DF455" w14:textId="77777777" w:rsidR="009D3764" w:rsidRPr="00531D0B" w:rsidRDefault="009D3764" w:rsidP="00E86A7D">
      <w:pPr>
        <w:rPr>
          <w:rFonts w:ascii="Verdana" w:hAnsi="Verdana"/>
          <w:b/>
          <w:bCs/>
          <w:sz w:val="18"/>
          <w:szCs w:val="18"/>
        </w:rPr>
      </w:pPr>
      <w:r>
        <w:rPr>
          <w:rFonts w:ascii="Verdana" w:hAnsi="Verdana"/>
          <w:b/>
          <w:sz w:val="18"/>
        </w:rPr>
        <w:t>Outils :</w:t>
      </w:r>
    </w:p>
    <w:p w14:paraId="2574DA4B" w14:textId="312DBEA6" w:rsidR="00E86A7D" w:rsidRPr="00497478" w:rsidRDefault="006472F5" w:rsidP="3130A2F0">
      <w:pPr>
        <w:rPr>
          <w:rFonts w:ascii="Verdana" w:hAnsi="Verdana"/>
          <w:color w:val="C00000"/>
          <w:sz w:val="18"/>
          <w:szCs w:val="18"/>
        </w:rPr>
      </w:pPr>
      <w:hyperlink r:id="rId38" w:history="1">
        <w:r w:rsidR="00F071A1" w:rsidRPr="006472F5">
          <w:rPr>
            <w:rStyle w:val="Hyperlink"/>
            <w:rFonts w:ascii="Verdana" w:hAnsi="Verdana"/>
            <w:i/>
            <w:sz w:val="18"/>
          </w:rPr>
          <w:t>M3_1_1 Options d’intervention de réponse</w:t>
        </w:r>
      </w:hyperlink>
      <w:r w:rsidR="00F071A1" w:rsidRPr="00497478">
        <w:rPr>
          <w:rFonts w:ascii="Verdana" w:hAnsi="Verdana"/>
          <w:i/>
          <w:color w:val="C00000"/>
          <w:sz w:val="18"/>
        </w:rPr>
        <w:t xml:space="preserve"> </w:t>
      </w:r>
    </w:p>
    <w:p w14:paraId="261171E6" w14:textId="6FCBB1F8" w:rsidR="00B403C3" w:rsidRPr="004C3C23" w:rsidRDefault="00DE1F73">
      <w:pPr>
        <w:pStyle w:val="Heading3"/>
        <w:numPr>
          <w:ilvl w:val="0"/>
          <w:numId w:val="11"/>
        </w:numPr>
        <w:jc w:val="both"/>
        <w:rPr>
          <w:rFonts w:ascii="Verdana" w:hAnsi="Verdana"/>
          <w:sz w:val="19"/>
          <w:szCs w:val="19"/>
        </w:rPr>
      </w:pPr>
      <w:r>
        <w:rPr>
          <w:rFonts w:ascii="Verdana" w:hAnsi="Verdana"/>
          <w:sz w:val="19"/>
        </w:rPr>
        <w:t>Comparaison des options de réponse des TM</w:t>
      </w:r>
    </w:p>
    <w:p w14:paraId="49CE0E5E" w14:textId="38CC489C" w:rsidR="00D20147" w:rsidRDefault="6E4A0AFF" w:rsidP="00E86A7D">
      <w:pPr>
        <w:pStyle w:val="H1"/>
        <w:spacing w:before="120" w:after="120"/>
        <w:jc w:val="both"/>
        <w:rPr>
          <w:rFonts w:ascii="Verdana" w:eastAsia="Times New Roman" w:hAnsi="Verdana" w:cs="Arial"/>
          <w:b w:val="0"/>
          <w:sz w:val="18"/>
          <w:szCs w:val="18"/>
        </w:rPr>
      </w:pPr>
      <w:r>
        <w:rPr>
          <w:rFonts w:ascii="Verdana" w:hAnsi="Verdana"/>
          <w:b w:val="0"/>
          <w:sz w:val="18"/>
        </w:rPr>
        <w:t>Afin de comparer les différentes options de réponse, il faut d’abord identifier les critères d’analyse pertinents. Cette analyse comparative éclairera le processus décisionnel. L’outil « comparer les modalités de réponse et les mécanismes d’exécution » suggère des questions liées aux critères les plus courants pour aider à comprendre ce qu’il faut considérer lors de la comparaison des modalités (en nature, espèces, coupons) et des mécanismes d’exécution monétaires (espèces directes, argent mobile, transfert d’argent, carte à valeur stockée). L’outil « avantages et inconvénients des différentes modalités et mécanismes de prestation » peut fournir des éléments pour aider à répondre aux questions suggérées</w:t>
      </w:r>
      <w:r>
        <w:rPr>
          <w:rFonts w:ascii="Verdana" w:hAnsi="Verdana"/>
          <w:sz w:val="18"/>
        </w:rPr>
        <w:t xml:space="preserve">. </w:t>
      </w:r>
      <w:r>
        <w:rPr>
          <w:rFonts w:ascii="Verdana" w:hAnsi="Verdana"/>
          <w:b w:val="0"/>
          <w:sz w:val="18"/>
        </w:rPr>
        <w:t>Si le niveau de référence complet de la protection sociale a été achevé</w:t>
      </w:r>
      <w:r>
        <w:rPr>
          <w:rFonts w:ascii="Verdana" w:hAnsi="Verdana"/>
          <w:sz w:val="18"/>
        </w:rPr>
        <w:t xml:space="preserve">, </w:t>
      </w:r>
      <w:r>
        <w:rPr>
          <w:rFonts w:ascii="Verdana" w:hAnsi="Verdana"/>
          <w:b w:val="0"/>
          <w:sz w:val="18"/>
        </w:rPr>
        <w:t>le SN souhaitera peut-être utiliser l’outil « comparer les options de protection sociale et de réponse à les TM ».</w:t>
      </w:r>
    </w:p>
    <w:p w14:paraId="560CD1C0" w14:textId="52D0E51C" w:rsidR="006243FF" w:rsidRPr="00531D0B" w:rsidRDefault="006243FF" w:rsidP="00E86A7D">
      <w:pPr>
        <w:rPr>
          <w:rFonts w:ascii="Verdana" w:eastAsia="Times New Roman" w:hAnsi="Verdana" w:cs="Arial"/>
          <w:b/>
          <w:bCs/>
          <w:color w:val="000000" w:themeColor="text1"/>
          <w:sz w:val="18"/>
          <w:szCs w:val="18"/>
        </w:rPr>
      </w:pPr>
      <w:r>
        <w:rPr>
          <w:rFonts w:ascii="Verdana" w:hAnsi="Verdana"/>
          <w:b/>
          <w:color w:val="000000" w:themeColor="text1"/>
          <w:sz w:val="18"/>
        </w:rPr>
        <w:lastRenderedPageBreak/>
        <w:t>Outils :</w:t>
      </w:r>
    </w:p>
    <w:p w14:paraId="7673DDB1" w14:textId="3FD253A4" w:rsidR="006243FF" w:rsidRPr="00B52D92" w:rsidRDefault="00055BEF" w:rsidP="3130A2F0">
      <w:pPr>
        <w:spacing w:before="120" w:after="0"/>
        <w:jc w:val="left"/>
        <w:rPr>
          <w:rFonts w:ascii="Verdana" w:hAnsi="Verdana"/>
          <w:i/>
          <w:iCs/>
          <w:color w:val="C00000"/>
          <w:sz w:val="17"/>
          <w:szCs w:val="17"/>
        </w:rPr>
      </w:pPr>
      <w:hyperlink r:id="rId39" w:history="1">
        <w:r w:rsidR="00F071A1" w:rsidRPr="00055BEF">
          <w:rPr>
            <w:rStyle w:val="Hyperlink"/>
            <w:rFonts w:ascii="Verdana" w:hAnsi="Verdana"/>
            <w:i/>
            <w:sz w:val="18"/>
          </w:rPr>
          <w:t>M3_1_3_1 Comparaison des modalités de réponse et des mécanismes d’exécution </w:t>
        </w:r>
      </w:hyperlink>
      <w:r w:rsidR="00F071A1" w:rsidRPr="00B52D92">
        <w:rPr>
          <w:rFonts w:ascii="Verdana" w:hAnsi="Verdana"/>
          <w:i/>
          <w:color w:val="C00000"/>
          <w:sz w:val="18"/>
        </w:rPr>
        <w:t>;</w:t>
      </w:r>
      <w:r w:rsidR="00F071A1" w:rsidRPr="00B52D92">
        <w:rPr>
          <w:rFonts w:ascii="Verdana" w:hAnsi="Verdana"/>
          <w:i/>
          <w:color w:val="C00000"/>
          <w:sz w:val="17"/>
        </w:rPr>
        <w:t xml:space="preserve"> </w:t>
      </w:r>
      <w:hyperlink r:id="rId40" w:history="1">
        <w:r w:rsidR="00F071A1" w:rsidRPr="0079546D">
          <w:rPr>
            <w:rStyle w:val="Hyperlink"/>
            <w:rFonts w:ascii="Verdana" w:hAnsi="Verdana"/>
            <w:i/>
            <w:sz w:val="18"/>
          </w:rPr>
          <w:t>M3_1_3_2 Avantages et inconvénients des modalités de réponse </w:t>
        </w:r>
      </w:hyperlink>
      <w:r w:rsidR="00F071A1" w:rsidRPr="00B52D92">
        <w:rPr>
          <w:rFonts w:ascii="Verdana" w:hAnsi="Verdana"/>
          <w:i/>
          <w:color w:val="C00000"/>
          <w:sz w:val="18"/>
        </w:rPr>
        <w:t xml:space="preserve">; </w:t>
      </w:r>
      <w:hyperlink r:id="rId41" w:history="1">
        <w:r w:rsidR="00F071A1" w:rsidRPr="003F3B7E">
          <w:rPr>
            <w:rStyle w:val="Hyperlink"/>
            <w:rFonts w:ascii="Verdana" w:hAnsi="Verdana"/>
            <w:i/>
            <w:sz w:val="18"/>
          </w:rPr>
          <w:t>Comparaison des options de protection sociale et de réponse aux TM</w:t>
        </w:r>
      </w:hyperlink>
      <w:r w:rsidR="00F071A1" w:rsidRPr="00B52D92">
        <w:rPr>
          <w:rFonts w:ascii="Verdana" w:hAnsi="Verdana"/>
          <w:i/>
          <w:color w:val="C00000"/>
          <w:sz w:val="18"/>
        </w:rPr>
        <w:t xml:space="preserve"> </w:t>
      </w:r>
      <w:r w:rsidR="00F071A1" w:rsidRPr="00B52D92">
        <w:rPr>
          <w:rFonts w:ascii="Verdana" w:hAnsi="Verdana"/>
          <w:color w:val="C00000"/>
          <w:sz w:val="18"/>
        </w:rPr>
        <w:t>(</w:t>
      </w:r>
      <w:r w:rsidR="001E5C38" w:rsidRPr="00B52D92">
        <w:rPr>
          <w:rFonts w:ascii="Verdana" w:hAnsi="Verdana"/>
          <w:color w:val="C00000"/>
          <w:sz w:val="18"/>
        </w:rPr>
        <w:t>A</w:t>
      </w:r>
      <w:r w:rsidR="00F071A1" w:rsidRPr="00B52D92">
        <w:rPr>
          <w:rFonts w:ascii="Verdana" w:hAnsi="Verdana"/>
          <w:color w:val="C00000"/>
          <w:sz w:val="18"/>
        </w:rPr>
        <w:t xml:space="preserve">vancé) </w:t>
      </w:r>
    </w:p>
    <w:p w14:paraId="5D383E95" w14:textId="689C51D8" w:rsidR="3130A2F0" w:rsidRDefault="3130A2F0" w:rsidP="3130A2F0">
      <w:pPr>
        <w:spacing w:after="0"/>
        <w:jc w:val="left"/>
        <w:rPr>
          <w:rFonts w:ascii="Verdana" w:hAnsi="Verdana"/>
          <w:color w:val="000000" w:themeColor="text1"/>
          <w:sz w:val="18"/>
          <w:szCs w:val="18"/>
          <w:highlight w:val="yellow"/>
        </w:rPr>
      </w:pPr>
    </w:p>
    <w:p w14:paraId="7888C39D" w14:textId="40F2B6D3" w:rsidR="009673D5" w:rsidRPr="006B562C" w:rsidRDefault="0094579D">
      <w:pPr>
        <w:pStyle w:val="ListParagraph"/>
        <w:numPr>
          <w:ilvl w:val="0"/>
          <w:numId w:val="11"/>
        </w:numPr>
        <w:rPr>
          <w:rFonts w:ascii="Verdana" w:hAnsi="Verdana"/>
          <w:b/>
          <w:bCs/>
          <w:sz w:val="19"/>
          <w:szCs w:val="19"/>
        </w:rPr>
      </w:pPr>
      <w:r>
        <w:rPr>
          <w:rFonts w:ascii="Verdana" w:hAnsi="Verdana"/>
          <w:b/>
          <w:sz w:val="19"/>
        </w:rPr>
        <w:t>Prendre une décision – modalité et mécanisme d’exécution</w:t>
      </w:r>
    </w:p>
    <w:p w14:paraId="08F5D69F" w14:textId="4215F2F0" w:rsidR="00097728" w:rsidRDefault="6E4A0AFF" w:rsidP="00E86A7D">
      <w:pPr>
        <w:rPr>
          <w:rFonts w:ascii="Verdana" w:hAnsi="Verdana"/>
          <w:sz w:val="18"/>
          <w:szCs w:val="18"/>
        </w:rPr>
      </w:pPr>
      <w:r>
        <w:rPr>
          <w:rFonts w:ascii="Verdana" w:hAnsi="Verdana"/>
          <w:sz w:val="18"/>
        </w:rPr>
        <w:t>Un outil de prise de décision fournit des orientations sur la façon d’identifier les modalités et mécanismes d’évaluation des risques qui répondent le mieux aux objectifs fixés pour l’intervention d’urgence. Le modèle de prise de décision</w:t>
      </w:r>
      <w:r>
        <w:rPr>
          <w:rFonts w:ascii="Verdana" w:hAnsi="Verdana"/>
          <w:color w:val="0000FF"/>
          <w:sz w:val="18"/>
          <w:u w:val="single"/>
        </w:rPr>
        <w:t xml:space="preserve"> </w:t>
      </w:r>
      <w:r>
        <w:rPr>
          <w:rFonts w:ascii="Verdana" w:hAnsi="Verdana"/>
          <w:sz w:val="18"/>
        </w:rPr>
        <w:t>permet à la SN de noter les modalités et mécanismes de réponse par comparaison avec tous les critères qui ont été pris en compte tout au long de l’analyse. La carte de score peut être utilisée pour sélectionner des modalités et des mécanismes en même temps, car les mécanismes peuvent influencer les performances des modalités associées. À la fin de l’étape, le type de modalité de TM doit avoir été défini, par exemple, toute conditionnalité et/ou restriction, et le mécanisme d’exécution qui sera choisi.</w:t>
      </w:r>
    </w:p>
    <w:p w14:paraId="12A9AC0A" w14:textId="6E40F889" w:rsidR="00531D0B" w:rsidRPr="00531D0B" w:rsidRDefault="00531D0B" w:rsidP="00E86A7D">
      <w:pPr>
        <w:rPr>
          <w:rFonts w:ascii="Verdana" w:hAnsi="Verdana"/>
          <w:b/>
          <w:bCs/>
          <w:sz w:val="18"/>
          <w:szCs w:val="18"/>
        </w:rPr>
      </w:pPr>
      <w:r>
        <w:rPr>
          <w:rFonts w:ascii="Verdana" w:hAnsi="Verdana"/>
          <w:b/>
          <w:sz w:val="18"/>
        </w:rPr>
        <w:t>Outils :</w:t>
      </w:r>
    </w:p>
    <w:p w14:paraId="67982666" w14:textId="38C10D56" w:rsidR="0BF2B5FA" w:rsidRPr="00B52D92" w:rsidRDefault="00C72589" w:rsidP="3130A2F0">
      <w:pPr>
        <w:rPr>
          <w:rFonts w:ascii="Verdana" w:eastAsia="Times New Roman" w:hAnsi="Verdana" w:cs="Arial"/>
          <w:b/>
          <w:bCs/>
          <w:i/>
          <w:iCs/>
          <w:color w:val="C00000"/>
          <w:sz w:val="18"/>
          <w:szCs w:val="18"/>
        </w:rPr>
      </w:pPr>
      <w:hyperlink r:id="rId42" w:history="1">
        <w:r w:rsidR="00F071A1" w:rsidRPr="00C72589">
          <w:rPr>
            <w:rStyle w:val="Hyperlink"/>
            <w:rFonts w:ascii="Verdana" w:hAnsi="Verdana"/>
            <w:i/>
            <w:sz w:val="18"/>
          </w:rPr>
          <w:t>M3_1_6_1 Modèle de matrice de prise de décision</w:t>
        </w:r>
      </w:hyperlink>
      <w:r w:rsidR="00F071A1" w:rsidRPr="00B52D92">
        <w:rPr>
          <w:rFonts w:ascii="Verdana" w:hAnsi="Verdana"/>
          <w:color w:val="C00000"/>
          <w:sz w:val="18"/>
        </w:rPr>
        <w:t xml:space="preserve"> </w:t>
      </w:r>
    </w:p>
    <w:p w14:paraId="36CB9741" w14:textId="4EDB7EF4" w:rsidR="3130A2F0" w:rsidRDefault="3130A2F0" w:rsidP="3130A2F0">
      <w:pPr>
        <w:rPr>
          <w:rFonts w:ascii="Verdana" w:hAnsi="Verdana"/>
          <w:color w:val="000000" w:themeColor="text1"/>
          <w:sz w:val="18"/>
          <w:szCs w:val="18"/>
        </w:rPr>
      </w:pPr>
    </w:p>
    <w:p w14:paraId="3AD63B96" w14:textId="71E76907" w:rsidR="00B37545" w:rsidRPr="00224A23" w:rsidRDefault="5B7C6CC5" w:rsidP="00224A23">
      <w:pPr>
        <w:pStyle w:val="ListParagraph"/>
        <w:numPr>
          <w:ilvl w:val="0"/>
          <w:numId w:val="1"/>
        </w:numPr>
        <w:spacing w:line="259" w:lineRule="auto"/>
        <w:rPr>
          <w:rFonts w:ascii="Verdana" w:hAnsi="Verdana"/>
          <w:b/>
          <w:bCs/>
          <w:sz w:val="19"/>
          <w:szCs w:val="19"/>
        </w:rPr>
      </w:pPr>
      <w:r>
        <w:rPr>
          <w:rFonts w:ascii="Verdana" w:hAnsi="Verdana"/>
          <w:b/>
          <w:sz w:val="19"/>
        </w:rPr>
        <w:t>Définir des caractéristiques supplémentaires de conception de programme standard</w:t>
      </w:r>
    </w:p>
    <w:p w14:paraId="747C8354" w14:textId="78EDD324" w:rsidR="00B47B14" w:rsidRPr="00A57B8D" w:rsidRDefault="00DB0F9F" w:rsidP="3130A2F0">
      <w:pPr>
        <w:rPr>
          <w:rFonts w:ascii="Verdana" w:hAnsi="Verdana"/>
          <w:color w:val="000000" w:themeColor="text1"/>
          <w:sz w:val="18"/>
          <w:szCs w:val="18"/>
        </w:rPr>
      </w:pPr>
      <w:r>
        <w:rPr>
          <w:rFonts w:ascii="Verdana" w:hAnsi="Verdana"/>
          <w:color w:val="000000" w:themeColor="text1"/>
          <w:sz w:val="18"/>
        </w:rPr>
        <w:t xml:space="preserve">Une fois que la modalité et le mécanisme d’exécution des TM ont été décidés, la dernière étape de la </w:t>
      </w:r>
      <w:proofErr w:type="spellStart"/>
      <w:r w:rsidR="009A7BE4">
        <w:rPr>
          <w:rFonts w:ascii="Verdana" w:hAnsi="Verdana"/>
          <w:color w:val="000000" w:themeColor="text1"/>
          <w:sz w:val="18"/>
        </w:rPr>
        <w:t>baseline</w:t>
      </w:r>
      <w:proofErr w:type="spellEnd"/>
      <w:r>
        <w:rPr>
          <w:rFonts w:ascii="Verdana" w:hAnsi="Verdana"/>
          <w:color w:val="000000" w:themeColor="text1"/>
          <w:sz w:val="18"/>
        </w:rPr>
        <w:t xml:space="preserve"> des TM externe consiste à concevoir d’autres caractéristiques de conception du programme, y compris le calcul du ciblage et de la valeur de transfert, ainsi que tout ce qui peut être étudié à l’avance, reportez-vous aux résultats recueillis dans l’outil </w:t>
      </w:r>
      <w:hyperlink r:id="rId43" w:history="1">
        <w:r w:rsidRPr="00C72589">
          <w:rPr>
            <w:rStyle w:val="Hyperlink"/>
            <w:rFonts w:ascii="Verdana" w:hAnsi="Verdana"/>
            <w:i/>
            <w:sz w:val="18"/>
          </w:rPr>
          <w:t>M1_1_2_4 modèle de calcul des besoins prioritaires</w:t>
        </w:r>
        <w:r w:rsidRPr="00C72589">
          <w:rPr>
            <w:rStyle w:val="Hyperlink"/>
            <w:rFonts w:ascii="Verdana" w:hAnsi="Verdana"/>
            <w:sz w:val="18"/>
          </w:rPr>
          <w:t xml:space="preserve"> et utilisez</w:t>
        </w:r>
      </w:hyperlink>
      <w:r w:rsidR="00C72589">
        <w:rPr>
          <w:rFonts w:ascii="Verdana" w:hAnsi="Verdana"/>
          <w:i/>
          <w:color w:val="C00000"/>
          <w:sz w:val="18"/>
        </w:rPr>
        <w:t> ;</w:t>
      </w:r>
      <w:r w:rsidRPr="00B52D92">
        <w:rPr>
          <w:rFonts w:ascii="Verdana" w:hAnsi="Verdana"/>
          <w:color w:val="C00000"/>
          <w:sz w:val="18"/>
        </w:rPr>
        <w:t xml:space="preserve"> </w:t>
      </w:r>
      <w:hyperlink r:id="rId44" w:history="1">
        <w:r w:rsidRPr="009043E2">
          <w:rPr>
            <w:rStyle w:val="Hyperlink"/>
            <w:rFonts w:ascii="Verdana" w:hAnsi="Verdana"/>
            <w:i/>
            <w:sz w:val="18"/>
          </w:rPr>
          <w:t>M3_2_1_2 éléments à prendre en compte lors de la définition de la valeur de la valeur</w:t>
        </w:r>
      </w:hyperlink>
      <w:r w:rsidRPr="00B52D92">
        <w:rPr>
          <w:color w:val="C00000"/>
        </w:rPr>
        <w:t xml:space="preserve"> de</w:t>
      </w:r>
      <w:r w:rsidRPr="00B52D92">
        <w:rPr>
          <w:rFonts w:ascii="Verdana" w:hAnsi="Verdana"/>
          <w:color w:val="C00000"/>
          <w:sz w:val="17"/>
        </w:rPr>
        <w:t xml:space="preserve"> </w:t>
      </w:r>
      <w:r w:rsidRPr="00B52D92">
        <w:rPr>
          <w:rFonts w:ascii="Verdana" w:hAnsi="Verdana"/>
          <w:color w:val="C00000"/>
          <w:sz w:val="18"/>
        </w:rPr>
        <w:t xml:space="preserve">transfert. Pour le ciblage, reportez-vous aux </w:t>
      </w:r>
      <w:hyperlink r:id="rId45" w:history="1">
        <w:r w:rsidR="00AA5649" w:rsidRPr="001C0AF5">
          <w:rPr>
            <w:rStyle w:val="Hyperlink"/>
            <w:rFonts w:ascii="Verdana" w:hAnsi="Verdana"/>
            <w:i/>
            <w:sz w:val="18"/>
          </w:rPr>
          <w:t>M3_3_2_1</w:t>
        </w:r>
        <w:r w:rsidR="00AA5649" w:rsidRPr="001C0AF5">
          <w:rPr>
            <w:rStyle w:val="Hyperlink"/>
            <w:rFonts w:ascii="Verdana" w:hAnsi="Verdana"/>
            <w:i/>
            <w:sz w:val="18"/>
          </w:rPr>
          <w:t xml:space="preserve"> </w:t>
        </w:r>
        <w:r w:rsidRPr="001C0AF5">
          <w:rPr>
            <w:rStyle w:val="Hyperlink"/>
            <w:rFonts w:ascii="Verdana" w:hAnsi="Verdana"/>
            <w:i/>
            <w:sz w:val="18"/>
          </w:rPr>
          <w:t>critères de ciblage</w:t>
        </w:r>
      </w:hyperlink>
      <w:r w:rsidRPr="00B52D92">
        <w:rPr>
          <w:rFonts w:ascii="Verdana" w:hAnsi="Verdana"/>
          <w:i/>
          <w:color w:val="C00000"/>
          <w:sz w:val="18"/>
        </w:rPr>
        <w:t xml:space="preserve"> </w:t>
      </w:r>
    </w:p>
    <w:sectPr w:rsidR="00B47B14" w:rsidRPr="00A57B8D" w:rsidSect="00DB0F9F">
      <w:headerReference w:type="default" r:id="rId46"/>
      <w:footerReference w:type="even" r:id="rId47"/>
      <w:footerReference w:type="default" r:id="rId48"/>
      <w:headerReference w:type="first" r:id="rId49"/>
      <w:footerReference w:type="first" r:id="rId50"/>
      <w:pgSz w:w="11900" w:h="16840"/>
      <w:pgMar w:top="683" w:right="1127" w:bottom="895"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B0FE7" w14:textId="77777777" w:rsidR="00230A6A" w:rsidRDefault="00230A6A" w:rsidP="00B403C3">
      <w:pPr>
        <w:spacing w:after="0"/>
      </w:pPr>
      <w:r>
        <w:separator/>
      </w:r>
    </w:p>
  </w:endnote>
  <w:endnote w:type="continuationSeparator" w:id="0">
    <w:p w14:paraId="61CEEF67" w14:textId="77777777" w:rsidR="00230A6A" w:rsidRDefault="00230A6A" w:rsidP="00B40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D54E" w14:textId="77777777" w:rsidR="004C0D65" w:rsidRDefault="004C0D65" w:rsidP="00B403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FE2DC" w14:textId="77777777" w:rsidR="004C0D65" w:rsidRDefault="004C0D65" w:rsidP="00B40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44AC" w14:textId="566762F7" w:rsidR="004C0D65" w:rsidRPr="00B45C74" w:rsidRDefault="004C0D65" w:rsidP="00B403C3">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rPr>
      <w:fldChar w:fldCharType="begin"/>
    </w:r>
    <w:r w:rsidRPr="00B45C74">
      <w:rPr>
        <w:b/>
        <w:color w:val="808080" w:themeColor="background1" w:themeShade="80"/>
        <w:sz w:val="18"/>
      </w:rPr>
      <w:instrText xml:space="preserve">PAGE  </w:instrText>
    </w:r>
    <w:r w:rsidRPr="00B45C74">
      <w:rPr>
        <w:b/>
        <w:color w:val="808080" w:themeColor="background1" w:themeShade="80"/>
        <w:sz w:val="18"/>
      </w:rPr>
      <w:fldChar w:fldCharType="separate"/>
    </w:r>
    <w:r w:rsidR="00187EED">
      <w:rPr>
        <w:b/>
        <w:color w:val="808080" w:themeColor="background1" w:themeShade="80"/>
        <w:sz w:val="18"/>
      </w:rPr>
      <w:t>2</w:t>
    </w:r>
    <w:r w:rsidRPr="00B45C74">
      <w:rPr>
        <w:b/>
        <w:color w:val="808080" w:themeColor="background1" w:themeShade="80"/>
        <w:sz w:val="18"/>
      </w:rPr>
      <w:fldChar w:fldCharType="end"/>
    </w:r>
  </w:p>
  <w:p w14:paraId="2411609D" w14:textId="1C8AC581" w:rsidR="004C0D65" w:rsidRPr="00001BB0" w:rsidRDefault="004C0D65" w:rsidP="00B40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9F22" w14:textId="42E58D92" w:rsidR="004C0D65" w:rsidRPr="00B45C74" w:rsidRDefault="004C0D65" w:rsidP="00B403C3">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rPr>
      <w:fldChar w:fldCharType="begin"/>
    </w:r>
    <w:r w:rsidRPr="00B45C74">
      <w:rPr>
        <w:b/>
        <w:color w:val="808080" w:themeColor="background1" w:themeShade="80"/>
        <w:sz w:val="18"/>
      </w:rPr>
      <w:instrText xml:space="preserve">PAGE  </w:instrText>
    </w:r>
    <w:r w:rsidRPr="00B45C74">
      <w:rPr>
        <w:b/>
        <w:color w:val="808080" w:themeColor="background1" w:themeShade="80"/>
        <w:sz w:val="18"/>
      </w:rPr>
      <w:fldChar w:fldCharType="separate"/>
    </w:r>
    <w:r w:rsidR="00187EED">
      <w:rPr>
        <w:b/>
        <w:color w:val="808080" w:themeColor="background1" w:themeShade="80"/>
        <w:sz w:val="18"/>
      </w:rPr>
      <w:t>1</w:t>
    </w:r>
    <w:r w:rsidRPr="00B45C74">
      <w:rPr>
        <w:b/>
        <w:color w:val="808080" w:themeColor="background1" w:themeShade="80"/>
        <w:sz w:val="18"/>
      </w:rPr>
      <w:fldChar w:fldCharType="end"/>
    </w:r>
  </w:p>
  <w:p w14:paraId="276DDD0E" w14:textId="7146F85B" w:rsidR="004C0D65" w:rsidRPr="00001BB0" w:rsidRDefault="004C0D65" w:rsidP="00B4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490B4" w14:textId="77777777" w:rsidR="00230A6A" w:rsidRDefault="00230A6A" w:rsidP="00B403C3">
      <w:pPr>
        <w:spacing w:after="0"/>
      </w:pPr>
      <w:r>
        <w:separator/>
      </w:r>
    </w:p>
  </w:footnote>
  <w:footnote w:type="continuationSeparator" w:id="0">
    <w:p w14:paraId="5A0DC290" w14:textId="77777777" w:rsidR="00230A6A" w:rsidRDefault="00230A6A" w:rsidP="00B403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D45DB26" w14:paraId="5D6EC9CC" w14:textId="77777777" w:rsidTr="00EA1BD9">
      <w:trPr>
        <w:trHeight w:val="300"/>
      </w:trPr>
      <w:tc>
        <w:tcPr>
          <w:tcW w:w="3210" w:type="dxa"/>
        </w:tcPr>
        <w:p w14:paraId="40C86830" w14:textId="35FE5E51" w:rsidR="2D45DB26" w:rsidRDefault="2D45DB26" w:rsidP="00EA1BD9">
          <w:pPr>
            <w:pStyle w:val="Header"/>
            <w:ind w:left="-115"/>
          </w:pPr>
        </w:p>
      </w:tc>
      <w:tc>
        <w:tcPr>
          <w:tcW w:w="3210" w:type="dxa"/>
        </w:tcPr>
        <w:p w14:paraId="6821B136" w14:textId="661C7491" w:rsidR="2D45DB26" w:rsidRDefault="2D45DB26" w:rsidP="00EA1BD9">
          <w:pPr>
            <w:pStyle w:val="Header"/>
            <w:jc w:val="center"/>
          </w:pPr>
        </w:p>
      </w:tc>
      <w:tc>
        <w:tcPr>
          <w:tcW w:w="3210" w:type="dxa"/>
        </w:tcPr>
        <w:p w14:paraId="01A23B4D" w14:textId="4A2A7AE1" w:rsidR="2D45DB26" w:rsidRDefault="2D45DB26" w:rsidP="00EA1BD9">
          <w:pPr>
            <w:pStyle w:val="Header"/>
            <w:ind w:right="-115"/>
            <w:jc w:val="right"/>
          </w:pPr>
        </w:p>
      </w:tc>
    </w:tr>
  </w:tbl>
  <w:p w14:paraId="1007496D" w14:textId="69ADAD2B" w:rsidR="2D45DB26" w:rsidRDefault="2D45DB26" w:rsidP="00EA1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D45DB26" w14:paraId="1F46F6F3" w14:textId="77777777" w:rsidTr="00EA1BD9">
      <w:trPr>
        <w:trHeight w:val="300"/>
      </w:trPr>
      <w:tc>
        <w:tcPr>
          <w:tcW w:w="3210" w:type="dxa"/>
        </w:tcPr>
        <w:p w14:paraId="1C332718" w14:textId="23BCF042" w:rsidR="2D45DB26" w:rsidRDefault="2D45DB26" w:rsidP="00EA1BD9">
          <w:pPr>
            <w:pStyle w:val="Header"/>
            <w:ind w:left="-115"/>
          </w:pPr>
        </w:p>
      </w:tc>
      <w:tc>
        <w:tcPr>
          <w:tcW w:w="3210" w:type="dxa"/>
        </w:tcPr>
        <w:p w14:paraId="5DC12FB4" w14:textId="7C98470A" w:rsidR="2D45DB26" w:rsidRDefault="2D45DB26" w:rsidP="00EA1BD9">
          <w:pPr>
            <w:pStyle w:val="Header"/>
            <w:jc w:val="center"/>
          </w:pPr>
        </w:p>
      </w:tc>
      <w:tc>
        <w:tcPr>
          <w:tcW w:w="3210" w:type="dxa"/>
        </w:tcPr>
        <w:p w14:paraId="62A2AF8D" w14:textId="7E3A0188" w:rsidR="2D45DB26" w:rsidRDefault="2D45DB26" w:rsidP="00EA1BD9">
          <w:pPr>
            <w:pStyle w:val="Header"/>
            <w:ind w:right="-115"/>
            <w:jc w:val="right"/>
          </w:pPr>
        </w:p>
      </w:tc>
    </w:tr>
  </w:tbl>
  <w:p w14:paraId="5AC95921" w14:textId="3B9AB4AC" w:rsidR="2D45DB26" w:rsidRDefault="2D45DB26" w:rsidP="00EA1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5FFB"/>
    <w:multiLevelType w:val="hybridMultilevel"/>
    <w:tmpl w:val="A4B8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368C8"/>
    <w:multiLevelType w:val="hybridMultilevel"/>
    <w:tmpl w:val="7D548580"/>
    <w:lvl w:ilvl="0" w:tplc="AB9ACE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120A0"/>
    <w:multiLevelType w:val="hybridMultilevel"/>
    <w:tmpl w:val="17D6E6C6"/>
    <w:lvl w:ilvl="0" w:tplc="DF267798">
      <w:start w:val="1"/>
      <w:numFmt w:val="bullet"/>
      <w:lvlText w:val=""/>
      <w:lvlJc w:val="left"/>
      <w:pPr>
        <w:ind w:left="720" w:hanging="360"/>
      </w:pPr>
      <w:rPr>
        <w:rFonts w:ascii="Symbol" w:hAnsi="Symbol" w:hint="default"/>
      </w:rPr>
    </w:lvl>
    <w:lvl w:ilvl="1" w:tplc="5E08DEE0">
      <w:start w:val="1"/>
      <w:numFmt w:val="bullet"/>
      <w:lvlText w:val="o"/>
      <w:lvlJc w:val="left"/>
      <w:pPr>
        <w:ind w:left="1440" w:hanging="360"/>
      </w:pPr>
      <w:rPr>
        <w:rFonts w:ascii="Courier New" w:hAnsi="Courier New" w:hint="default"/>
      </w:rPr>
    </w:lvl>
    <w:lvl w:ilvl="2" w:tplc="B5563BDC">
      <w:start w:val="1"/>
      <w:numFmt w:val="bullet"/>
      <w:lvlText w:val=""/>
      <w:lvlJc w:val="left"/>
      <w:pPr>
        <w:ind w:left="2160" w:hanging="360"/>
      </w:pPr>
      <w:rPr>
        <w:rFonts w:ascii="Wingdings" w:hAnsi="Wingdings" w:hint="default"/>
      </w:rPr>
    </w:lvl>
    <w:lvl w:ilvl="3" w:tplc="E702F9D2">
      <w:start w:val="1"/>
      <w:numFmt w:val="bullet"/>
      <w:lvlText w:val=""/>
      <w:lvlJc w:val="left"/>
      <w:pPr>
        <w:ind w:left="2880" w:hanging="360"/>
      </w:pPr>
      <w:rPr>
        <w:rFonts w:ascii="Symbol" w:hAnsi="Symbol" w:hint="default"/>
      </w:rPr>
    </w:lvl>
    <w:lvl w:ilvl="4" w:tplc="A2F64468">
      <w:start w:val="1"/>
      <w:numFmt w:val="bullet"/>
      <w:lvlText w:val="o"/>
      <w:lvlJc w:val="left"/>
      <w:pPr>
        <w:ind w:left="3600" w:hanging="360"/>
      </w:pPr>
      <w:rPr>
        <w:rFonts w:ascii="Courier New" w:hAnsi="Courier New" w:hint="default"/>
      </w:rPr>
    </w:lvl>
    <w:lvl w:ilvl="5" w:tplc="C360F3D0">
      <w:start w:val="1"/>
      <w:numFmt w:val="bullet"/>
      <w:lvlText w:val=""/>
      <w:lvlJc w:val="left"/>
      <w:pPr>
        <w:ind w:left="4320" w:hanging="360"/>
      </w:pPr>
      <w:rPr>
        <w:rFonts w:ascii="Wingdings" w:hAnsi="Wingdings" w:hint="default"/>
      </w:rPr>
    </w:lvl>
    <w:lvl w:ilvl="6" w:tplc="3A506508">
      <w:start w:val="1"/>
      <w:numFmt w:val="bullet"/>
      <w:lvlText w:val=""/>
      <w:lvlJc w:val="left"/>
      <w:pPr>
        <w:ind w:left="5040" w:hanging="360"/>
      </w:pPr>
      <w:rPr>
        <w:rFonts w:ascii="Symbol" w:hAnsi="Symbol" w:hint="default"/>
      </w:rPr>
    </w:lvl>
    <w:lvl w:ilvl="7" w:tplc="69D0ABB0">
      <w:start w:val="1"/>
      <w:numFmt w:val="bullet"/>
      <w:lvlText w:val="o"/>
      <w:lvlJc w:val="left"/>
      <w:pPr>
        <w:ind w:left="5760" w:hanging="360"/>
      </w:pPr>
      <w:rPr>
        <w:rFonts w:ascii="Courier New" w:hAnsi="Courier New" w:hint="default"/>
      </w:rPr>
    </w:lvl>
    <w:lvl w:ilvl="8" w:tplc="1D96616C">
      <w:start w:val="1"/>
      <w:numFmt w:val="bullet"/>
      <w:lvlText w:val=""/>
      <w:lvlJc w:val="left"/>
      <w:pPr>
        <w:ind w:left="6480" w:hanging="360"/>
      </w:pPr>
      <w:rPr>
        <w:rFonts w:ascii="Wingdings" w:hAnsi="Wingdings" w:hint="default"/>
      </w:rPr>
    </w:lvl>
  </w:abstractNum>
  <w:abstractNum w:abstractNumId="5" w15:restartNumberingAfterBreak="0">
    <w:nsid w:val="1E7650AB"/>
    <w:multiLevelType w:val="hybridMultilevel"/>
    <w:tmpl w:val="E77ADFC8"/>
    <w:lvl w:ilvl="0" w:tplc="B452596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A101A"/>
    <w:multiLevelType w:val="hybridMultilevel"/>
    <w:tmpl w:val="F656072A"/>
    <w:lvl w:ilvl="0" w:tplc="B452596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254113">
    <w:abstractNumId w:val="4"/>
  </w:num>
  <w:num w:numId="2" w16cid:durableId="248390175">
    <w:abstractNumId w:val="3"/>
  </w:num>
  <w:num w:numId="3" w16cid:durableId="1617255547">
    <w:abstractNumId w:val="1"/>
  </w:num>
  <w:num w:numId="4" w16cid:durableId="49884167">
    <w:abstractNumId w:val="6"/>
  </w:num>
  <w:num w:numId="5" w16cid:durableId="829712907">
    <w:abstractNumId w:val="7"/>
  </w:num>
  <w:num w:numId="6" w16cid:durableId="772211206">
    <w:abstractNumId w:val="9"/>
  </w:num>
  <w:num w:numId="7" w16cid:durableId="1355696005">
    <w:abstractNumId w:val="8"/>
  </w:num>
  <w:num w:numId="8" w16cid:durableId="953369095">
    <w:abstractNumId w:val="0"/>
  </w:num>
  <w:num w:numId="9" w16cid:durableId="1506558158">
    <w:abstractNumId w:val="5"/>
  </w:num>
  <w:num w:numId="10" w16cid:durableId="1532036437">
    <w:abstractNumId w:val="10"/>
  </w:num>
  <w:num w:numId="11" w16cid:durableId="54344276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40"/>
    <w:rsid w:val="00001BB0"/>
    <w:rsid w:val="00006069"/>
    <w:rsid w:val="00013761"/>
    <w:rsid w:val="00013DC5"/>
    <w:rsid w:val="00013E28"/>
    <w:rsid w:val="00015F8A"/>
    <w:rsid w:val="00016AD3"/>
    <w:rsid w:val="000170D0"/>
    <w:rsid w:val="00022179"/>
    <w:rsid w:val="000252E1"/>
    <w:rsid w:val="00026554"/>
    <w:rsid w:val="000315A2"/>
    <w:rsid w:val="00032164"/>
    <w:rsid w:val="000336C8"/>
    <w:rsid w:val="00034630"/>
    <w:rsid w:val="00042BA6"/>
    <w:rsid w:val="000451EE"/>
    <w:rsid w:val="00047690"/>
    <w:rsid w:val="00050678"/>
    <w:rsid w:val="00055BEF"/>
    <w:rsid w:val="000635CD"/>
    <w:rsid w:val="000645E6"/>
    <w:rsid w:val="00064FBB"/>
    <w:rsid w:val="0006650D"/>
    <w:rsid w:val="00071F2E"/>
    <w:rsid w:val="00080A4D"/>
    <w:rsid w:val="00080E13"/>
    <w:rsid w:val="0008386C"/>
    <w:rsid w:val="00093949"/>
    <w:rsid w:val="0009766F"/>
    <w:rsid w:val="00097728"/>
    <w:rsid w:val="000A6528"/>
    <w:rsid w:val="000B19E5"/>
    <w:rsid w:val="000B3AD1"/>
    <w:rsid w:val="000C02C5"/>
    <w:rsid w:val="000C0907"/>
    <w:rsid w:val="000C68E7"/>
    <w:rsid w:val="000D2B3A"/>
    <w:rsid w:val="000D5B52"/>
    <w:rsid w:val="000D6972"/>
    <w:rsid w:val="000D6DA1"/>
    <w:rsid w:val="000D7985"/>
    <w:rsid w:val="000E1CA5"/>
    <w:rsid w:val="000F4672"/>
    <w:rsid w:val="00103054"/>
    <w:rsid w:val="00115F66"/>
    <w:rsid w:val="00116B0E"/>
    <w:rsid w:val="00122B07"/>
    <w:rsid w:val="00125BDD"/>
    <w:rsid w:val="0013340E"/>
    <w:rsid w:val="00143593"/>
    <w:rsid w:val="001460D8"/>
    <w:rsid w:val="001519B3"/>
    <w:rsid w:val="00156542"/>
    <w:rsid w:val="00157970"/>
    <w:rsid w:val="0016457C"/>
    <w:rsid w:val="0016487B"/>
    <w:rsid w:val="001749C8"/>
    <w:rsid w:val="00177778"/>
    <w:rsid w:val="0018556B"/>
    <w:rsid w:val="001866D4"/>
    <w:rsid w:val="00187EED"/>
    <w:rsid w:val="00194DCA"/>
    <w:rsid w:val="001A208C"/>
    <w:rsid w:val="001A28DE"/>
    <w:rsid w:val="001C0AF5"/>
    <w:rsid w:val="001C11BC"/>
    <w:rsid w:val="001C2068"/>
    <w:rsid w:val="001D5E14"/>
    <w:rsid w:val="001E5C38"/>
    <w:rsid w:val="001E7DA9"/>
    <w:rsid w:val="001F3F75"/>
    <w:rsid w:val="001F51F5"/>
    <w:rsid w:val="0020141D"/>
    <w:rsid w:val="00201F4A"/>
    <w:rsid w:val="002036DF"/>
    <w:rsid w:val="00224A23"/>
    <w:rsid w:val="00230A6A"/>
    <w:rsid w:val="002315A3"/>
    <w:rsid w:val="0023640D"/>
    <w:rsid w:val="00253D91"/>
    <w:rsid w:val="00253E3C"/>
    <w:rsid w:val="00256A0A"/>
    <w:rsid w:val="00257D60"/>
    <w:rsid w:val="0026720E"/>
    <w:rsid w:val="00271EF3"/>
    <w:rsid w:val="00271F9F"/>
    <w:rsid w:val="0027235D"/>
    <w:rsid w:val="002770FB"/>
    <w:rsid w:val="00281B36"/>
    <w:rsid w:val="002A1D98"/>
    <w:rsid w:val="002A1E02"/>
    <w:rsid w:val="002A4700"/>
    <w:rsid w:val="002B1A5D"/>
    <w:rsid w:val="002C792A"/>
    <w:rsid w:val="002D5E21"/>
    <w:rsid w:val="002D620B"/>
    <w:rsid w:val="002D6EE7"/>
    <w:rsid w:val="002E2B9C"/>
    <w:rsid w:val="002E4CF5"/>
    <w:rsid w:val="002E60CA"/>
    <w:rsid w:val="00300B0F"/>
    <w:rsid w:val="00302ABF"/>
    <w:rsid w:val="00302CBD"/>
    <w:rsid w:val="0030457E"/>
    <w:rsid w:val="00315241"/>
    <w:rsid w:val="0031609A"/>
    <w:rsid w:val="00323D45"/>
    <w:rsid w:val="003254CC"/>
    <w:rsid w:val="003302FA"/>
    <w:rsid w:val="003317D2"/>
    <w:rsid w:val="00333F74"/>
    <w:rsid w:val="00351C5B"/>
    <w:rsid w:val="003543F7"/>
    <w:rsid w:val="00355575"/>
    <w:rsid w:val="00374834"/>
    <w:rsid w:val="00376B71"/>
    <w:rsid w:val="003771F5"/>
    <w:rsid w:val="00381A28"/>
    <w:rsid w:val="00382077"/>
    <w:rsid w:val="0038579A"/>
    <w:rsid w:val="0038741D"/>
    <w:rsid w:val="003A1697"/>
    <w:rsid w:val="003A21E7"/>
    <w:rsid w:val="003A6CEA"/>
    <w:rsid w:val="003A72B3"/>
    <w:rsid w:val="003B00D1"/>
    <w:rsid w:val="003B2998"/>
    <w:rsid w:val="003B2A59"/>
    <w:rsid w:val="003B3D18"/>
    <w:rsid w:val="003D2782"/>
    <w:rsid w:val="003D6DD5"/>
    <w:rsid w:val="003E46BC"/>
    <w:rsid w:val="003F3B7E"/>
    <w:rsid w:val="003F68F8"/>
    <w:rsid w:val="00400FE2"/>
    <w:rsid w:val="0040386B"/>
    <w:rsid w:val="00405731"/>
    <w:rsid w:val="004073FA"/>
    <w:rsid w:val="004102D0"/>
    <w:rsid w:val="00411020"/>
    <w:rsid w:val="00411823"/>
    <w:rsid w:val="00421903"/>
    <w:rsid w:val="004314CE"/>
    <w:rsid w:val="00443BA3"/>
    <w:rsid w:val="00444ACE"/>
    <w:rsid w:val="0044509F"/>
    <w:rsid w:val="00450907"/>
    <w:rsid w:val="004643AA"/>
    <w:rsid w:val="004751FC"/>
    <w:rsid w:val="00483553"/>
    <w:rsid w:val="00486940"/>
    <w:rsid w:val="00496C49"/>
    <w:rsid w:val="00497478"/>
    <w:rsid w:val="004A0800"/>
    <w:rsid w:val="004A0B35"/>
    <w:rsid w:val="004A1BA5"/>
    <w:rsid w:val="004A4D2E"/>
    <w:rsid w:val="004A4F67"/>
    <w:rsid w:val="004A5081"/>
    <w:rsid w:val="004A716B"/>
    <w:rsid w:val="004B12F4"/>
    <w:rsid w:val="004B4295"/>
    <w:rsid w:val="004B559D"/>
    <w:rsid w:val="004B6FE7"/>
    <w:rsid w:val="004C0D65"/>
    <w:rsid w:val="004C3C23"/>
    <w:rsid w:val="004C4B86"/>
    <w:rsid w:val="004D05E8"/>
    <w:rsid w:val="004D2AB8"/>
    <w:rsid w:val="004F38AC"/>
    <w:rsid w:val="005116A1"/>
    <w:rsid w:val="00512B1C"/>
    <w:rsid w:val="00531D0B"/>
    <w:rsid w:val="005330FC"/>
    <w:rsid w:val="00534D3B"/>
    <w:rsid w:val="005353F8"/>
    <w:rsid w:val="00536504"/>
    <w:rsid w:val="005407F7"/>
    <w:rsid w:val="00547EF9"/>
    <w:rsid w:val="00551C33"/>
    <w:rsid w:val="005552B4"/>
    <w:rsid w:val="00555881"/>
    <w:rsid w:val="005603DB"/>
    <w:rsid w:val="00566E1C"/>
    <w:rsid w:val="00567F5C"/>
    <w:rsid w:val="00571A20"/>
    <w:rsid w:val="005726BF"/>
    <w:rsid w:val="00581A7D"/>
    <w:rsid w:val="005829AB"/>
    <w:rsid w:val="005954A1"/>
    <w:rsid w:val="00595A3A"/>
    <w:rsid w:val="00595BBC"/>
    <w:rsid w:val="00596D1C"/>
    <w:rsid w:val="005A6A81"/>
    <w:rsid w:val="005A77FB"/>
    <w:rsid w:val="005B08EF"/>
    <w:rsid w:val="005B5BBC"/>
    <w:rsid w:val="005B7847"/>
    <w:rsid w:val="005C0C93"/>
    <w:rsid w:val="005C5269"/>
    <w:rsid w:val="005C5B6A"/>
    <w:rsid w:val="005E4FD7"/>
    <w:rsid w:val="005E687F"/>
    <w:rsid w:val="005F5AD4"/>
    <w:rsid w:val="005F7CAC"/>
    <w:rsid w:val="00604AEF"/>
    <w:rsid w:val="0061281E"/>
    <w:rsid w:val="006146F6"/>
    <w:rsid w:val="006202E2"/>
    <w:rsid w:val="0062030E"/>
    <w:rsid w:val="006205AA"/>
    <w:rsid w:val="006208D8"/>
    <w:rsid w:val="006209E9"/>
    <w:rsid w:val="00620A50"/>
    <w:rsid w:val="006243FF"/>
    <w:rsid w:val="006245DC"/>
    <w:rsid w:val="00625221"/>
    <w:rsid w:val="00635185"/>
    <w:rsid w:val="0064357F"/>
    <w:rsid w:val="006472F5"/>
    <w:rsid w:val="006559DB"/>
    <w:rsid w:val="00664E71"/>
    <w:rsid w:val="00666F83"/>
    <w:rsid w:val="00672CA0"/>
    <w:rsid w:val="00682108"/>
    <w:rsid w:val="00683D89"/>
    <w:rsid w:val="00684623"/>
    <w:rsid w:val="0069541A"/>
    <w:rsid w:val="00696C93"/>
    <w:rsid w:val="006A0FCD"/>
    <w:rsid w:val="006A11F8"/>
    <w:rsid w:val="006A1F3D"/>
    <w:rsid w:val="006A3AE6"/>
    <w:rsid w:val="006A502B"/>
    <w:rsid w:val="006B3366"/>
    <w:rsid w:val="006B562C"/>
    <w:rsid w:val="006C2D97"/>
    <w:rsid w:val="006C6F53"/>
    <w:rsid w:val="006D0AC8"/>
    <w:rsid w:val="006D0C2A"/>
    <w:rsid w:val="006D1FF2"/>
    <w:rsid w:val="006D35DE"/>
    <w:rsid w:val="006D4598"/>
    <w:rsid w:val="006D5696"/>
    <w:rsid w:val="006E0D13"/>
    <w:rsid w:val="006E619B"/>
    <w:rsid w:val="00700E67"/>
    <w:rsid w:val="007015E4"/>
    <w:rsid w:val="007047BD"/>
    <w:rsid w:val="00715DDE"/>
    <w:rsid w:val="007218D7"/>
    <w:rsid w:val="0072275B"/>
    <w:rsid w:val="007242F2"/>
    <w:rsid w:val="00730242"/>
    <w:rsid w:val="00732437"/>
    <w:rsid w:val="0073373A"/>
    <w:rsid w:val="00735118"/>
    <w:rsid w:val="00741029"/>
    <w:rsid w:val="00741E6D"/>
    <w:rsid w:val="007443C9"/>
    <w:rsid w:val="00751A15"/>
    <w:rsid w:val="00752D48"/>
    <w:rsid w:val="00753667"/>
    <w:rsid w:val="007546E7"/>
    <w:rsid w:val="00756BE7"/>
    <w:rsid w:val="00773E26"/>
    <w:rsid w:val="00777C9B"/>
    <w:rsid w:val="00780C15"/>
    <w:rsid w:val="00783B1A"/>
    <w:rsid w:val="00783CDB"/>
    <w:rsid w:val="00784FAE"/>
    <w:rsid w:val="00786E05"/>
    <w:rsid w:val="00787F74"/>
    <w:rsid w:val="00794BEF"/>
    <w:rsid w:val="0079546D"/>
    <w:rsid w:val="00797839"/>
    <w:rsid w:val="007A0038"/>
    <w:rsid w:val="007A1684"/>
    <w:rsid w:val="007B05B2"/>
    <w:rsid w:val="007B0DE7"/>
    <w:rsid w:val="007B3C05"/>
    <w:rsid w:val="007C6746"/>
    <w:rsid w:val="007C776B"/>
    <w:rsid w:val="007D1A58"/>
    <w:rsid w:val="007D7E96"/>
    <w:rsid w:val="007E5274"/>
    <w:rsid w:val="007E6D29"/>
    <w:rsid w:val="007F10F5"/>
    <w:rsid w:val="007F28E7"/>
    <w:rsid w:val="007F5A89"/>
    <w:rsid w:val="00801272"/>
    <w:rsid w:val="00805569"/>
    <w:rsid w:val="00810588"/>
    <w:rsid w:val="00811B5D"/>
    <w:rsid w:val="00814961"/>
    <w:rsid w:val="00814F2E"/>
    <w:rsid w:val="0082247A"/>
    <w:rsid w:val="00826018"/>
    <w:rsid w:val="00845CB5"/>
    <w:rsid w:val="00853BE2"/>
    <w:rsid w:val="00856D5A"/>
    <w:rsid w:val="00865FD5"/>
    <w:rsid w:val="00870812"/>
    <w:rsid w:val="00870F79"/>
    <w:rsid w:val="00871620"/>
    <w:rsid w:val="00872D29"/>
    <w:rsid w:val="0087668F"/>
    <w:rsid w:val="00877D2A"/>
    <w:rsid w:val="00881374"/>
    <w:rsid w:val="00884228"/>
    <w:rsid w:val="00894069"/>
    <w:rsid w:val="008948FB"/>
    <w:rsid w:val="008A01B9"/>
    <w:rsid w:val="008A6940"/>
    <w:rsid w:val="008B0AAC"/>
    <w:rsid w:val="008B1C81"/>
    <w:rsid w:val="008B1E7E"/>
    <w:rsid w:val="008D0685"/>
    <w:rsid w:val="008D7B4D"/>
    <w:rsid w:val="008E3F96"/>
    <w:rsid w:val="008E6E23"/>
    <w:rsid w:val="008E792A"/>
    <w:rsid w:val="008E7EB2"/>
    <w:rsid w:val="008F0522"/>
    <w:rsid w:val="008F243D"/>
    <w:rsid w:val="008F390C"/>
    <w:rsid w:val="008F3CA6"/>
    <w:rsid w:val="008F586F"/>
    <w:rsid w:val="00900CB1"/>
    <w:rsid w:val="00901DB8"/>
    <w:rsid w:val="00903622"/>
    <w:rsid w:val="009043E2"/>
    <w:rsid w:val="00911DCA"/>
    <w:rsid w:val="00921488"/>
    <w:rsid w:val="00921CD9"/>
    <w:rsid w:val="00925678"/>
    <w:rsid w:val="00925914"/>
    <w:rsid w:val="00926D8B"/>
    <w:rsid w:val="00926D9E"/>
    <w:rsid w:val="00927F17"/>
    <w:rsid w:val="0093040B"/>
    <w:rsid w:val="009331BF"/>
    <w:rsid w:val="00945336"/>
    <w:rsid w:val="0094579D"/>
    <w:rsid w:val="00945A15"/>
    <w:rsid w:val="009534E7"/>
    <w:rsid w:val="00956E66"/>
    <w:rsid w:val="00961CA3"/>
    <w:rsid w:val="00963D2C"/>
    <w:rsid w:val="00964484"/>
    <w:rsid w:val="009673D5"/>
    <w:rsid w:val="0097443E"/>
    <w:rsid w:val="0099167E"/>
    <w:rsid w:val="00994992"/>
    <w:rsid w:val="009A324E"/>
    <w:rsid w:val="009A572B"/>
    <w:rsid w:val="009A5FA3"/>
    <w:rsid w:val="009A6F1F"/>
    <w:rsid w:val="009A7BE4"/>
    <w:rsid w:val="009B052E"/>
    <w:rsid w:val="009B6A97"/>
    <w:rsid w:val="009C0C1B"/>
    <w:rsid w:val="009C6A6F"/>
    <w:rsid w:val="009C6AB6"/>
    <w:rsid w:val="009D3764"/>
    <w:rsid w:val="009D3DBA"/>
    <w:rsid w:val="009E1F1B"/>
    <w:rsid w:val="009E3D91"/>
    <w:rsid w:val="009F28B5"/>
    <w:rsid w:val="00A010C8"/>
    <w:rsid w:val="00A019DD"/>
    <w:rsid w:val="00A0659F"/>
    <w:rsid w:val="00A10F2A"/>
    <w:rsid w:val="00A20BE4"/>
    <w:rsid w:val="00A214D1"/>
    <w:rsid w:val="00A21FF5"/>
    <w:rsid w:val="00A2490B"/>
    <w:rsid w:val="00A26945"/>
    <w:rsid w:val="00A44B43"/>
    <w:rsid w:val="00A47C14"/>
    <w:rsid w:val="00A52CB6"/>
    <w:rsid w:val="00A53101"/>
    <w:rsid w:val="00A57B8D"/>
    <w:rsid w:val="00A6052D"/>
    <w:rsid w:val="00A634FD"/>
    <w:rsid w:val="00A76B49"/>
    <w:rsid w:val="00A80491"/>
    <w:rsid w:val="00A81F6A"/>
    <w:rsid w:val="00A92296"/>
    <w:rsid w:val="00A92B18"/>
    <w:rsid w:val="00A96D12"/>
    <w:rsid w:val="00AA4EEE"/>
    <w:rsid w:val="00AA5649"/>
    <w:rsid w:val="00AB5EF1"/>
    <w:rsid w:val="00AB63CD"/>
    <w:rsid w:val="00AC2657"/>
    <w:rsid w:val="00AC40DE"/>
    <w:rsid w:val="00AC5D3A"/>
    <w:rsid w:val="00B04813"/>
    <w:rsid w:val="00B052A8"/>
    <w:rsid w:val="00B05410"/>
    <w:rsid w:val="00B1240D"/>
    <w:rsid w:val="00B204BC"/>
    <w:rsid w:val="00B2233E"/>
    <w:rsid w:val="00B22E01"/>
    <w:rsid w:val="00B32354"/>
    <w:rsid w:val="00B37545"/>
    <w:rsid w:val="00B37899"/>
    <w:rsid w:val="00B403C3"/>
    <w:rsid w:val="00B41701"/>
    <w:rsid w:val="00B43740"/>
    <w:rsid w:val="00B43C0E"/>
    <w:rsid w:val="00B45A49"/>
    <w:rsid w:val="00B47B14"/>
    <w:rsid w:val="00B519E8"/>
    <w:rsid w:val="00B52D92"/>
    <w:rsid w:val="00B565F3"/>
    <w:rsid w:val="00B60235"/>
    <w:rsid w:val="00B61221"/>
    <w:rsid w:val="00B64D71"/>
    <w:rsid w:val="00B70832"/>
    <w:rsid w:val="00B75D4D"/>
    <w:rsid w:val="00B773D1"/>
    <w:rsid w:val="00B841C2"/>
    <w:rsid w:val="00B906A0"/>
    <w:rsid w:val="00B93497"/>
    <w:rsid w:val="00BA3598"/>
    <w:rsid w:val="00BB32F8"/>
    <w:rsid w:val="00BC087C"/>
    <w:rsid w:val="00BC1545"/>
    <w:rsid w:val="00BC69A7"/>
    <w:rsid w:val="00BC7A1E"/>
    <w:rsid w:val="00BD0FFD"/>
    <w:rsid w:val="00BD53B1"/>
    <w:rsid w:val="00BF2C5D"/>
    <w:rsid w:val="00BF5B61"/>
    <w:rsid w:val="00C17404"/>
    <w:rsid w:val="00C20194"/>
    <w:rsid w:val="00C316B8"/>
    <w:rsid w:val="00C32818"/>
    <w:rsid w:val="00C45277"/>
    <w:rsid w:val="00C46AF2"/>
    <w:rsid w:val="00C55A51"/>
    <w:rsid w:val="00C62385"/>
    <w:rsid w:val="00C67AC4"/>
    <w:rsid w:val="00C718D8"/>
    <w:rsid w:val="00C72589"/>
    <w:rsid w:val="00C72A7E"/>
    <w:rsid w:val="00C72E65"/>
    <w:rsid w:val="00C73246"/>
    <w:rsid w:val="00C828C6"/>
    <w:rsid w:val="00C84F95"/>
    <w:rsid w:val="00C94037"/>
    <w:rsid w:val="00CA2093"/>
    <w:rsid w:val="00CA25CA"/>
    <w:rsid w:val="00CA66B0"/>
    <w:rsid w:val="00CB2A42"/>
    <w:rsid w:val="00CB2FAF"/>
    <w:rsid w:val="00CB4586"/>
    <w:rsid w:val="00CD3040"/>
    <w:rsid w:val="00CD352F"/>
    <w:rsid w:val="00CE16B8"/>
    <w:rsid w:val="00CE2101"/>
    <w:rsid w:val="00CE2D13"/>
    <w:rsid w:val="00CF4E19"/>
    <w:rsid w:val="00D062DB"/>
    <w:rsid w:val="00D101DD"/>
    <w:rsid w:val="00D15837"/>
    <w:rsid w:val="00D20147"/>
    <w:rsid w:val="00D22BD2"/>
    <w:rsid w:val="00D2751B"/>
    <w:rsid w:val="00D3056F"/>
    <w:rsid w:val="00D315FA"/>
    <w:rsid w:val="00D31A90"/>
    <w:rsid w:val="00D44A85"/>
    <w:rsid w:val="00D46D6F"/>
    <w:rsid w:val="00D6294E"/>
    <w:rsid w:val="00D6629B"/>
    <w:rsid w:val="00D67B52"/>
    <w:rsid w:val="00D75F51"/>
    <w:rsid w:val="00D8597A"/>
    <w:rsid w:val="00D92ABF"/>
    <w:rsid w:val="00D9793E"/>
    <w:rsid w:val="00DA00BF"/>
    <w:rsid w:val="00DB0F9F"/>
    <w:rsid w:val="00DB2D7B"/>
    <w:rsid w:val="00DB57DF"/>
    <w:rsid w:val="00DC0796"/>
    <w:rsid w:val="00DC1372"/>
    <w:rsid w:val="00DD0EFC"/>
    <w:rsid w:val="00DD2114"/>
    <w:rsid w:val="00DD662A"/>
    <w:rsid w:val="00DE1F73"/>
    <w:rsid w:val="00DE5AAF"/>
    <w:rsid w:val="00DE5B4F"/>
    <w:rsid w:val="00DF13DD"/>
    <w:rsid w:val="00DF1BE5"/>
    <w:rsid w:val="00DF4C00"/>
    <w:rsid w:val="00DF6E86"/>
    <w:rsid w:val="00E04A3A"/>
    <w:rsid w:val="00E157E2"/>
    <w:rsid w:val="00E15ECC"/>
    <w:rsid w:val="00E22D71"/>
    <w:rsid w:val="00E324A5"/>
    <w:rsid w:val="00E33DD4"/>
    <w:rsid w:val="00E35C2E"/>
    <w:rsid w:val="00E36CBD"/>
    <w:rsid w:val="00E376B7"/>
    <w:rsid w:val="00E46D2E"/>
    <w:rsid w:val="00E50E22"/>
    <w:rsid w:val="00E542B6"/>
    <w:rsid w:val="00E54B3C"/>
    <w:rsid w:val="00E54E16"/>
    <w:rsid w:val="00E61F6F"/>
    <w:rsid w:val="00E62CDC"/>
    <w:rsid w:val="00E646AA"/>
    <w:rsid w:val="00E74392"/>
    <w:rsid w:val="00E7655A"/>
    <w:rsid w:val="00E82D8B"/>
    <w:rsid w:val="00E86A7D"/>
    <w:rsid w:val="00E90FA0"/>
    <w:rsid w:val="00E93EE1"/>
    <w:rsid w:val="00E9723E"/>
    <w:rsid w:val="00EA1BD9"/>
    <w:rsid w:val="00EA27F2"/>
    <w:rsid w:val="00EA5978"/>
    <w:rsid w:val="00EA6CFF"/>
    <w:rsid w:val="00EA7F4C"/>
    <w:rsid w:val="00EB2C2B"/>
    <w:rsid w:val="00EB6AA6"/>
    <w:rsid w:val="00EC197D"/>
    <w:rsid w:val="00EC2989"/>
    <w:rsid w:val="00EC32D6"/>
    <w:rsid w:val="00EC70D5"/>
    <w:rsid w:val="00ED3EBB"/>
    <w:rsid w:val="00ED4216"/>
    <w:rsid w:val="00ED432E"/>
    <w:rsid w:val="00ED44AD"/>
    <w:rsid w:val="00ED775B"/>
    <w:rsid w:val="00EE646C"/>
    <w:rsid w:val="00EF2F13"/>
    <w:rsid w:val="00EF7F67"/>
    <w:rsid w:val="00F057AA"/>
    <w:rsid w:val="00F071A1"/>
    <w:rsid w:val="00F11BA1"/>
    <w:rsid w:val="00F1635A"/>
    <w:rsid w:val="00F1731F"/>
    <w:rsid w:val="00F22E20"/>
    <w:rsid w:val="00F33221"/>
    <w:rsid w:val="00F33AE7"/>
    <w:rsid w:val="00F4020B"/>
    <w:rsid w:val="00F42EB1"/>
    <w:rsid w:val="00F43A6D"/>
    <w:rsid w:val="00F4496E"/>
    <w:rsid w:val="00F473ED"/>
    <w:rsid w:val="00F5183C"/>
    <w:rsid w:val="00F5297F"/>
    <w:rsid w:val="00F54955"/>
    <w:rsid w:val="00F57967"/>
    <w:rsid w:val="00F70142"/>
    <w:rsid w:val="00F7050B"/>
    <w:rsid w:val="00F71C32"/>
    <w:rsid w:val="00F725B8"/>
    <w:rsid w:val="00F73EAB"/>
    <w:rsid w:val="00F74A34"/>
    <w:rsid w:val="00F823B7"/>
    <w:rsid w:val="00F841C9"/>
    <w:rsid w:val="00F8571C"/>
    <w:rsid w:val="00F86274"/>
    <w:rsid w:val="00F95350"/>
    <w:rsid w:val="00FA369B"/>
    <w:rsid w:val="00FA466C"/>
    <w:rsid w:val="00FB0D80"/>
    <w:rsid w:val="00FB5855"/>
    <w:rsid w:val="00FC2D90"/>
    <w:rsid w:val="00FC2E42"/>
    <w:rsid w:val="00FC46ED"/>
    <w:rsid w:val="00FC6EC7"/>
    <w:rsid w:val="00FD5AE3"/>
    <w:rsid w:val="00FD6255"/>
    <w:rsid w:val="00FD7CEC"/>
    <w:rsid w:val="00FE10F1"/>
    <w:rsid w:val="00FE4CFB"/>
    <w:rsid w:val="00FE5EBC"/>
    <w:rsid w:val="00FE6129"/>
    <w:rsid w:val="00FE797B"/>
    <w:rsid w:val="0117A780"/>
    <w:rsid w:val="026156DA"/>
    <w:rsid w:val="02B77CF7"/>
    <w:rsid w:val="0369FE76"/>
    <w:rsid w:val="038AD7D8"/>
    <w:rsid w:val="039B80E9"/>
    <w:rsid w:val="03A9C741"/>
    <w:rsid w:val="0494B232"/>
    <w:rsid w:val="04A1A811"/>
    <w:rsid w:val="04DCEB9D"/>
    <w:rsid w:val="057770A5"/>
    <w:rsid w:val="05A82F5E"/>
    <w:rsid w:val="0600FEAF"/>
    <w:rsid w:val="06DF6ACF"/>
    <w:rsid w:val="06E3CA71"/>
    <w:rsid w:val="072C2A8B"/>
    <w:rsid w:val="0786E904"/>
    <w:rsid w:val="08766B2A"/>
    <w:rsid w:val="0929A6AA"/>
    <w:rsid w:val="09804730"/>
    <w:rsid w:val="0A85FA3F"/>
    <w:rsid w:val="0B36130F"/>
    <w:rsid w:val="0BA642BA"/>
    <w:rsid w:val="0BF2B5FA"/>
    <w:rsid w:val="0CDFF7C0"/>
    <w:rsid w:val="0EE4490A"/>
    <w:rsid w:val="0F8EA5CD"/>
    <w:rsid w:val="0FC82FD1"/>
    <w:rsid w:val="10DA3D12"/>
    <w:rsid w:val="10EE6973"/>
    <w:rsid w:val="1156FF01"/>
    <w:rsid w:val="1211D853"/>
    <w:rsid w:val="12C4EB41"/>
    <w:rsid w:val="12DFC5D7"/>
    <w:rsid w:val="13248FA7"/>
    <w:rsid w:val="135A7F78"/>
    <w:rsid w:val="1400933F"/>
    <w:rsid w:val="147C0088"/>
    <w:rsid w:val="159CCB01"/>
    <w:rsid w:val="15A95E00"/>
    <w:rsid w:val="15E85011"/>
    <w:rsid w:val="16013C6D"/>
    <w:rsid w:val="165C3069"/>
    <w:rsid w:val="175FB0F9"/>
    <w:rsid w:val="17C0C26E"/>
    <w:rsid w:val="197C6BA7"/>
    <w:rsid w:val="1996CF83"/>
    <w:rsid w:val="1A81A8D1"/>
    <w:rsid w:val="1AA761C4"/>
    <w:rsid w:val="1ABAB1A2"/>
    <w:rsid w:val="1B50275D"/>
    <w:rsid w:val="1C1D7932"/>
    <w:rsid w:val="1CCA701C"/>
    <w:rsid w:val="1CF9F9EA"/>
    <w:rsid w:val="1CFFE0EE"/>
    <w:rsid w:val="1D407D53"/>
    <w:rsid w:val="1DD9C89B"/>
    <w:rsid w:val="1DE2AF62"/>
    <w:rsid w:val="1E5438CB"/>
    <w:rsid w:val="1F600972"/>
    <w:rsid w:val="1FBB6D4B"/>
    <w:rsid w:val="20B9F915"/>
    <w:rsid w:val="20F0EA55"/>
    <w:rsid w:val="213A56F8"/>
    <w:rsid w:val="221E89AA"/>
    <w:rsid w:val="226BBE2D"/>
    <w:rsid w:val="22BCC77F"/>
    <w:rsid w:val="23442D46"/>
    <w:rsid w:val="23F03E0B"/>
    <w:rsid w:val="24D9C776"/>
    <w:rsid w:val="2545E125"/>
    <w:rsid w:val="2556F25F"/>
    <w:rsid w:val="26204999"/>
    <w:rsid w:val="26EF3F13"/>
    <w:rsid w:val="27AD9E38"/>
    <w:rsid w:val="27C91714"/>
    <w:rsid w:val="27D3B579"/>
    <w:rsid w:val="27E42C15"/>
    <w:rsid w:val="27F0B10F"/>
    <w:rsid w:val="28C78BF1"/>
    <w:rsid w:val="2BF719BC"/>
    <w:rsid w:val="2D45DB26"/>
    <w:rsid w:val="2D71B3B3"/>
    <w:rsid w:val="2E03E0A7"/>
    <w:rsid w:val="2E077326"/>
    <w:rsid w:val="2EAFA1CE"/>
    <w:rsid w:val="30D780E7"/>
    <w:rsid w:val="3130A2F0"/>
    <w:rsid w:val="315579DC"/>
    <w:rsid w:val="31562745"/>
    <w:rsid w:val="324AD7A0"/>
    <w:rsid w:val="338C670B"/>
    <w:rsid w:val="33E6A801"/>
    <w:rsid w:val="348A3BD9"/>
    <w:rsid w:val="349E3873"/>
    <w:rsid w:val="3587FC46"/>
    <w:rsid w:val="35CC4493"/>
    <w:rsid w:val="360BBC32"/>
    <w:rsid w:val="36601129"/>
    <w:rsid w:val="37419904"/>
    <w:rsid w:val="389AA780"/>
    <w:rsid w:val="39D7AD85"/>
    <w:rsid w:val="39E48E21"/>
    <w:rsid w:val="3A965D60"/>
    <w:rsid w:val="3B4CC5B2"/>
    <w:rsid w:val="3B8E7648"/>
    <w:rsid w:val="3C257E2C"/>
    <w:rsid w:val="3C958C0E"/>
    <w:rsid w:val="3ED2154E"/>
    <w:rsid w:val="3EDCF482"/>
    <w:rsid w:val="3F1A4F19"/>
    <w:rsid w:val="4099F25A"/>
    <w:rsid w:val="40CD059D"/>
    <w:rsid w:val="41522EE7"/>
    <w:rsid w:val="416A859D"/>
    <w:rsid w:val="4174878E"/>
    <w:rsid w:val="41AAB9AB"/>
    <w:rsid w:val="4218E262"/>
    <w:rsid w:val="44CF1CBA"/>
    <w:rsid w:val="44D126E5"/>
    <w:rsid w:val="466916E6"/>
    <w:rsid w:val="46CCDCCC"/>
    <w:rsid w:val="46E59E91"/>
    <w:rsid w:val="4907B284"/>
    <w:rsid w:val="493B6DA4"/>
    <w:rsid w:val="4ACAED55"/>
    <w:rsid w:val="4B0C8984"/>
    <w:rsid w:val="4BA69C4B"/>
    <w:rsid w:val="4C0F3C97"/>
    <w:rsid w:val="4C0F7860"/>
    <w:rsid w:val="4C831D03"/>
    <w:rsid w:val="4CB44D56"/>
    <w:rsid w:val="4CD43BA0"/>
    <w:rsid w:val="4D3474E3"/>
    <w:rsid w:val="4E60391B"/>
    <w:rsid w:val="4EA32B2C"/>
    <w:rsid w:val="4F0103F6"/>
    <w:rsid w:val="50BF948A"/>
    <w:rsid w:val="51690C21"/>
    <w:rsid w:val="51A7ACC3"/>
    <w:rsid w:val="522E007F"/>
    <w:rsid w:val="53814100"/>
    <w:rsid w:val="545B5AC8"/>
    <w:rsid w:val="54C62528"/>
    <w:rsid w:val="55C0D560"/>
    <w:rsid w:val="55F72B29"/>
    <w:rsid w:val="56D7A832"/>
    <w:rsid w:val="57A8D331"/>
    <w:rsid w:val="58ADC0DE"/>
    <w:rsid w:val="58D4071F"/>
    <w:rsid w:val="58E99B57"/>
    <w:rsid w:val="59B2BEA8"/>
    <w:rsid w:val="59D5637E"/>
    <w:rsid w:val="5A3EE63A"/>
    <w:rsid w:val="5A9DD9D1"/>
    <w:rsid w:val="5B0AF743"/>
    <w:rsid w:val="5B534714"/>
    <w:rsid w:val="5B7C6CC5"/>
    <w:rsid w:val="5BF34D4B"/>
    <w:rsid w:val="5C649C4A"/>
    <w:rsid w:val="5DE16B44"/>
    <w:rsid w:val="5ED4E1B4"/>
    <w:rsid w:val="5FCEFB6D"/>
    <w:rsid w:val="60227AE2"/>
    <w:rsid w:val="602DAC01"/>
    <w:rsid w:val="612912D3"/>
    <w:rsid w:val="62CE5823"/>
    <w:rsid w:val="6356A2BD"/>
    <w:rsid w:val="638432D1"/>
    <w:rsid w:val="63990510"/>
    <w:rsid w:val="654F637A"/>
    <w:rsid w:val="657D014D"/>
    <w:rsid w:val="661C842B"/>
    <w:rsid w:val="662ED4C2"/>
    <w:rsid w:val="663CBDD2"/>
    <w:rsid w:val="666DFC45"/>
    <w:rsid w:val="66F7D9F0"/>
    <w:rsid w:val="67698AB2"/>
    <w:rsid w:val="686BFE1A"/>
    <w:rsid w:val="68DA0ED4"/>
    <w:rsid w:val="69478956"/>
    <w:rsid w:val="69B04B1C"/>
    <w:rsid w:val="69B53FEB"/>
    <w:rsid w:val="6C34DC35"/>
    <w:rsid w:val="6DC00403"/>
    <w:rsid w:val="6E4A0AFF"/>
    <w:rsid w:val="6ED32FD0"/>
    <w:rsid w:val="6ED7B880"/>
    <w:rsid w:val="6F0DC682"/>
    <w:rsid w:val="6F8AC846"/>
    <w:rsid w:val="70325CDB"/>
    <w:rsid w:val="70329196"/>
    <w:rsid w:val="71678C65"/>
    <w:rsid w:val="71E2F35D"/>
    <w:rsid w:val="727F37AF"/>
    <w:rsid w:val="72D20BEC"/>
    <w:rsid w:val="72F0A6E3"/>
    <w:rsid w:val="72F59FD3"/>
    <w:rsid w:val="7301900B"/>
    <w:rsid w:val="739581DD"/>
    <w:rsid w:val="746767D9"/>
    <w:rsid w:val="74F70526"/>
    <w:rsid w:val="75491495"/>
    <w:rsid w:val="756FDF10"/>
    <w:rsid w:val="7609C28B"/>
    <w:rsid w:val="7655FFE5"/>
    <w:rsid w:val="76C2CD1E"/>
    <w:rsid w:val="7768D7B3"/>
    <w:rsid w:val="77715472"/>
    <w:rsid w:val="77A0759D"/>
    <w:rsid w:val="78E2E69F"/>
    <w:rsid w:val="798DA0A7"/>
    <w:rsid w:val="7A2E5807"/>
    <w:rsid w:val="7A8703F5"/>
    <w:rsid w:val="7B7E4C08"/>
    <w:rsid w:val="7BBDDD29"/>
    <w:rsid w:val="7D300BC9"/>
    <w:rsid w:val="7D3FA796"/>
    <w:rsid w:val="7DE7FA1C"/>
    <w:rsid w:val="7E9128E7"/>
    <w:rsid w:val="7F4FC305"/>
    <w:rsid w:val="7F73E998"/>
    <w:rsid w:val="7F8A13C4"/>
    <w:rsid w:val="7FE8092C"/>
    <w:rsid w:val="7FF8777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B560C8"/>
  <w15:docId w15:val="{E5F60484-E495-5242-AC7A-34C9D9E1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ArialMT"/>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D8"/>
    <w:pPr>
      <w:spacing w:after="120"/>
      <w:jc w:val="both"/>
    </w:pPr>
    <w:rPr>
      <w:rFonts w:ascii="Arial" w:hAnsi="Arial" w:cs="Times New Roman"/>
    </w:rPr>
  </w:style>
  <w:style w:type="paragraph" w:styleId="Heading1">
    <w:name w:val="heading 1"/>
    <w:basedOn w:val="H1"/>
    <w:next w:val="Normal"/>
    <w:link w:val="Heading1Char"/>
    <w:uiPriority w:val="9"/>
    <w:rsid w:val="001460D8"/>
  </w:style>
  <w:style w:type="paragraph" w:styleId="Heading2">
    <w:name w:val="heading 2"/>
    <w:basedOn w:val="Normal"/>
    <w:next w:val="Normal"/>
    <w:link w:val="Heading2Char"/>
    <w:uiPriority w:val="9"/>
    <w:unhideWhenUsed/>
    <w:qFormat/>
    <w:rsid w:val="001460D8"/>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1460D8"/>
    <w:pPr>
      <w:keepNext/>
      <w:spacing w:before="240"/>
      <w:jc w:val="left"/>
      <w:outlineLvl w:val="2"/>
    </w:pPr>
    <w:rPr>
      <w:b/>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60D8"/>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1460D8"/>
    <w:rPr>
      <w:rFonts w:ascii="Arial" w:eastAsiaTheme="minorHAnsi" w:hAnsi="Arial" w:cstheme="minorBidi"/>
      <w:szCs w:val="22"/>
    </w:rPr>
  </w:style>
  <w:style w:type="table" w:styleId="TableGrid">
    <w:name w:val="Table Grid"/>
    <w:basedOn w:val="TableNormal"/>
    <w:uiPriority w:val="59"/>
    <w:rsid w:val="001460D8"/>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60D8"/>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unhideWhenUsed/>
    <w:rsid w:val="001460D8"/>
    <w:rPr>
      <w:sz w:val="18"/>
      <w:szCs w:val="18"/>
    </w:rPr>
  </w:style>
  <w:style w:type="paragraph" w:styleId="CommentText">
    <w:name w:val="annotation text"/>
    <w:basedOn w:val="Normal"/>
    <w:link w:val="CommentTextChar"/>
    <w:uiPriority w:val="99"/>
    <w:unhideWhenUsed/>
    <w:rsid w:val="00E75DB8"/>
    <w:rPr>
      <w:sz w:val="24"/>
      <w:szCs w:val="24"/>
    </w:rPr>
  </w:style>
  <w:style w:type="character" w:customStyle="1" w:styleId="CommentTextChar">
    <w:name w:val="Comment Text Char"/>
    <w:basedOn w:val="DefaultParagraphFont"/>
    <w:link w:val="CommentText"/>
    <w:uiPriority w:val="99"/>
    <w:rsid w:val="00E75DB8"/>
    <w:rPr>
      <w:sz w:val="24"/>
      <w:szCs w:val="24"/>
      <w:lang w:val="fr-FR"/>
    </w:rPr>
  </w:style>
  <w:style w:type="paragraph" w:styleId="CommentSubject">
    <w:name w:val="annotation subject"/>
    <w:basedOn w:val="Normal"/>
    <w:link w:val="CommentSubjectChar"/>
    <w:uiPriority w:val="99"/>
    <w:semiHidden/>
    <w:unhideWhenUsed/>
    <w:rsid w:val="001460D8"/>
    <w:rPr>
      <w:b/>
      <w:bCs/>
    </w:rPr>
  </w:style>
  <w:style w:type="character" w:customStyle="1" w:styleId="CommentSubjectChar">
    <w:name w:val="Comment Subject Char"/>
    <w:basedOn w:val="DefaultParagraphFont"/>
    <w:link w:val="CommentSubject"/>
    <w:uiPriority w:val="99"/>
    <w:semiHidden/>
    <w:rsid w:val="001460D8"/>
    <w:rPr>
      <w:rFonts w:ascii="Arial" w:hAnsi="Arial" w:cs="Times New Roman"/>
      <w:b/>
      <w:bCs/>
    </w:rPr>
  </w:style>
  <w:style w:type="paragraph" w:styleId="BalloonText">
    <w:name w:val="Balloon Text"/>
    <w:basedOn w:val="Normal"/>
    <w:link w:val="BalloonTextChar"/>
    <w:uiPriority w:val="99"/>
    <w:semiHidden/>
    <w:unhideWhenUsed/>
    <w:rsid w:val="001460D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60D8"/>
    <w:rPr>
      <w:rFonts w:ascii="Lucida Grande" w:hAnsi="Lucida Grande" w:cs="Lucida Grande"/>
      <w:sz w:val="18"/>
      <w:szCs w:val="18"/>
    </w:rPr>
  </w:style>
  <w:style w:type="paragraph" w:styleId="Footer">
    <w:name w:val="footer"/>
    <w:basedOn w:val="Normal"/>
    <w:link w:val="FooterChar"/>
    <w:uiPriority w:val="99"/>
    <w:unhideWhenUsed/>
    <w:rsid w:val="001460D8"/>
    <w:pPr>
      <w:spacing w:after="0"/>
      <w:jc w:val="left"/>
    </w:pPr>
    <w:rPr>
      <w:sz w:val="16"/>
      <w:szCs w:val="18"/>
    </w:rPr>
  </w:style>
  <w:style w:type="character" w:customStyle="1" w:styleId="FooterChar">
    <w:name w:val="Footer Char"/>
    <w:basedOn w:val="DefaultParagraphFont"/>
    <w:link w:val="Footer"/>
    <w:uiPriority w:val="99"/>
    <w:rsid w:val="001460D8"/>
    <w:rPr>
      <w:rFonts w:ascii="Arial" w:hAnsi="Arial" w:cs="Times New Roman"/>
      <w:sz w:val="16"/>
      <w:szCs w:val="18"/>
    </w:rPr>
  </w:style>
  <w:style w:type="character" w:styleId="PageNumber">
    <w:name w:val="page number"/>
    <w:basedOn w:val="DefaultParagraphFont"/>
    <w:uiPriority w:val="99"/>
    <w:unhideWhenUsed/>
    <w:rsid w:val="001460D8"/>
    <w:rPr>
      <w:b/>
    </w:rPr>
  </w:style>
  <w:style w:type="paragraph" w:styleId="Header">
    <w:name w:val="header"/>
    <w:basedOn w:val="Normal"/>
    <w:link w:val="HeaderChar"/>
    <w:uiPriority w:val="99"/>
    <w:unhideWhenUsed/>
    <w:rsid w:val="001460D8"/>
    <w:pPr>
      <w:spacing w:after="0" w:line="288" w:lineRule="auto"/>
      <w:jc w:val="left"/>
    </w:pPr>
    <w:rPr>
      <w:sz w:val="16"/>
    </w:rPr>
  </w:style>
  <w:style w:type="character" w:customStyle="1" w:styleId="HeaderChar">
    <w:name w:val="Header Char"/>
    <w:basedOn w:val="DefaultParagraphFont"/>
    <w:link w:val="Header"/>
    <w:uiPriority w:val="99"/>
    <w:rsid w:val="001460D8"/>
    <w:rPr>
      <w:rFonts w:ascii="Arial" w:hAnsi="Arial" w:cs="Times New Roman"/>
      <w:sz w:val="16"/>
    </w:rPr>
  </w:style>
  <w:style w:type="character" w:styleId="Hyperlink">
    <w:name w:val="Hyperlink"/>
    <w:basedOn w:val="DefaultParagraphFont"/>
    <w:uiPriority w:val="99"/>
    <w:unhideWhenUsed/>
    <w:rsid w:val="001460D8"/>
    <w:rPr>
      <w:color w:val="0000FF" w:themeColor="hyperlink"/>
      <w:u w:val="single"/>
    </w:rPr>
  </w:style>
  <w:style w:type="character" w:styleId="FollowedHyperlink">
    <w:name w:val="FollowedHyperlink"/>
    <w:basedOn w:val="DefaultParagraphFont"/>
    <w:uiPriority w:val="99"/>
    <w:semiHidden/>
    <w:unhideWhenUsed/>
    <w:rsid w:val="001460D8"/>
    <w:rPr>
      <w:color w:val="800080" w:themeColor="followedHyperlink"/>
      <w:u w:val="single"/>
    </w:rPr>
  </w:style>
  <w:style w:type="character" w:customStyle="1" w:styleId="Heading1Char">
    <w:name w:val="Heading 1 Char"/>
    <w:basedOn w:val="DefaultParagraphFont"/>
    <w:link w:val="Heading1"/>
    <w:uiPriority w:val="9"/>
    <w:rsid w:val="001460D8"/>
    <w:rPr>
      <w:rFonts w:ascii="Arial" w:hAnsi="Arial" w:cs="Times New Roman"/>
      <w:b/>
      <w:sz w:val="40"/>
      <w:szCs w:val="52"/>
    </w:rPr>
  </w:style>
  <w:style w:type="character" w:customStyle="1" w:styleId="Heading2Char">
    <w:name w:val="Heading 2 Char"/>
    <w:basedOn w:val="DefaultParagraphFont"/>
    <w:link w:val="Heading2"/>
    <w:uiPriority w:val="9"/>
    <w:rsid w:val="001460D8"/>
    <w:rPr>
      <w:rFonts w:ascii="Arial" w:hAnsi="Arial" w:cs="Times New Roman"/>
      <w:b/>
      <w:caps/>
      <w:sz w:val="24"/>
      <w:szCs w:val="26"/>
    </w:rPr>
  </w:style>
  <w:style w:type="character" w:customStyle="1" w:styleId="Heading3Char">
    <w:name w:val="Heading 3 Char"/>
    <w:basedOn w:val="DefaultParagraphFont"/>
    <w:link w:val="Heading3"/>
    <w:uiPriority w:val="9"/>
    <w:rsid w:val="001460D8"/>
    <w:rPr>
      <w:rFonts w:ascii="Arial" w:hAnsi="Arial" w:cs="Times New Roman"/>
      <w:b/>
      <w:sz w:val="22"/>
      <w:szCs w:val="24"/>
    </w:rPr>
  </w:style>
  <w:style w:type="paragraph" w:styleId="FootnoteText">
    <w:name w:val="footnote text"/>
    <w:basedOn w:val="Normal"/>
    <w:link w:val="FootnoteTextChar"/>
    <w:uiPriority w:val="99"/>
    <w:unhideWhenUsed/>
    <w:rsid w:val="001460D8"/>
    <w:pPr>
      <w:spacing w:after="0"/>
    </w:pPr>
    <w:rPr>
      <w:sz w:val="16"/>
      <w:szCs w:val="22"/>
    </w:rPr>
  </w:style>
  <w:style w:type="character" w:customStyle="1" w:styleId="FootnoteTextChar">
    <w:name w:val="Footnote Text Char"/>
    <w:basedOn w:val="DefaultParagraphFont"/>
    <w:link w:val="FootnoteText"/>
    <w:uiPriority w:val="99"/>
    <w:rsid w:val="001460D8"/>
    <w:rPr>
      <w:rFonts w:ascii="Arial" w:hAnsi="Arial" w:cs="Times New Roman"/>
      <w:sz w:val="16"/>
      <w:szCs w:val="22"/>
    </w:rPr>
  </w:style>
  <w:style w:type="character" w:styleId="FootnoteReference">
    <w:name w:val="footnote reference"/>
    <w:basedOn w:val="DefaultParagraphFont"/>
    <w:uiPriority w:val="99"/>
    <w:unhideWhenUsed/>
    <w:rsid w:val="001460D8"/>
    <w:rPr>
      <w:vertAlign w:val="superscript"/>
    </w:rPr>
  </w:style>
  <w:style w:type="paragraph" w:styleId="Revision">
    <w:name w:val="Revision"/>
    <w:hidden/>
    <w:uiPriority w:val="99"/>
    <w:semiHidden/>
    <w:rsid w:val="001460D8"/>
    <w:rPr>
      <w:rFonts w:ascii="Arial" w:hAnsi="Arial" w:cs="Arial"/>
      <w:sz w:val="21"/>
      <w:szCs w:val="21"/>
    </w:rPr>
  </w:style>
  <w:style w:type="paragraph" w:customStyle="1" w:styleId="BasicParagraph">
    <w:name w:val="[Basic Paragraph]"/>
    <w:basedOn w:val="Normal"/>
    <w:uiPriority w:val="99"/>
    <w:rsid w:val="001460D8"/>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1460D8"/>
    <w:pPr>
      <w:spacing w:before="360" w:after="240"/>
      <w:jc w:val="left"/>
      <w:outlineLvl w:val="0"/>
    </w:pPr>
    <w:rPr>
      <w:b/>
      <w:sz w:val="40"/>
      <w:szCs w:val="52"/>
    </w:rPr>
  </w:style>
  <w:style w:type="paragraph" w:customStyle="1" w:styleId="Bullet1">
    <w:name w:val="Bullet 1"/>
    <w:basedOn w:val="Normal"/>
    <w:rsid w:val="001460D8"/>
    <w:pPr>
      <w:numPr>
        <w:numId w:val="2"/>
      </w:numPr>
      <w:spacing w:before="60"/>
    </w:pPr>
    <w:rPr>
      <w:rFonts w:eastAsia="Times New Roman"/>
      <w:color w:val="000000"/>
    </w:rPr>
  </w:style>
  <w:style w:type="paragraph" w:customStyle="1" w:styleId="RefItem1">
    <w:name w:val="Ref Item 1"/>
    <w:basedOn w:val="Normal"/>
    <w:rsid w:val="001460D8"/>
    <w:pPr>
      <w:jc w:val="left"/>
    </w:pPr>
    <w:rPr>
      <w:color w:val="000000"/>
      <w:szCs w:val="24"/>
      <w:lang w:eastAsia="it-IT"/>
    </w:rPr>
  </w:style>
  <w:style w:type="paragraph" w:customStyle="1" w:styleId="RefTitre">
    <w:name w:val="Ref Titre"/>
    <w:basedOn w:val="Normal"/>
    <w:rsid w:val="001460D8"/>
    <w:pPr>
      <w:jc w:val="left"/>
    </w:pPr>
    <w:rPr>
      <w:rFonts w:eastAsia="Times New Roman"/>
      <w:b/>
      <w:bCs/>
      <w:sz w:val="26"/>
      <w:szCs w:val="26"/>
    </w:rPr>
  </w:style>
  <w:style w:type="paragraph" w:customStyle="1" w:styleId="Header1">
    <w:name w:val="Header 1"/>
    <w:basedOn w:val="Header"/>
    <w:rsid w:val="001460D8"/>
    <w:rPr>
      <w:b/>
      <w:sz w:val="24"/>
      <w:szCs w:val="24"/>
    </w:rPr>
  </w:style>
  <w:style w:type="character" w:customStyle="1" w:styleId="Pantone485">
    <w:name w:val="Pantone 485"/>
    <w:basedOn w:val="DefaultParagraphFont"/>
    <w:uiPriority w:val="1"/>
    <w:qFormat/>
    <w:rsid w:val="001460D8"/>
    <w:rPr>
      <w:rFonts w:cs="Caecilia-Light"/>
      <w:color w:val="DC281E"/>
      <w:szCs w:val="16"/>
    </w:rPr>
  </w:style>
  <w:style w:type="character" w:customStyle="1" w:styleId="H1Char">
    <w:name w:val="H1 Char"/>
    <w:basedOn w:val="DefaultParagraphFont"/>
    <w:link w:val="H1"/>
    <w:rsid w:val="001460D8"/>
    <w:rPr>
      <w:rFonts w:ascii="Arial" w:hAnsi="Arial" w:cs="Times New Roman"/>
      <w:b/>
      <w:sz w:val="40"/>
      <w:szCs w:val="52"/>
    </w:rPr>
  </w:style>
  <w:style w:type="table" w:customStyle="1" w:styleId="TableGray">
    <w:name w:val="Table Gray"/>
    <w:basedOn w:val="TableNormal"/>
    <w:uiPriority w:val="99"/>
    <w:rsid w:val="001460D8"/>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1460D8"/>
    <w:pPr>
      <w:numPr>
        <w:numId w:val="5"/>
      </w:numPr>
      <w:tabs>
        <w:tab w:val="left" w:pos="7230"/>
      </w:tabs>
      <w:spacing w:before="120" w:after="120"/>
      <w:contextualSpacing w:val="0"/>
    </w:pPr>
    <w:rPr>
      <w:rFonts w:cs="Arial"/>
    </w:rPr>
  </w:style>
  <w:style w:type="paragraph" w:customStyle="1" w:styleId="ListNumber1">
    <w:name w:val="List Number 1"/>
    <w:basedOn w:val="Normal"/>
    <w:rsid w:val="001460D8"/>
    <w:pPr>
      <w:numPr>
        <w:ilvl w:val="1"/>
        <w:numId w:val="3"/>
      </w:numPr>
      <w:contextualSpacing/>
    </w:pPr>
    <w:rPr>
      <w:rFonts w:eastAsiaTheme="minorHAnsi" w:cstheme="minorHAnsi"/>
      <w:szCs w:val="22"/>
    </w:rPr>
  </w:style>
  <w:style w:type="paragraph" w:customStyle="1" w:styleId="NormalNo">
    <w:name w:val="Normal + No"/>
    <w:basedOn w:val="Normal"/>
    <w:qFormat/>
    <w:rsid w:val="001460D8"/>
    <w:pPr>
      <w:numPr>
        <w:numId w:val="4"/>
      </w:numPr>
    </w:pPr>
    <w:rPr>
      <w:rFonts w:eastAsia="MS Mincho"/>
      <w:b/>
      <w:sz w:val="22"/>
    </w:rPr>
  </w:style>
  <w:style w:type="paragraph" w:customStyle="1" w:styleId="Bullet3">
    <w:name w:val="Bullet 3"/>
    <w:basedOn w:val="ListParagraph"/>
    <w:qFormat/>
    <w:rsid w:val="001460D8"/>
    <w:pPr>
      <w:numPr>
        <w:numId w:val="6"/>
      </w:numPr>
      <w:spacing w:before="120" w:after="120"/>
      <w:ind w:right="425"/>
    </w:pPr>
    <w:rPr>
      <w:rFonts w:cs="Arial"/>
      <w:i/>
      <w:iCs/>
    </w:rPr>
  </w:style>
  <w:style w:type="paragraph" w:customStyle="1" w:styleId="Indent">
    <w:name w:val="Indent"/>
    <w:basedOn w:val="Normal"/>
    <w:qFormat/>
    <w:rsid w:val="001460D8"/>
    <w:pPr>
      <w:ind w:left="567"/>
    </w:pPr>
    <w:rPr>
      <w:rFonts w:cs="Arial"/>
      <w:b/>
    </w:rPr>
  </w:style>
  <w:style w:type="paragraph" w:customStyle="1" w:styleId="TitreTableau">
    <w:name w:val="Titre Tableau"/>
    <w:basedOn w:val="Normal"/>
    <w:qFormat/>
    <w:rsid w:val="001460D8"/>
    <w:pPr>
      <w:spacing w:before="120"/>
      <w:jc w:val="center"/>
    </w:pPr>
    <w:rPr>
      <w:rFonts w:cs="Arial"/>
      <w:b/>
      <w:bCs/>
      <w:color w:val="FFFFFF" w:themeColor="background1"/>
    </w:rPr>
  </w:style>
  <w:style w:type="paragraph" w:customStyle="1" w:styleId="BulletTableau">
    <w:name w:val="Bullet Tableau"/>
    <w:basedOn w:val="Bullet2"/>
    <w:qFormat/>
    <w:rsid w:val="001460D8"/>
    <w:pPr>
      <w:keepNext/>
      <w:keepLines/>
      <w:framePr w:hSpace="141" w:wrap="around" w:vAnchor="text" w:hAnchor="margin" w:y="402"/>
      <w:numPr>
        <w:numId w:val="7"/>
      </w:numPr>
      <w:spacing w:beforeLines="60" w:before="60" w:afterLines="20" w:after="20"/>
    </w:pPr>
  </w:style>
  <w:style w:type="paragraph" w:styleId="NormalWeb">
    <w:name w:val="Normal (Web)"/>
    <w:basedOn w:val="Normal"/>
    <w:uiPriority w:val="99"/>
    <w:unhideWhenUsed/>
    <w:rsid w:val="004102D0"/>
    <w:pPr>
      <w:spacing w:before="100" w:beforeAutospacing="1" w:after="100" w:afterAutospacing="1" w:line="276" w:lineRule="auto"/>
      <w:jc w:val="left"/>
    </w:pPr>
    <w:rPr>
      <w:rFonts w:ascii="Times New Roman" w:eastAsia="Times New Roman" w:hAnsi="Times New Roman" w:cstheme="minorBidi"/>
      <w:sz w:val="24"/>
      <w:szCs w:val="24"/>
      <w:lang w:eastAsia="es-ES"/>
    </w:rPr>
  </w:style>
  <w:style w:type="paragraph" w:customStyle="1" w:styleId="Info">
    <w:name w:val="Info"/>
    <w:basedOn w:val="Normal"/>
    <w:rsid w:val="00531D0B"/>
    <w:pPr>
      <w:shd w:val="clear" w:color="auto" w:fill="D9D9D9" w:themeFill="background1" w:themeFillShade="D9"/>
    </w:pPr>
    <w:rPr>
      <w:i/>
      <w:sz w:val="18"/>
    </w:rPr>
  </w:style>
  <w:style w:type="paragraph" w:customStyle="1" w:styleId="NormalBold">
    <w:name w:val="Normal+Bold"/>
    <w:basedOn w:val="Normal"/>
    <w:autoRedefine/>
    <w:rsid w:val="001C2068"/>
    <w:pPr>
      <w:tabs>
        <w:tab w:val="left" w:pos="0"/>
      </w:tabs>
      <w:spacing w:before="240"/>
      <w:ind w:right="386"/>
    </w:pPr>
    <w:rPr>
      <w:b/>
      <w:sz w:val="21"/>
    </w:rPr>
  </w:style>
  <w:style w:type="character" w:styleId="UnresolvedMention">
    <w:name w:val="Unresolved Mention"/>
    <w:basedOn w:val="DefaultParagraphFont"/>
    <w:uiPriority w:val="99"/>
    <w:semiHidden/>
    <w:unhideWhenUsed/>
    <w:rsid w:val="00EB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11121">
      <w:bodyDiv w:val="1"/>
      <w:marLeft w:val="0"/>
      <w:marRight w:val="0"/>
      <w:marTop w:val="0"/>
      <w:marBottom w:val="0"/>
      <w:divBdr>
        <w:top w:val="none" w:sz="0" w:space="0" w:color="auto"/>
        <w:left w:val="none" w:sz="0" w:space="0" w:color="auto"/>
        <w:bottom w:val="none" w:sz="0" w:space="0" w:color="auto"/>
        <w:right w:val="none" w:sz="0" w:space="0" w:color="auto"/>
      </w:divBdr>
    </w:div>
    <w:div w:id="271785179">
      <w:bodyDiv w:val="1"/>
      <w:marLeft w:val="0"/>
      <w:marRight w:val="0"/>
      <w:marTop w:val="0"/>
      <w:marBottom w:val="0"/>
      <w:divBdr>
        <w:top w:val="none" w:sz="0" w:space="0" w:color="auto"/>
        <w:left w:val="none" w:sz="0" w:space="0" w:color="auto"/>
        <w:bottom w:val="none" w:sz="0" w:space="0" w:color="auto"/>
        <w:right w:val="none" w:sz="0" w:space="0" w:color="auto"/>
      </w:divBdr>
    </w:div>
    <w:div w:id="658047550">
      <w:bodyDiv w:val="1"/>
      <w:marLeft w:val="0"/>
      <w:marRight w:val="0"/>
      <w:marTop w:val="0"/>
      <w:marBottom w:val="0"/>
      <w:divBdr>
        <w:top w:val="none" w:sz="0" w:space="0" w:color="auto"/>
        <w:left w:val="none" w:sz="0" w:space="0" w:color="auto"/>
        <w:bottom w:val="none" w:sz="0" w:space="0" w:color="auto"/>
        <w:right w:val="none" w:sz="0" w:space="0" w:color="auto"/>
      </w:divBdr>
    </w:div>
    <w:div w:id="664744454">
      <w:bodyDiv w:val="1"/>
      <w:marLeft w:val="0"/>
      <w:marRight w:val="0"/>
      <w:marTop w:val="0"/>
      <w:marBottom w:val="0"/>
      <w:divBdr>
        <w:top w:val="none" w:sz="0" w:space="0" w:color="auto"/>
        <w:left w:val="none" w:sz="0" w:space="0" w:color="auto"/>
        <w:bottom w:val="none" w:sz="0" w:space="0" w:color="auto"/>
        <w:right w:val="none" w:sz="0" w:space="0" w:color="auto"/>
      </w:divBdr>
    </w:div>
    <w:div w:id="813834297">
      <w:bodyDiv w:val="1"/>
      <w:marLeft w:val="0"/>
      <w:marRight w:val="0"/>
      <w:marTop w:val="0"/>
      <w:marBottom w:val="0"/>
      <w:divBdr>
        <w:top w:val="none" w:sz="0" w:space="0" w:color="auto"/>
        <w:left w:val="none" w:sz="0" w:space="0" w:color="auto"/>
        <w:bottom w:val="none" w:sz="0" w:space="0" w:color="auto"/>
        <w:right w:val="none" w:sz="0" w:space="0" w:color="auto"/>
      </w:divBdr>
    </w:div>
    <w:div w:id="956763289">
      <w:bodyDiv w:val="1"/>
      <w:marLeft w:val="0"/>
      <w:marRight w:val="0"/>
      <w:marTop w:val="0"/>
      <w:marBottom w:val="0"/>
      <w:divBdr>
        <w:top w:val="none" w:sz="0" w:space="0" w:color="auto"/>
        <w:left w:val="none" w:sz="0" w:space="0" w:color="auto"/>
        <w:bottom w:val="none" w:sz="0" w:space="0" w:color="auto"/>
        <w:right w:val="none" w:sz="0" w:space="0" w:color="auto"/>
      </w:divBdr>
      <w:divsChild>
        <w:div w:id="671177040">
          <w:marLeft w:val="547"/>
          <w:marRight w:val="0"/>
          <w:marTop w:val="0"/>
          <w:marBottom w:val="0"/>
          <w:divBdr>
            <w:top w:val="none" w:sz="0" w:space="0" w:color="auto"/>
            <w:left w:val="none" w:sz="0" w:space="0" w:color="auto"/>
            <w:bottom w:val="none" w:sz="0" w:space="0" w:color="auto"/>
            <w:right w:val="none" w:sz="0" w:space="0" w:color="auto"/>
          </w:divBdr>
        </w:div>
        <w:div w:id="791946294">
          <w:marLeft w:val="547"/>
          <w:marRight w:val="0"/>
          <w:marTop w:val="0"/>
          <w:marBottom w:val="0"/>
          <w:divBdr>
            <w:top w:val="none" w:sz="0" w:space="0" w:color="auto"/>
            <w:left w:val="none" w:sz="0" w:space="0" w:color="auto"/>
            <w:bottom w:val="none" w:sz="0" w:space="0" w:color="auto"/>
            <w:right w:val="none" w:sz="0" w:space="0" w:color="auto"/>
          </w:divBdr>
        </w:div>
        <w:div w:id="1434664639">
          <w:marLeft w:val="547"/>
          <w:marRight w:val="0"/>
          <w:marTop w:val="0"/>
          <w:marBottom w:val="0"/>
          <w:divBdr>
            <w:top w:val="none" w:sz="0" w:space="0" w:color="auto"/>
            <w:left w:val="none" w:sz="0" w:space="0" w:color="auto"/>
            <w:bottom w:val="none" w:sz="0" w:space="0" w:color="auto"/>
            <w:right w:val="none" w:sz="0" w:space="0" w:color="auto"/>
          </w:divBdr>
        </w:div>
        <w:div w:id="1445344227">
          <w:marLeft w:val="547"/>
          <w:marRight w:val="0"/>
          <w:marTop w:val="0"/>
          <w:marBottom w:val="0"/>
          <w:divBdr>
            <w:top w:val="none" w:sz="0" w:space="0" w:color="auto"/>
            <w:left w:val="none" w:sz="0" w:space="0" w:color="auto"/>
            <w:bottom w:val="none" w:sz="0" w:space="0" w:color="auto"/>
            <w:right w:val="none" w:sz="0" w:space="0" w:color="auto"/>
          </w:divBdr>
        </w:div>
        <w:div w:id="1703282671">
          <w:marLeft w:val="547"/>
          <w:marRight w:val="0"/>
          <w:marTop w:val="0"/>
          <w:marBottom w:val="0"/>
          <w:divBdr>
            <w:top w:val="none" w:sz="0" w:space="0" w:color="auto"/>
            <w:left w:val="none" w:sz="0" w:space="0" w:color="auto"/>
            <w:bottom w:val="none" w:sz="0" w:space="0" w:color="auto"/>
            <w:right w:val="none" w:sz="0" w:space="0" w:color="auto"/>
          </w:divBdr>
        </w:div>
        <w:div w:id="2113360194">
          <w:marLeft w:val="547"/>
          <w:marRight w:val="0"/>
          <w:marTop w:val="0"/>
          <w:marBottom w:val="0"/>
          <w:divBdr>
            <w:top w:val="none" w:sz="0" w:space="0" w:color="auto"/>
            <w:left w:val="none" w:sz="0" w:space="0" w:color="auto"/>
            <w:bottom w:val="none" w:sz="0" w:space="0" w:color="auto"/>
            <w:right w:val="none" w:sz="0" w:space="0" w:color="auto"/>
          </w:divBdr>
        </w:div>
      </w:divsChild>
    </w:div>
    <w:div w:id="1904639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h-hub.org/wp-content/uploads/sites/3/2020/10/1_2_2-Listes-de-controle-pour-les-entretiens-avec-les-parties-prenantes-cles-2.docx" TargetMode="External"/><Relationship Id="rId18" Type="http://schemas.openxmlformats.org/officeDocument/2006/relationships/hyperlink" Target="https://cash-hub.org/wp-content/uploads/sites/3/2020/10/1_2_2-Listes-de-controle-pour-les-entretiens-avec-les-parties-prenantes-cles-2.docx" TargetMode="External"/><Relationship Id="rId26" Type="http://schemas.openxmlformats.org/officeDocument/2006/relationships/hyperlink" Target="https://cash-hub.org/wp-content/uploads/sites/3/2020/11/241-Modele-de-rapport-devaluation-des-communautes.docx" TargetMode="External"/><Relationship Id="rId39" Type="http://schemas.openxmlformats.org/officeDocument/2006/relationships/hyperlink" Target="https://cash-hub.org/wp-content/uploads/sites/3/2020/11/1_3_1-Comparaison-des-modalites-et-des-mecanismes-de-transferts.docx" TargetMode="External"/><Relationship Id="rId21" Type="http://schemas.openxmlformats.org/officeDocument/2006/relationships/hyperlink" Target="https://cash-hub.org/wp-content/uploads/sites/3/2020/12/1.7_GuidanceAdvocating_GovernmentCashSP_COVID19_v3_FR.pdf" TargetMode="External"/><Relationship Id="rId34" Type="http://schemas.openxmlformats.org/officeDocument/2006/relationships/hyperlink" Target="https://cash-hub.org/wp-content/uploads/sites/3/2020/11/1_4_3-Modele-de-registre-des-risques-lies-aux-PTM.xlsx" TargetMode="External"/><Relationship Id="rId42" Type="http://schemas.openxmlformats.org/officeDocument/2006/relationships/hyperlink" Target="https://cash-hub.org/wp-content/uploads/sites/3/2020/11/1_6_1-Modele-de-matrice-pour-la-prise-de-decisions.xlsx"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sh-hub.org/wp-content/uploads/sites/3/2024/11/Le-marche-permet-il-les-transferts-monetaires-TM.docx" TargetMode="External"/><Relationship Id="rId29" Type="http://schemas.openxmlformats.org/officeDocument/2006/relationships/hyperlink" Target="https://cash-hub.org/wp-content/uploads/sites/3/2020/11/1_2_6-Liste-de-controle-de-reference-pour-les-PSF.docx" TargetMode="External"/><Relationship Id="rId11" Type="http://schemas.openxmlformats.org/officeDocument/2006/relationships/hyperlink" Target="https://cash-hub.org/wp-content/uploads/sites/3/2020/10/1_2_2-Listes-de-controle-pour-les-entretiens-avec-les-parties-prenantes-cles-2.docx" TargetMode="External"/><Relationship Id="rId24" Type="http://schemas.openxmlformats.org/officeDocument/2006/relationships/hyperlink" Target="https://cash-hub.org/wp-content/uploads/sites/3/2020/11/1_2_4-Modele-de-calcul-des-besoins-prioritaires.xlsx" TargetMode="External"/><Relationship Id="rId32" Type="http://schemas.openxmlformats.org/officeDocument/2006/relationships/hyperlink" Target="https://cash-hub.org/wp-content/uploads/sites/3/2020/11/4-Feuille-de-route.docx" TargetMode="External"/><Relationship Id="rId37" Type="http://schemas.openxmlformats.org/officeDocument/2006/relationships/hyperlink" Target="https://cash-hub.org/wp-content/uploads/sites/3/2024/11/Lier-la-protection-sociale-aux-TM-est-il-faisable.docx" TargetMode="External"/><Relationship Id="rId40" Type="http://schemas.openxmlformats.org/officeDocument/2006/relationships/hyperlink" Target="https://cash-hub.org/wp-content/uploads/sites/3/2020/11/1_3_2-Avantages-et-inconvenients-des-modalites-de-transferts-monetaires.docx" TargetMode="External"/><Relationship Id="rId45" Type="http://schemas.openxmlformats.org/officeDocument/2006/relationships/hyperlink" Target="https://cash-hub.org/wp-content/uploads/sites/3/2020/11/3_2_1-Criteres-de-ciblage.docx" TargetMode="External"/><Relationship Id="rId5" Type="http://schemas.openxmlformats.org/officeDocument/2006/relationships/numbering" Target="numbering.xml"/><Relationship Id="rId15" Type="http://schemas.openxmlformats.org/officeDocument/2006/relationships/hyperlink" Target="https://cash-hub.org/wp-content/uploads/sites/3/2024/11/Baseline-des-Marches.docx" TargetMode="External"/><Relationship Id="rId23" Type="http://schemas.openxmlformats.org/officeDocument/2006/relationships/hyperlink" Target="https://cash-hub.org/wp-content/uploads/sites/3/2024/11/RCRCM-RAM_FR-Outil-ERM-3.pdf" TargetMode="External"/><Relationship Id="rId28" Type="http://schemas.openxmlformats.org/officeDocument/2006/relationships/hyperlink" Target="https://cash-hub.org/wp-content/uploads/sites/3/2024/11/Sources-de-donnees-secondaires-pour-la-baseline-externe-des-PTM-&#8211;-analyse-davant-crise.docx" TargetMode="External"/><Relationship Id="rId36" Type="http://schemas.openxmlformats.org/officeDocument/2006/relationships/hyperlink" Target="https://cash-hub.org/wp-content/uploads/sites/3/2020/11/1_2_1-Liste-de-controle-relative-a-la-faisabilite-des-transferts-monetaires.docx"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cash-hub.org/wp-content/uploads/sites/3/2024/11/Sources-de-donnees-secondaires-pour-la-baseline-externe-des-PTM-&#8211;-analyse-davant-crise.docx" TargetMode="External"/><Relationship Id="rId31" Type="http://schemas.openxmlformats.org/officeDocument/2006/relationships/hyperlink" Target="https://cash-hub.org/wp-content/uploads/sites/3/2020/11/3_1_5-Liste-de-controle-pour-levaluation-des-prestataires-de-services.docx" TargetMode="External"/><Relationship Id="rId44" Type="http://schemas.openxmlformats.org/officeDocument/2006/relationships/hyperlink" Target="https://cash-hub.org/wp-content/uploads/sites/3/2020/11/2_1_2-Aspects-a-prendre-en-compte-pour-fixer-le-montant-des-transferts.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sh-hub.org/wp-content/uploads/sites/3/2024/11/Sources-de-donnees-secondaires-pour-la-baseline-externe-des-PTM-&#8211;-analyse-davant-crise.docx" TargetMode="External"/><Relationship Id="rId22" Type="http://schemas.openxmlformats.org/officeDocument/2006/relationships/hyperlink" Target="https://cash-hub.org/wp-content/uploads/sites/3/2020/10/1_2_2-Listes-de-controle-pour-les-entretiens-avec-les-parties-prenantes-cles-2.docx" TargetMode="External"/><Relationship Id="rId27" Type="http://schemas.openxmlformats.org/officeDocument/2006/relationships/hyperlink" Target="https://cash-hub.org/wp-content/uploads/sites/3/2020/10/1_2_2-Listes-de-controle-pour-les-entretiens-avec-les-parties-prenantes-cles-2.docx" TargetMode="External"/><Relationship Id="rId30" Type="http://schemas.openxmlformats.org/officeDocument/2006/relationships/hyperlink" Target="https://cash-hub.org/wp-content/uploads/sites/3/2020/11/1_2_7-Modele-pour-la-cartographie-des-prestataires-de-services-1.docx" TargetMode="External"/><Relationship Id="rId35" Type="http://schemas.openxmlformats.org/officeDocument/2006/relationships/hyperlink" Target="https://cash-hub.org/wp-content/uploads/sites/3/2020/11/129Liste-de-controle-de-la-Federation-relative-a-la-gestion-des-risques-associes-aux-procedures-oper.docx" TargetMode="External"/><Relationship Id="rId43" Type="http://schemas.openxmlformats.org/officeDocument/2006/relationships/hyperlink" Target="https://cash-hub.org/wp-content/uploads/sites/3/2020/11/1_2_4-Modele-de-calcul-des-besoins-prioritaires.xlsx"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ash-hub.org/wp-content/uploads/sites/3/2024/11/Sources-de-donnees-secondaires-pour-la-baseline-externe-des-PTM-&#8211;-analyse-davant-crise.docx" TargetMode="External"/><Relationship Id="rId17" Type="http://schemas.openxmlformats.org/officeDocument/2006/relationships/hyperlink" Target="https://cash-hub.org/wp-content/uploads/sites/3/2024/11/RCRCM-RAM_FR-Outil-11.pdf" TargetMode="External"/><Relationship Id="rId25" Type="http://schemas.openxmlformats.org/officeDocument/2006/relationships/hyperlink" Target="https://cash-hub.org/wp-content/uploads/sites/3/2020/11/2_1_2-Aspects-a-prendre-en-compte-pour-fixer-le-montant-des-transferts.docx" TargetMode="External"/><Relationship Id="rId33" Type="http://schemas.openxmlformats.org/officeDocument/2006/relationships/hyperlink" Target="https://cash-hub.org/wp-content/uploads/sites/3/2020/11/1_4_2-Modele-de-matrice-des-risques-lies-aux-PTM.docx" TargetMode="External"/><Relationship Id="rId38" Type="http://schemas.openxmlformats.org/officeDocument/2006/relationships/hyperlink" Target="https://cash-hub.org/wp-content/uploads/sites/3/2020/11/111-Solutions-dintervention-fondees-sur-les-transferts-monetaires.xlsx" TargetMode="External"/><Relationship Id="rId46" Type="http://schemas.openxmlformats.org/officeDocument/2006/relationships/header" Target="header1.xml"/><Relationship Id="rId20" Type="http://schemas.openxmlformats.org/officeDocument/2006/relationships/hyperlink" Target="https://cash-hub.org/wp-content/uploads/sites/3/2024/11/Questions-cles-pour-levaluation-de-la-protection-sociale.docx" TargetMode="External"/><Relationship Id="rId41" Type="http://schemas.openxmlformats.org/officeDocument/2006/relationships/hyperlink" Target="https://cash-hub.org/wp-content/uploads/sites/3/2024/11/Comparer-les-options-de-reponse-en-TM-et-en-protection-sociale.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6181-6204-4497-AADF-EAF8444A7663}">
  <ds:schemaRefs>
    <ds:schemaRef ds:uri="http://schemas.microsoft.com/sharepoint/v3/contenttype/forms"/>
  </ds:schemaRefs>
</ds:datastoreItem>
</file>

<file path=customXml/itemProps2.xml><?xml version="1.0" encoding="utf-8"?>
<ds:datastoreItem xmlns:ds="http://schemas.openxmlformats.org/officeDocument/2006/customXml" ds:itemID="{E6C86B11-9E76-4002-9D2F-C90FD310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81696-A1A0-4C8D-9D99-54E9C3556DBA}">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customXml/itemProps4.xml><?xml version="1.0" encoding="utf-8"?>
<ds:datastoreItem xmlns:ds="http://schemas.openxmlformats.org/officeDocument/2006/customXml" ds:itemID="{086B307F-356C-E049-A89E-E82C257E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419</TotalTime>
  <Pages>7</Pages>
  <Words>3645</Words>
  <Characters>25074</Characters>
  <Application>Microsoft Office Word</Application>
  <DocSecurity>0</DocSecurity>
  <Lines>208</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177</cp:revision>
  <cp:lastPrinted>2022-11-11T12:23:00Z</cp:lastPrinted>
  <dcterms:created xsi:type="dcterms:W3CDTF">2023-04-05T14:26:00Z</dcterms:created>
  <dcterms:modified xsi:type="dcterms:W3CDTF">2024-11-05T15:38:00Z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y fmtid="{D5CDD505-2E9C-101B-9397-08002B2CF9AE}" pid="4" name="GrammarlyDocumentId">
    <vt:lpwstr>a4b8d7f5088056f54ae67796e6f2cbf71c8c8e383f3fe3c319cc42ac674db269</vt:lpwstr>
  </property>
</Properties>
</file>