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5158" w:rsidRPr="00CD73A6" w:rsidRDefault="00CD73A6" w:rsidP="00C358F0">
      <w:pPr>
        <w:pStyle w:val="H1"/>
        <w:rPr>
          <w:lang w:val="fr-FR"/>
        </w:rPr>
      </w:pPr>
      <w:r w:rsidRPr="00CD73A6">
        <w:rPr>
          <w:lang w:val="fr-FR"/>
        </w:rPr>
        <w:t>Feuil</w:t>
      </w:r>
      <w:r w:rsidR="00F37EC0">
        <w:rPr>
          <w:lang w:val="fr-FR"/>
        </w:rPr>
        <w:t>le de route pour la préparation</w:t>
      </w:r>
    </w:p>
    <w:p w:rsidR="00EB07A6" w:rsidRPr="00CD73A6" w:rsidRDefault="00EB07A6" w:rsidP="003A4E19">
      <w:pPr>
        <w:pStyle w:val="H1"/>
        <w:ind w:left="-170"/>
        <w:rPr>
          <w:sz w:val="18"/>
          <w:szCs w:val="18"/>
          <w:lang w:val="fr-FR"/>
        </w:rPr>
      </w:pPr>
    </w:p>
    <w:p w:rsidR="00DC11CA" w:rsidRPr="00CD73A6" w:rsidRDefault="00DC11CA" w:rsidP="006B695E">
      <w:pPr>
        <w:pStyle w:val="Heading2"/>
        <w:rPr>
          <w:lang w:val="fr-FR"/>
        </w:rPr>
      </w:pPr>
      <w:r w:rsidRPr="00CD73A6">
        <w:rPr>
          <w:lang w:val="fr-FR"/>
        </w:rPr>
        <w:t>INTRODUCTION</w:t>
      </w:r>
    </w:p>
    <w:p w:rsidR="00F37EC0" w:rsidRDefault="00F37EC0" w:rsidP="004A02B0">
      <w:pPr>
        <w:rPr>
          <w:lang w:val="fr-FR"/>
        </w:rPr>
      </w:pPr>
      <w:r>
        <w:rPr>
          <w:lang w:val="fr-FR"/>
        </w:rPr>
        <w:t xml:space="preserve">Les activités de préparation visent à renforcer la capacité opérationnelle </w:t>
      </w:r>
      <w:r w:rsidR="004A02B0">
        <w:rPr>
          <w:lang w:val="fr-FR"/>
        </w:rPr>
        <w:t>de</w:t>
      </w:r>
      <w:r>
        <w:rPr>
          <w:lang w:val="fr-FR"/>
        </w:rPr>
        <w:t xml:space="preserve"> mettre en œuvre des opérations opportunes et appropriées </w:t>
      </w:r>
      <w:r w:rsidR="004A02B0">
        <w:rPr>
          <w:lang w:val="fr-FR"/>
        </w:rPr>
        <w:t>dans les situations d’urgence</w:t>
      </w:r>
      <w:r>
        <w:rPr>
          <w:lang w:val="fr-FR"/>
        </w:rPr>
        <w:t xml:space="preserve">. Une préparation adéquate permet de mettre rapidement en place des </w:t>
      </w:r>
      <w:r w:rsidR="004A02B0">
        <w:rPr>
          <w:lang w:val="fr-FR"/>
        </w:rPr>
        <w:t>programmes</w:t>
      </w:r>
      <w:r>
        <w:rPr>
          <w:lang w:val="fr-FR"/>
        </w:rPr>
        <w:t xml:space="preserve"> de transferts monétaires</w:t>
      </w:r>
      <w:r w:rsidR="004A02B0">
        <w:rPr>
          <w:lang w:val="fr-FR"/>
        </w:rPr>
        <w:t xml:space="preserve"> (PTM)</w:t>
      </w:r>
      <w:r>
        <w:rPr>
          <w:lang w:val="fr-FR"/>
        </w:rPr>
        <w:t xml:space="preserve"> à grande échelle. Si vous disposez déjà de plans d’</w:t>
      </w:r>
      <w:r w:rsidR="00146D0C">
        <w:rPr>
          <w:lang w:val="fr-FR"/>
        </w:rPr>
        <w:t>urgence et de préparation généraux</w:t>
      </w:r>
      <w:r>
        <w:rPr>
          <w:lang w:val="fr-FR"/>
        </w:rPr>
        <w:t xml:space="preserve">, vous devez vous assurer que ces plans </w:t>
      </w:r>
      <w:r w:rsidR="003F60E0">
        <w:rPr>
          <w:lang w:val="fr-FR"/>
        </w:rPr>
        <w:t>incluent</w:t>
      </w:r>
      <w:r>
        <w:rPr>
          <w:lang w:val="fr-FR"/>
        </w:rPr>
        <w:t xml:space="preserve"> les </w:t>
      </w:r>
      <w:r w:rsidR="004A02B0">
        <w:rPr>
          <w:lang w:val="fr-FR"/>
        </w:rPr>
        <w:t>PTM</w:t>
      </w:r>
      <w:r>
        <w:rPr>
          <w:lang w:val="fr-FR"/>
        </w:rPr>
        <w:t xml:space="preserve">. </w:t>
      </w:r>
    </w:p>
    <w:p w:rsidR="00F37EC0" w:rsidRPr="005355E1" w:rsidRDefault="00F37EC0" w:rsidP="004A02B0">
      <w:pPr>
        <w:rPr>
          <w:lang w:val="fr-FR"/>
        </w:rPr>
      </w:pPr>
      <w:r>
        <w:rPr>
          <w:lang w:val="fr-FR"/>
        </w:rPr>
        <w:t>Le document du Mouvement international de la Croix-</w:t>
      </w:r>
      <w:r w:rsidR="004A02B0">
        <w:rPr>
          <w:lang w:val="fr-FR"/>
        </w:rPr>
        <w:t>Rouge et du Croissant-Rouge (</w:t>
      </w:r>
      <w:r>
        <w:rPr>
          <w:lang w:val="fr-FR"/>
        </w:rPr>
        <w:t xml:space="preserve">Mouvement) intitulé </w:t>
      </w:r>
      <w:r>
        <w:rPr>
          <w:i/>
          <w:lang w:val="fr-FR"/>
        </w:rPr>
        <w:t xml:space="preserve">Programmes de transferts monétaires : lignes directrices en matière d’intégration et de préparation </w:t>
      </w:r>
      <w:r>
        <w:rPr>
          <w:lang w:val="fr-FR"/>
        </w:rPr>
        <w:t xml:space="preserve">propose un processus organisé en trois étapes </w:t>
      </w:r>
      <w:r w:rsidR="004A02B0">
        <w:rPr>
          <w:lang w:val="fr-FR"/>
        </w:rPr>
        <w:t xml:space="preserve">pour </w:t>
      </w:r>
      <w:r>
        <w:rPr>
          <w:lang w:val="fr-FR"/>
        </w:rPr>
        <w:t xml:space="preserve">élaborer un plan d’action et une stratégie pour la préparation aux </w:t>
      </w:r>
      <w:r w:rsidR="004A02B0">
        <w:rPr>
          <w:lang w:val="fr-FR"/>
        </w:rPr>
        <w:t>PTM</w:t>
      </w:r>
      <w:r>
        <w:rPr>
          <w:lang w:val="fr-FR"/>
        </w:rPr>
        <w:t xml:space="preserve">. La Boîte à outils pour </w:t>
      </w:r>
      <w:r w:rsidR="004A02B0">
        <w:rPr>
          <w:lang w:val="fr-FR"/>
        </w:rPr>
        <w:t>les transferts monétaires</w:t>
      </w:r>
      <w:r>
        <w:rPr>
          <w:lang w:val="fr-FR"/>
        </w:rPr>
        <w:t xml:space="preserve"> dans les situations d’urgence offre une série d’outils à l’appui de ces trois étapes : </w:t>
      </w:r>
    </w:p>
    <w:p w:rsidR="00F37EC0" w:rsidRPr="00143042" w:rsidRDefault="00F37EC0" w:rsidP="00F37EC0">
      <w:pPr>
        <w:ind w:left="720"/>
        <w:rPr>
          <w:lang w:val="fr-FR"/>
        </w:rPr>
      </w:pPr>
      <w:r>
        <w:rPr>
          <w:b/>
          <w:lang w:val="fr-FR"/>
        </w:rPr>
        <w:t>Étape</w:t>
      </w:r>
      <w:r w:rsidRPr="00143042">
        <w:rPr>
          <w:b/>
          <w:lang w:val="fr-FR"/>
        </w:rPr>
        <w:t xml:space="preserve"> 1</w:t>
      </w:r>
      <w:r>
        <w:rPr>
          <w:b/>
          <w:lang w:val="fr-FR"/>
        </w:rPr>
        <w:t>.</w:t>
      </w:r>
      <w:r w:rsidRPr="00143042">
        <w:rPr>
          <w:b/>
          <w:lang w:val="fr-FR"/>
        </w:rPr>
        <w:t xml:space="preserve"> </w:t>
      </w:r>
      <w:r>
        <w:rPr>
          <w:lang w:val="fr-FR"/>
        </w:rPr>
        <w:t>Préparation et analyse</w:t>
      </w:r>
    </w:p>
    <w:p w:rsidR="00F37EC0" w:rsidRPr="00143042" w:rsidRDefault="00F37EC0" w:rsidP="00F37EC0">
      <w:pPr>
        <w:ind w:left="720"/>
        <w:rPr>
          <w:lang w:val="fr-FR"/>
        </w:rPr>
      </w:pPr>
      <w:r>
        <w:rPr>
          <w:b/>
          <w:lang w:val="fr-FR"/>
        </w:rPr>
        <w:t>Étape</w:t>
      </w:r>
      <w:r w:rsidRPr="00143042">
        <w:rPr>
          <w:b/>
          <w:lang w:val="fr-FR"/>
        </w:rPr>
        <w:t xml:space="preserve"> 2.</w:t>
      </w:r>
      <w:r w:rsidRPr="00143042">
        <w:rPr>
          <w:lang w:val="fr-FR"/>
        </w:rPr>
        <w:t xml:space="preserve"> </w:t>
      </w:r>
      <w:r>
        <w:rPr>
          <w:lang w:val="fr-FR"/>
        </w:rPr>
        <w:t xml:space="preserve">Élaboration et mise en œuvre </w:t>
      </w:r>
    </w:p>
    <w:p w:rsidR="00F37EC0" w:rsidRPr="00143042" w:rsidRDefault="00F37EC0" w:rsidP="00F37EC0">
      <w:pPr>
        <w:ind w:left="720"/>
        <w:rPr>
          <w:lang w:val="fr-FR"/>
        </w:rPr>
      </w:pPr>
      <w:r>
        <w:rPr>
          <w:b/>
          <w:lang w:val="fr-FR"/>
        </w:rPr>
        <w:t>Étape</w:t>
      </w:r>
      <w:r w:rsidRPr="00143042">
        <w:rPr>
          <w:b/>
          <w:lang w:val="fr-FR"/>
        </w:rPr>
        <w:t xml:space="preserve"> 3.</w:t>
      </w:r>
      <w:r w:rsidRPr="00143042">
        <w:rPr>
          <w:lang w:val="fr-FR"/>
        </w:rPr>
        <w:t xml:space="preserve"> </w:t>
      </w:r>
      <w:r>
        <w:rPr>
          <w:lang w:val="fr-FR"/>
        </w:rPr>
        <w:t>Examen, enseignements et amélioration</w:t>
      </w:r>
    </w:p>
    <w:p w:rsidR="00F37EC0" w:rsidRDefault="00F37EC0" w:rsidP="0077196C">
      <w:pPr>
        <w:rPr>
          <w:bCs/>
          <w:lang w:val="fr-FR"/>
        </w:rPr>
      </w:pPr>
      <w:r>
        <w:rPr>
          <w:bCs/>
          <w:lang w:val="fr-FR"/>
        </w:rPr>
        <w:t xml:space="preserve">Vous trouverez pour chaque étape une feuille de route </w:t>
      </w:r>
      <w:r w:rsidR="008131AE">
        <w:rPr>
          <w:bCs/>
          <w:lang w:val="fr-FR"/>
        </w:rPr>
        <w:t>contenant</w:t>
      </w:r>
      <w:r>
        <w:rPr>
          <w:bCs/>
          <w:lang w:val="fr-FR"/>
        </w:rPr>
        <w:t xml:space="preserve"> de brèves i</w:t>
      </w:r>
      <w:r w:rsidR="003F60E0">
        <w:rPr>
          <w:bCs/>
          <w:lang w:val="fr-FR"/>
        </w:rPr>
        <w:t>ndications</w:t>
      </w:r>
      <w:r>
        <w:rPr>
          <w:bCs/>
          <w:lang w:val="fr-FR"/>
        </w:rPr>
        <w:t xml:space="preserve"> sur l’étape </w:t>
      </w:r>
      <w:r w:rsidR="008131AE">
        <w:rPr>
          <w:bCs/>
          <w:lang w:val="fr-FR"/>
        </w:rPr>
        <w:t>concernée</w:t>
      </w:r>
      <w:r>
        <w:rPr>
          <w:bCs/>
          <w:lang w:val="fr-FR"/>
        </w:rPr>
        <w:t xml:space="preserve">, </w:t>
      </w:r>
      <w:r w:rsidR="008131AE">
        <w:rPr>
          <w:bCs/>
          <w:lang w:val="fr-FR"/>
        </w:rPr>
        <w:t>la liste des</w:t>
      </w:r>
      <w:r>
        <w:rPr>
          <w:bCs/>
          <w:lang w:val="fr-FR"/>
        </w:rPr>
        <w:t xml:space="preserve"> normes minimales et </w:t>
      </w:r>
      <w:r w:rsidR="008131AE">
        <w:rPr>
          <w:bCs/>
          <w:lang w:val="fr-FR"/>
        </w:rPr>
        <w:t>une description des étapes subsidiaires et d</w:t>
      </w:r>
      <w:r>
        <w:rPr>
          <w:bCs/>
          <w:lang w:val="fr-FR"/>
        </w:rPr>
        <w:t xml:space="preserve">es outils existants. Les étapes subsidiaires et les outils </w:t>
      </w:r>
      <w:r w:rsidR="003F60E0">
        <w:rPr>
          <w:bCs/>
          <w:lang w:val="fr-FR"/>
        </w:rPr>
        <w:t xml:space="preserve">proposés </w:t>
      </w:r>
      <w:r>
        <w:rPr>
          <w:bCs/>
          <w:lang w:val="fr-FR"/>
        </w:rPr>
        <w:t xml:space="preserve">peuvent être adaptés à </w:t>
      </w:r>
      <w:r w:rsidR="008131AE">
        <w:rPr>
          <w:bCs/>
          <w:lang w:val="fr-FR"/>
        </w:rPr>
        <w:t>des</w:t>
      </w:r>
      <w:r>
        <w:rPr>
          <w:bCs/>
          <w:lang w:val="fr-FR"/>
        </w:rPr>
        <w:t xml:space="preserve"> contexte</w:t>
      </w:r>
      <w:r w:rsidR="008131AE">
        <w:rPr>
          <w:bCs/>
          <w:lang w:val="fr-FR"/>
        </w:rPr>
        <w:t>s variés,</w:t>
      </w:r>
      <w:r>
        <w:rPr>
          <w:bCs/>
          <w:lang w:val="fr-FR"/>
        </w:rPr>
        <w:t xml:space="preserve"> par différentes organisations. Les documents de référence suggérés à la fois au niveau des modules et des étapes vous fourniront des </w:t>
      </w:r>
      <w:r w:rsidR="004B5848">
        <w:rPr>
          <w:bCs/>
          <w:lang w:val="fr-FR"/>
        </w:rPr>
        <w:t>informations</w:t>
      </w:r>
      <w:r>
        <w:rPr>
          <w:bCs/>
          <w:lang w:val="fr-FR"/>
        </w:rPr>
        <w:t xml:space="preserve"> détaillées sur la préparation </w:t>
      </w:r>
      <w:r w:rsidR="00DC663C">
        <w:rPr>
          <w:bCs/>
          <w:lang w:val="fr-FR"/>
        </w:rPr>
        <w:t xml:space="preserve">aux fins de vous aider à </w:t>
      </w:r>
      <w:r>
        <w:rPr>
          <w:bCs/>
          <w:lang w:val="fr-FR"/>
        </w:rPr>
        <w:t xml:space="preserve">adapter les outils à votre contexte et à vos besoins. Des normes minimales sont définies pour chaque étape afin d’aider les praticiens à comprendre </w:t>
      </w:r>
      <w:r w:rsidR="00DC663C">
        <w:rPr>
          <w:bCs/>
          <w:lang w:val="fr-FR"/>
        </w:rPr>
        <w:t xml:space="preserve">quels sont les éléments </w:t>
      </w:r>
      <w:r w:rsidR="0077196C">
        <w:rPr>
          <w:bCs/>
          <w:lang w:val="fr-FR"/>
        </w:rPr>
        <w:t>indispensables</w:t>
      </w:r>
      <w:r>
        <w:rPr>
          <w:bCs/>
          <w:lang w:val="fr-FR"/>
        </w:rPr>
        <w:t xml:space="preserve"> tout au long du processus. </w:t>
      </w:r>
    </w:p>
    <w:p w:rsidR="00DC11CA" w:rsidRPr="00CD73A6" w:rsidRDefault="006C2E4C" w:rsidP="006B695E">
      <w:pPr>
        <w:pStyle w:val="Heading2"/>
        <w:rPr>
          <w:lang w:val="fr-FR"/>
        </w:rPr>
      </w:pPr>
      <w:r>
        <w:rPr>
          <w:lang w:val="fr-FR"/>
        </w:rPr>
        <w:t>Normes minimales</w:t>
      </w:r>
    </w:p>
    <w:p w:rsidR="00F37EC0" w:rsidRPr="00881317" w:rsidRDefault="00F37EC0" w:rsidP="00F208DF">
      <w:pPr>
        <w:pStyle w:val="Bullet1"/>
        <w:keepNext/>
        <w:ind w:left="720" w:hanging="360"/>
        <w:rPr>
          <w:rFonts w:cs="Times"/>
          <w:lang w:val="fr-FR"/>
        </w:rPr>
      </w:pPr>
      <w:r>
        <w:rPr>
          <w:rFonts w:cs="Times"/>
          <w:lang w:val="fr-FR"/>
        </w:rPr>
        <w:t xml:space="preserve">Les </w:t>
      </w:r>
      <w:r w:rsidR="00F02A06">
        <w:rPr>
          <w:rFonts w:cs="Times"/>
          <w:lang w:val="fr-FR"/>
        </w:rPr>
        <w:t>PTM</w:t>
      </w:r>
      <w:r>
        <w:rPr>
          <w:rFonts w:cs="Times"/>
          <w:lang w:val="fr-FR"/>
        </w:rPr>
        <w:t xml:space="preserve"> doivent être intégrés dans les plans stratégiques, d’urgence et d’intervention, </w:t>
      </w:r>
      <w:r w:rsidR="00F208DF">
        <w:rPr>
          <w:rFonts w:cs="Times"/>
          <w:lang w:val="fr-FR"/>
        </w:rPr>
        <w:t>ainsi que</w:t>
      </w:r>
      <w:r>
        <w:rPr>
          <w:rFonts w:cs="Times"/>
          <w:lang w:val="fr-FR"/>
        </w:rPr>
        <w:t xml:space="preserve"> dans les systèmes de gestion des ressources humaines, </w:t>
      </w:r>
      <w:r w:rsidR="00F02A06">
        <w:rPr>
          <w:rFonts w:cs="Times"/>
          <w:lang w:val="fr-FR"/>
        </w:rPr>
        <w:t>de gestion financière</w:t>
      </w:r>
      <w:r>
        <w:rPr>
          <w:rFonts w:cs="Times"/>
          <w:lang w:val="fr-FR"/>
        </w:rPr>
        <w:t>, de suivi et d’évaluation</w:t>
      </w:r>
      <w:r w:rsidR="00F02A06">
        <w:rPr>
          <w:rFonts w:cs="Times"/>
          <w:lang w:val="fr-FR"/>
        </w:rPr>
        <w:t>,</w:t>
      </w:r>
      <w:r>
        <w:rPr>
          <w:rFonts w:cs="Times"/>
          <w:lang w:val="fr-FR"/>
        </w:rPr>
        <w:t xml:space="preserve"> et de mobilisation de</w:t>
      </w:r>
      <w:r w:rsidR="00C44A1E">
        <w:rPr>
          <w:rFonts w:cs="Times"/>
          <w:lang w:val="fr-FR"/>
        </w:rPr>
        <w:t>s</w:t>
      </w:r>
      <w:r>
        <w:rPr>
          <w:rFonts w:cs="Times"/>
          <w:lang w:val="fr-FR"/>
        </w:rPr>
        <w:t xml:space="preserve"> ressources.</w:t>
      </w:r>
    </w:p>
    <w:p w:rsidR="00F37EC0" w:rsidRPr="00143042" w:rsidRDefault="00F37EC0" w:rsidP="0040577A">
      <w:pPr>
        <w:pStyle w:val="Bullet1"/>
        <w:keepNext/>
        <w:ind w:left="720" w:hanging="360"/>
        <w:rPr>
          <w:rFonts w:cs="Times"/>
          <w:lang w:val="fr-FR"/>
        </w:rPr>
      </w:pPr>
      <w:r>
        <w:rPr>
          <w:lang w:val="fr-FR"/>
        </w:rPr>
        <w:t xml:space="preserve">Les différents départements concernés par une éventuelle opération de transferts monétaires, en particulier la logistique et les finances, doivent travailler en collaboration </w:t>
      </w:r>
      <w:r w:rsidR="004D455B">
        <w:rPr>
          <w:lang w:val="fr-FR"/>
        </w:rPr>
        <w:t>pour assurer la</w:t>
      </w:r>
      <w:r>
        <w:rPr>
          <w:lang w:val="fr-FR"/>
        </w:rPr>
        <w:t xml:space="preserve"> planification, l’intégration </w:t>
      </w:r>
      <w:r w:rsidR="003F60E0">
        <w:rPr>
          <w:lang w:val="fr-FR"/>
        </w:rPr>
        <w:t xml:space="preserve">et </w:t>
      </w:r>
      <w:r>
        <w:rPr>
          <w:lang w:val="fr-FR"/>
        </w:rPr>
        <w:t>la mise en œuvre</w:t>
      </w:r>
      <w:r w:rsidR="004D455B">
        <w:rPr>
          <w:lang w:val="fr-FR"/>
        </w:rPr>
        <w:t xml:space="preserve"> des activités de préparation</w:t>
      </w:r>
      <w:r>
        <w:rPr>
          <w:lang w:val="fr-FR"/>
        </w:rPr>
        <w:t>.</w:t>
      </w:r>
    </w:p>
    <w:p w:rsidR="00F37EC0" w:rsidRPr="00143042" w:rsidRDefault="00F37EC0" w:rsidP="004D455B">
      <w:pPr>
        <w:pStyle w:val="Bullet1"/>
        <w:ind w:left="720" w:hanging="360"/>
        <w:rPr>
          <w:rFonts w:cs="Times"/>
          <w:lang w:val="fr-FR"/>
        </w:rPr>
      </w:pPr>
      <w:r>
        <w:rPr>
          <w:lang w:val="fr-FR"/>
        </w:rPr>
        <w:t xml:space="preserve">La collecte et l’analyse des données secondaires constituent la première étape </w:t>
      </w:r>
      <w:r w:rsidR="003F60E0">
        <w:rPr>
          <w:lang w:val="fr-FR"/>
        </w:rPr>
        <w:t>de la préparation ; elles visent à</w:t>
      </w:r>
      <w:r>
        <w:rPr>
          <w:lang w:val="fr-FR"/>
        </w:rPr>
        <w:t xml:space="preserve"> </w:t>
      </w:r>
      <w:r w:rsidR="004D455B">
        <w:rPr>
          <w:lang w:val="fr-FR"/>
        </w:rPr>
        <w:t>donner un aperçu</w:t>
      </w:r>
      <w:r w:rsidR="003F60E0">
        <w:rPr>
          <w:lang w:val="fr-FR"/>
        </w:rPr>
        <w:t xml:space="preserve"> général de la situation et à</w:t>
      </w:r>
      <w:r>
        <w:rPr>
          <w:lang w:val="fr-FR"/>
        </w:rPr>
        <w:t xml:space="preserve"> permettre la réalisation d’une analyse du contexte initial.</w:t>
      </w:r>
    </w:p>
    <w:p w:rsidR="00F37EC0" w:rsidRDefault="00F37EC0" w:rsidP="00F37EC0">
      <w:pPr>
        <w:pStyle w:val="Bullet1"/>
        <w:rPr>
          <w:lang w:val="fr-FR"/>
        </w:rPr>
      </w:pPr>
      <w:r>
        <w:rPr>
          <w:lang w:val="fr-FR"/>
        </w:rPr>
        <w:t xml:space="preserve">En ce qui concerne les scénarios possibles, il est </w:t>
      </w:r>
      <w:r w:rsidR="003F60E0">
        <w:rPr>
          <w:lang w:val="fr-FR"/>
        </w:rPr>
        <w:t>nécessaire</w:t>
      </w:r>
      <w:r>
        <w:rPr>
          <w:lang w:val="fr-FR"/>
        </w:rPr>
        <w:t xml:space="preserve"> d’élaborer au moins </w:t>
      </w:r>
      <w:r w:rsidR="003F60E0">
        <w:rPr>
          <w:lang w:val="fr-FR"/>
        </w:rPr>
        <w:t>le scénario le plus défavorable</w:t>
      </w:r>
      <w:r w:rsidR="00146D0C">
        <w:rPr>
          <w:lang w:val="fr-FR"/>
        </w:rPr>
        <w:t>,</w:t>
      </w:r>
      <w:r>
        <w:rPr>
          <w:lang w:val="fr-FR"/>
        </w:rPr>
        <w:t xml:space="preserve"> en s’appuyant su</w:t>
      </w:r>
      <w:r w:rsidR="003F60E0">
        <w:rPr>
          <w:lang w:val="fr-FR"/>
        </w:rPr>
        <w:t>r l’analyse du contexte initial</w:t>
      </w:r>
      <w:r w:rsidR="00146D0C">
        <w:rPr>
          <w:lang w:val="fr-FR"/>
        </w:rPr>
        <w:t>,</w:t>
      </w:r>
      <w:r w:rsidR="003F60E0">
        <w:rPr>
          <w:lang w:val="fr-FR"/>
        </w:rPr>
        <w:t xml:space="preserve"> et d’</w:t>
      </w:r>
      <w:r>
        <w:rPr>
          <w:lang w:val="fr-FR"/>
        </w:rPr>
        <w:t xml:space="preserve">inclure </w:t>
      </w:r>
      <w:r w:rsidR="003F60E0">
        <w:rPr>
          <w:lang w:val="fr-FR"/>
        </w:rPr>
        <w:t>un aperçu</w:t>
      </w:r>
      <w:r>
        <w:rPr>
          <w:lang w:val="fr-FR"/>
        </w:rPr>
        <w:t xml:space="preserve"> des éventuelles opérations pouvant être mises en œuvre. </w:t>
      </w:r>
    </w:p>
    <w:p w:rsidR="00F37EC0" w:rsidRPr="00E33910" w:rsidRDefault="00F37EC0" w:rsidP="00BB2E1E">
      <w:pPr>
        <w:pStyle w:val="Bullet1"/>
        <w:ind w:left="720" w:hanging="360"/>
        <w:rPr>
          <w:rFonts w:cs="Times"/>
          <w:lang w:val="fr-FR"/>
        </w:rPr>
      </w:pPr>
      <w:r>
        <w:rPr>
          <w:rFonts w:cs="Times"/>
          <w:lang w:val="fr-FR"/>
        </w:rPr>
        <w:t>Les données de référence antérieures à la catastrophe doivent inclure une analyse des parties prenantes clés, des conditions du marché, des capacités des prestataires de services, de l’accès</w:t>
      </w:r>
      <w:r w:rsidR="00BB2E1E">
        <w:rPr>
          <w:rFonts w:cs="Times"/>
          <w:lang w:val="fr-FR"/>
        </w:rPr>
        <w:t xml:space="preserve"> et des</w:t>
      </w:r>
      <w:r>
        <w:rPr>
          <w:rFonts w:cs="Times"/>
          <w:lang w:val="fr-FR"/>
        </w:rPr>
        <w:t xml:space="preserve"> préférences de </w:t>
      </w:r>
      <w:r w:rsidR="00BB2E1E">
        <w:rPr>
          <w:rFonts w:cs="Times"/>
          <w:lang w:val="fr-FR"/>
        </w:rPr>
        <w:t>la communauté</w:t>
      </w:r>
      <w:r>
        <w:rPr>
          <w:rFonts w:cs="Times"/>
          <w:lang w:val="fr-FR"/>
        </w:rPr>
        <w:t>, et des risques liés à une éventuelle opération de transferts monétaires.</w:t>
      </w:r>
    </w:p>
    <w:p w:rsidR="00F37EC0" w:rsidRPr="00143042" w:rsidRDefault="00F37EC0" w:rsidP="00FA1AE2">
      <w:pPr>
        <w:pStyle w:val="Bullet1"/>
        <w:ind w:left="720" w:hanging="360"/>
        <w:rPr>
          <w:rFonts w:cs="Times"/>
          <w:lang w:val="fr-FR"/>
        </w:rPr>
      </w:pPr>
      <w:r>
        <w:rPr>
          <w:lang w:val="fr-FR"/>
        </w:rPr>
        <w:lastRenderedPageBreak/>
        <w:t xml:space="preserve">Une analyse de faisabilité fondée sur les données de référence, en particulier sur les préférences des bénéficiaires et sur les capacités des marchés et des prestataires de services, doit être menée à bien afin de déterminer les modalités et les mécanismes </w:t>
      </w:r>
      <w:r w:rsidR="00FA1AE2">
        <w:rPr>
          <w:lang w:val="fr-FR"/>
        </w:rPr>
        <w:t>de transferts monétaires</w:t>
      </w:r>
      <w:r>
        <w:rPr>
          <w:lang w:val="fr-FR"/>
        </w:rPr>
        <w:t xml:space="preserve"> les </w:t>
      </w:r>
      <w:r w:rsidR="00FA1AE2">
        <w:rPr>
          <w:lang w:val="fr-FR"/>
        </w:rPr>
        <w:t>mieux</w:t>
      </w:r>
      <w:r>
        <w:rPr>
          <w:lang w:val="fr-FR"/>
        </w:rPr>
        <w:t xml:space="preserve"> adaptés aux scénarios élaborés. </w:t>
      </w:r>
    </w:p>
    <w:p w:rsidR="00F37EC0" w:rsidRPr="00143042" w:rsidRDefault="00F37EC0" w:rsidP="00FA1AE2">
      <w:pPr>
        <w:pStyle w:val="Bullet1"/>
        <w:ind w:left="720" w:hanging="360"/>
        <w:rPr>
          <w:color w:val="000000" w:themeColor="text1"/>
          <w:lang w:val="fr-FR"/>
        </w:rPr>
      </w:pPr>
      <w:r>
        <w:rPr>
          <w:lang w:val="fr-FR"/>
        </w:rPr>
        <w:t xml:space="preserve">Un exercice d’autoévaluation doit être effectué avec la participation des </w:t>
      </w:r>
      <w:r w:rsidR="00FA1AE2">
        <w:rPr>
          <w:lang w:val="fr-FR"/>
        </w:rPr>
        <w:t>responsables</w:t>
      </w:r>
      <w:r>
        <w:rPr>
          <w:lang w:val="fr-FR"/>
        </w:rPr>
        <w:t xml:space="preserve"> des départements clés en vue d’identifier les lacunes organisationnelles </w:t>
      </w:r>
      <w:r w:rsidR="00FA1AE2">
        <w:rPr>
          <w:lang w:val="fr-FR"/>
        </w:rPr>
        <w:t>qui pourraient empêcher</w:t>
      </w:r>
      <w:r w:rsidR="003F60E0">
        <w:rPr>
          <w:lang w:val="fr-FR"/>
        </w:rPr>
        <w:t xml:space="preserve"> la mise en œuvre </w:t>
      </w:r>
      <w:r w:rsidR="00FA1AE2">
        <w:rPr>
          <w:lang w:val="fr-FR"/>
        </w:rPr>
        <w:t>de PTM</w:t>
      </w:r>
      <w:r>
        <w:rPr>
          <w:lang w:val="fr-FR"/>
        </w:rPr>
        <w:t xml:space="preserve"> à grande échelle et </w:t>
      </w:r>
      <w:r w:rsidR="00FA1AE2">
        <w:rPr>
          <w:lang w:val="fr-FR"/>
        </w:rPr>
        <w:t>de manière opportune</w:t>
      </w:r>
      <w:r>
        <w:rPr>
          <w:lang w:val="fr-FR"/>
        </w:rPr>
        <w:t>.</w:t>
      </w:r>
    </w:p>
    <w:p w:rsidR="00F37EC0" w:rsidRPr="00143042" w:rsidRDefault="00F37EC0" w:rsidP="007A52DD">
      <w:pPr>
        <w:pStyle w:val="Bullet1"/>
        <w:ind w:left="720" w:hanging="360"/>
        <w:rPr>
          <w:rFonts w:cs="Times"/>
          <w:lang w:val="fr-FR"/>
        </w:rPr>
      </w:pPr>
      <w:r>
        <w:rPr>
          <w:lang w:val="fr-FR"/>
        </w:rPr>
        <w:t xml:space="preserve">Un groupe de travail technique sur les </w:t>
      </w:r>
      <w:r w:rsidR="007A52DD">
        <w:rPr>
          <w:lang w:val="fr-FR"/>
        </w:rPr>
        <w:t>PTM</w:t>
      </w:r>
      <w:r>
        <w:rPr>
          <w:lang w:val="fr-FR"/>
        </w:rPr>
        <w:t xml:space="preserve"> doit être m</w:t>
      </w:r>
      <w:r w:rsidR="003F60E0">
        <w:rPr>
          <w:lang w:val="fr-FR"/>
        </w:rPr>
        <w:t xml:space="preserve">is en place sous la direction d’un </w:t>
      </w:r>
      <w:r>
        <w:rPr>
          <w:lang w:val="fr-FR"/>
        </w:rPr>
        <w:t xml:space="preserve">coordonnateur </w:t>
      </w:r>
      <w:r w:rsidR="007A52DD">
        <w:rPr>
          <w:lang w:val="fr-FR"/>
        </w:rPr>
        <w:t>spécialisé</w:t>
      </w:r>
      <w:r>
        <w:rPr>
          <w:lang w:val="fr-FR"/>
        </w:rPr>
        <w:t xml:space="preserve"> afin de superviser l’élaboration, la mise en œuvre et le suivi du plan </w:t>
      </w:r>
      <w:r w:rsidR="003F60E0">
        <w:rPr>
          <w:lang w:val="fr-FR"/>
        </w:rPr>
        <w:t>d’action pour la préparation aux</w:t>
      </w:r>
      <w:r>
        <w:rPr>
          <w:lang w:val="fr-FR"/>
        </w:rPr>
        <w:t xml:space="preserve"> </w:t>
      </w:r>
      <w:r w:rsidR="007A52DD">
        <w:rPr>
          <w:lang w:val="fr-FR"/>
        </w:rPr>
        <w:t>PTM</w:t>
      </w:r>
      <w:r>
        <w:rPr>
          <w:lang w:val="fr-FR"/>
        </w:rPr>
        <w:t>.</w:t>
      </w:r>
    </w:p>
    <w:p w:rsidR="00F37EC0" w:rsidRPr="00143042" w:rsidRDefault="00F37EC0" w:rsidP="007A52DD">
      <w:pPr>
        <w:pStyle w:val="Bullet1"/>
        <w:ind w:left="720" w:hanging="360"/>
        <w:rPr>
          <w:rFonts w:cs="Times"/>
          <w:lang w:val="fr-FR"/>
        </w:rPr>
      </w:pPr>
      <w:r>
        <w:rPr>
          <w:lang w:val="fr-FR"/>
        </w:rPr>
        <w:t xml:space="preserve">Le plan </w:t>
      </w:r>
      <w:r w:rsidR="003F60E0">
        <w:rPr>
          <w:lang w:val="fr-FR"/>
        </w:rPr>
        <w:t>d’action pour la préparation aux</w:t>
      </w:r>
      <w:r>
        <w:rPr>
          <w:lang w:val="fr-FR"/>
        </w:rPr>
        <w:t xml:space="preserve"> </w:t>
      </w:r>
      <w:r w:rsidR="007A52DD">
        <w:rPr>
          <w:lang w:val="fr-FR"/>
        </w:rPr>
        <w:t>PTM</w:t>
      </w:r>
      <w:r>
        <w:rPr>
          <w:lang w:val="fr-FR"/>
        </w:rPr>
        <w:t xml:space="preserve"> doit </w:t>
      </w:r>
      <w:r w:rsidR="007A52DD">
        <w:rPr>
          <w:lang w:val="fr-FR"/>
        </w:rPr>
        <w:t>couvrir plusieurs années</w:t>
      </w:r>
      <w:r>
        <w:rPr>
          <w:lang w:val="fr-FR"/>
        </w:rPr>
        <w:t xml:space="preserve">, </w:t>
      </w:r>
      <w:r w:rsidR="007A52DD">
        <w:rPr>
          <w:lang w:val="fr-FR"/>
        </w:rPr>
        <w:t xml:space="preserve">être </w:t>
      </w:r>
      <w:r>
        <w:rPr>
          <w:lang w:val="fr-FR"/>
        </w:rPr>
        <w:t xml:space="preserve">doté du budget et des ressources appropriés, prévoir des activités et des résultats clairs, et être </w:t>
      </w:r>
      <w:r w:rsidR="007A52DD">
        <w:rPr>
          <w:lang w:val="fr-FR"/>
        </w:rPr>
        <w:t>mis à jour</w:t>
      </w:r>
      <w:r>
        <w:rPr>
          <w:lang w:val="fr-FR"/>
        </w:rPr>
        <w:t xml:space="preserve"> chaque année.</w:t>
      </w:r>
    </w:p>
    <w:p w:rsidR="00F37EC0" w:rsidRDefault="00F37EC0" w:rsidP="007E19BE">
      <w:pPr>
        <w:pStyle w:val="Bullet1"/>
        <w:ind w:left="720" w:hanging="360"/>
        <w:rPr>
          <w:lang w:val="fr-FR"/>
        </w:rPr>
      </w:pPr>
      <w:r w:rsidRPr="000E652B">
        <w:rPr>
          <w:lang w:val="fr-FR"/>
        </w:rPr>
        <w:t>Les systèmes, les procédures et les procédures opérationnelles normalisé</w:t>
      </w:r>
      <w:r w:rsidR="007A52DD">
        <w:rPr>
          <w:lang w:val="fr-FR"/>
        </w:rPr>
        <w:t>es</w:t>
      </w:r>
      <w:r w:rsidRPr="000E652B">
        <w:rPr>
          <w:lang w:val="fr-FR"/>
        </w:rPr>
        <w:t xml:space="preserve"> en matière de transferts monétaires </w:t>
      </w:r>
      <w:r>
        <w:rPr>
          <w:lang w:val="fr-FR"/>
        </w:rPr>
        <w:t xml:space="preserve">doivent être </w:t>
      </w:r>
      <w:r w:rsidR="007A52DD">
        <w:rPr>
          <w:lang w:val="fr-FR"/>
        </w:rPr>
        <w:t>clairement établis</w:t>
      </w:r>
      <w:r w:rsidRPr="000E652B">
        <w:rPr>
          <w:lang w:val="fr-FR"/>
        </w:rPr>
        <w:t xml:space="preserve">, </w:t>
      </w:r>
      <w:r>
        <w:rPr>
          <w:lang w:val="fr-FR"/>
        </w:rPr>
        <w:t>accessibles à tous et</w:t>
      </w:r>
      <w:r w:rsidRPr="000E652B">
        <w:rPr>
          <w:lang w:val="fr-FR"/>
        </w:rPr>
        <w:t xml:space="preserve"> actualisés périodiquement</w:t>
      </w:r>
      <w:r w:rsidR="007E19BE">
        <w:rPr>
          <w:lang w:val="fr-FR"/>
        </w:rPr>
        <w:t>.</w:t>
      </w:r>
    </w:p>
    <w:p w:rsidR="00F37EC0" w:rsidRPr="006153B4" w:rsidRDefault="00F37EC0" w:rsidP="007E19BE">
      <w:pPr>
        <w:pStyle w:val="Bullet1"/>
        <w:ind w:left="720" w:hanging="360"/>
        <w:rPr>
          <w:rFonts w:cs="Times"/>
          <w:lang w:val="fr-FR"/>
        </w:rPr>
      </w:pPr>
      <w:r>
        <w:rPr>
          <w:rFonts w:cs="Times"/>
          <w:lang w:val="fr-FR"/>
        </w:rPr>
        <w:t xml:space="preserve">Des simulations ou des projets pilotes doivent être menés pour </w:t>
      </w:r>
      <w:r w:rsidR="007E19BE">
        <w:rPr>
          <w:rFonts w:cs="Times"/>
          <w:lang w:val="fr-FR"/>
        </w:rPr>
        <w:t>vérifier</w:t>
      </w:r>
      <w:r>
        <w:rPr>
          <w:rFonts w:cs="Times"/>
          <w:lang w:val="fr-FR"/>
        </w:rPr>
        <w:t xml:space="preserve"> la préparation opérationnelle </w:t>
      </w:r>
      <w:r w:rsidR="003F60E0">
        <w:rPr>
          <w:rFonts w:cs="Times"/>
          <w:lang w:val="fr-FR"/>
        </w:rPr>
        <w:t xml:space="preserve">aux </w:t>
      </w:r>
      <w:r w:rsidR="007E19BE">
        <w:rPr>
          <w:rFonts w:cs="Times"/>
          <w:lang w:val="fr-FR"/>
        </w:rPr>
        <w:t>PTM</w:t>
      </w:r>
      <w:r w:rsidR="00146D0C">
        <w:rPr>
          <w:rFonts w:cs="Times"/>
          <w:lang w:val="fr-FR"/>
        </w:rPr>
        <w:t xml:space="preserve"> et</w:t>
      </w:r>
      <w:r>
        <w:rPr>
          <w:rFonts w:cs="Times"/>
          <w:lang w:val="fr-FR"/>
        </w:rPr>
        <w:t xml:space="preserve"> être répétés </w:t>
      </w:r>
      <w:r w:rsidR="003F60E0">
        <w:rPr>
          <w:rFonts w:cs="Times"/>
          <w:lang w:val="fr-FR"/>
        </w:rPr>
        <w:t>périodiquement</w:t>
      </w:r>
      <w:r>
        <w:rPr>
          <w:rFonts w:cs="Times"/>
          <w:lang w:val="fr-FR"/>
        </w:rPr>
        <w:t>.</w:t>
      </w:r>
    </w:p>
    <w:p w:rsidR="00F37EC0" w:rsidRPr="00143042" w:rsidRDefault="00F37EC0" w:rsidP="007E19BE">
      <w:pPr>
        <w:pStyle w:val="Bullet1"/>
        <w:ind w:left="720" w:hanging="360"/>
        <w:rPr>
          <w:rFonts w:cs="Times"/>
          <w:lang w:val="fr-FR"/>
        </w:rPr>
      </w:pPr>
      <w:r>
        <w:rPr>
          <w:lang w:val="fr-FR"/>
        </w:rPr>
        <w:t xml:space="preserve">Des mécanismes de coordination </w:t>
      </w:r>
      <w:r w:rsidR="007E19BE">
        <w:rPr>
          <w:lang w:val="fr-FR"/>
        </w:rPr>
        <w:t xml:space="preserve">des PTM </w:t>
      </w:r>
      <w:r>
        <w:rPr>
          <w:lang w:val="fr-FR"/>
        </w:rPr>
        <w:t>interne</w:t>
      </w:r>
      <w:r w:rsidR="007E19BE">
        <w:rPr>
          <w:lang w:val="fr-FR"/>
        </w:rPr>
        <w:t>s</w:t>
      </w:r>
      <w:r>
        <w:rPr>
          <w:lang w:val="fr-FR"/>
        </w:rPr>
        <w:t xml:space="preserve"> et externe</w:t>
      </w:r>
      <w:r w:rsidR="007E19BE">
        <w:rPr>
          <w:lang w:val="fr-FR"/>
        </w:rPr>
        <w:t>s</w:t>
      </w:r>
      <w:r>
        <w:rPr>
          <w:lang w:val="fr-FR"/>
        </w:rPr>
        <w:t xml:space="preserve"> doivent être mis en place.</w:t>
      </w:r>
    </w:p>
    <w:p w:rsidR="00F37EC0" w:rsidRPr="00143042" w:rsidRDefault="00F37EC0" w:rsidP="007E19BE">
      <w:pPr>
        <w:pStyle w:val="Bullet1"/>
        <w:ind w:left="720" w:hanging="360"/>
        <w:rPr>
          <w:rFonts w:cs="Times"/>
          <w:lang w:val="fr-FR"/>
        </w:rPr>
      </w:pPr>
      <w:r>
        <w:rPr>
          <w:lang w:val="fr-FR"/>
        </w:rPr>
        <w:t xml:space="preserve">Les </w:t>
      </w:r>
      <w:r w:rsidR="007E19BE">
        <w:rPr>
          <w:lang w:val="fr-FR"/>
        </w:rPr>
        <w:t>PTM</w:t>
      </w:r>
      <w:r w:rsidR="003F60E0">
        <w:rPr>
          <w:lang w:val="fr-FR"/>
        </w:rPr>
        <w:t xml:space="preserve"> </w:t>
      </w:r>
      <w:r>
        <w:rPr>
          <w:lang w:val="fr-FR"/>
        </w:rPr>
        <w:t xml:space="preserve">doivent être intégrés dans les plans et les stratégies de communication. </w:t>
      </w:r>
    </w:p>
    <w:p w:rsidR="00F37EC0" w:rsidRPr="00143042" w:rsidRDefault="00F37EC0" w:rsidP="007E19BE">
      <w:pPr>
        <w:pStyle w:val="Bullet1"/>
        <w:ind w:left="720" w:hanging="360"/>
        <w:rPr>
          <w:lang w:val="fr-FR"/>
        </w:rPr>
      </w:pPr>
      <w:r>
        <w:rPr>
          <w:lang w:val="fr-FR"/>
        </w:rPr>
        <w:t xml:space="preserve">Des enseignements doivent être tirés des opérations et des </w:t>
      </w:r>
      <w:r w:rsidR="007E19BE">
        <w:rPr>
          <w:lang w:val="fr-FR"/>
        </w:rPr>
        <w:t>programmes</w:t>
      </w:r>
      <w:r>
        <w:rPr>
          <w:lang w:val="fr-FR"/>
        </w:rPr>
        <w:t>, et les procédures, les outils et les matériels de formation doivent être mis à jour le cas échéant.</w:t>
      </w:r>
      <w:r w:rsidR="00F75866">
        <w:rPr>
          <w:lang w:val="fr-FR"/>
        </w:rPr>
        <w:t xml:space="preserve"> </w:t>
      </w:r>
    </w:p>
    <w:p w:rsidR="00F37EC0" w:rsidRPr="00143042" w:rsidRDefault="00F37EC0" w:rsidP="00F37EC0">
      <w:pPr>
        <w:pStyle w:val="Heading2"/>
        <w:rPr>
          <w:lang w:val="fr-FR"/>
        </w:rPr>
      </w:pPr>
      <w:r>
        <w:rPr>
          <w:lang w:val="fr-FR"/>
        </w:rPr>
        <w:t>Étape 1. PRÉparation et analyse</w:t>
      </w:r>
    </w:p>
    <w:p w:rsidR="00F37EC0" w:rsidRDefault="00F37EC0" w:rsidP="00715CC8">
      <w:pPr>
        <w:spacing w:before="120"/>
        <w:rPr>
          <w:lang w:val="fr-FR"/>
        </w:rPr>
      </w:pPr>
      <w:r>
        <w:rPr>
          <w:lang w:val="fr-FR"/>
        </w:rPr>
        <w:t>L’étape 1 est</w:t>
      </w:r>
      <w:r w:rsidR="00D7145F">
        <w:rPr>
          <w:lang w:val="fr-FR"/>
        </w:rPr>
        <w:t xml:space="preserve"> consacrée aux processus </w:t>
      </w:r>
      <w:r w:rsidR="00715CC8">
        <w:rPr>
          <w:lang w:val="fr-FR"/>
        </w:rPr>
        <w:t>consistant</w:t>
      </w:r>
      <w:r>
        <w:rPr>
          <w:lang w:val="fr-FR"/>
        </w:rPr>
        <w:t xml:space="preserve"> à effectuer une analyse du contexte </w:t>
      </w:r>
      <w:r w:rsidR="00715CC8">
        <w:rPr>
          <w:lang w:val="fr-FR"/>
        </w:rPr>
        <w:t>fondée sur les</w:t>
      </w:r>
      <w:r>
        <w:rPr>
          <w:lang w:val="fr-FR"/>
        </w:rPr>
        <w:t xml:space="preserve"> données secondaires, à élaborer et analyser différents scénarios, à recueillir </w:t>
      </w:r>
      <w:r w:rsidR="00715CC8">
        <w:rPr>
          <w:lang w:val="fr-FR"/>
        </w:rPr>
        <w:t>d</w:t>
      </w:r>
      <w:r>
        <w:rPr>
          <w:lang w:val="fr-FR"/>
        </w:rPr>
        <w:t xml:space="preserve">es données de référence et à </w:t>
      </w:r>
      <w:r w:rsidR="00715CC8">
        <w:rPr>
          <w:lang w:val="fr-FR"/>
        </w:rPr>
        <w:t>recenser</w:t>
      </w:r>
      <w:r>
        <w:rPr>
          <w:lang w:val="fr-FR"/>
        </w:rPr>
        <w:t xml:space="preserve"> les lacunes en matière de préparation aux </w:t>
      </w:r>
      <w:r w:rsidR="00715CC8">
        <w:rPr>
          <w:lang w:val="fr-FR"/>
        </w:rPr>
        <w:t>PTM à l’aide d</w:t>
      </w:r>
      <w:r w:rsidR="003F60E0">
        <w:rPr>
          <w:lang w:val="fr-FR"/>
        </w:rPr>
        <w:t>’un exercice d’</w:t>
      </w:r>
      <w:r>
        <w:rPr>
          <w:lang w:val="fr-FR"/>
        </w:rPr>
        <w:t>autoévaluation.</w:t>
      </w:r>
    </w:p>
    <w:p w:rsidR="00F37EC0" w:rsidRDefault="00F37EC0" w:rsidP="00EC7AA3">
      <w:pPr>
        <w:spacing w:before="120"/>
        <w:rPr>
          <w:lang w:val="fr-FR"/>
        </w:rPr>
      </w:pPr>
      <w:r>
        <w:rPr>
          <w:lang w:val="fr-FR"/>
        </w:rPr>
        <w:t xml:space="preserve">Les données secondaires </w:t>
      </w:r>
      <w:r w:rsidR="005351FE">
        <w:rPr>
          <w:lang w:val="fr-FR"/>
        </w:rPr>
        <w:t xml:space="preserve">fournissent une base </w:t>
      </w:r>
      <w:r w:rsidRPr="005331B9">
        <w:rPr>
          <w:lang w:val="fr-FR"/>
        </w:rPr>
        <w:t>de référence permettant de se faire une idée de l’</w:t>
      </w:r>
      <w:r w:rsidR="005351FE">
        <w:rPr>
          <w:lang w:val="fr-FR"/>
        </w:rPr>
        <w:t>ampleur et de la portée</w:t>
      </w:r>
      <w:r w:rsidRPr="005331B9">
        <w:rPr>
          <w:lang w:val="fr-FR"/>
        </w:rPr>
        <w:t xml:space="preserve"> d’une catastrophe future</w:t>
      </w:r>
      <w:r>
        <w:rPr>
          <w:lang w:val="fr-FR"/>
        </w:rPr>
        <w:t>. Elles constituent également les informations à partir desquelles les scénarios seront élaborés. La collecte de</w:t>
      </w:r>
      <w:r w:rsidR="000C4D1F">
        <w:rPr>
          <w:lang w:val="fr-FR"/>
        </w:rPr>
        <w:t>s données de référence permet</w:t>
      </w:r>
      <w:r>
        <w:rPr>
          <w:lang w:val="fr-FR"/>
        </w:rPr>
        <w:t xml:space="preserve"> </w:t>
      </w:r>
      <w:r w:rsidR="000C4D1F">
        <w:rPr>
          <w:lang w:val="fr-FR"/>
        </w:rPr>
        <w:t>d’étayer</w:t>
      </w:r>
      <w:r>
        <w:rPr>
          <w:lang w:val="fr-FR"/>
        </w:rPr>
        <w:t xml:space="preserve"> l’analyse du contexte </w:t>
      </w:r>
      <w:r w:rsidR="000C4D1F">
        <w:rPr>
          <w:lang w:val="fr-FR"/>
        </w:rPr>
        <w:t>par</w:t>
      </w:r>
      <w:r>
        <w:rPr>
          <w:lang w:val="fr-FR"/>
        </w:rPr>
        <w:t xml:space="preserve"> des informations sur le</w:t>
      </w:r>
      <w:r w:rsidR="000C4D1F">
        <w:rPr>
          <w:lang w:val="fr-FR"/>
        </w:rPr>
        <w:t>s éléments</w:t>
      </w:r>
      <w:r>
        <w:rPr>
          <w:lang w:val="fr-FR"/>
        </w:rPr>
        <w:t xml:space="preserve"> </w:t>
      </w:r>
      <w:r w:rsidR="000C4D1F">
        <w:rPr>
          <w:lang w:val="fr-FR"/>
        </w:rPr>
        <w:t>externes, tels que</w:t>
      </w:r>
      <w:r>
        <w:rPr>
          <w:lang w:val="fr-FR"/>
        </w:rPr>
        <w:t xml:space="preserve"> les programmes et les politiques du gouvernement ; les besoins </w:t>
      </w:r>
      <w:r w:rsidR="000C4D1F">
        <w:rPr>
          <w:lang w:val="fr-FR"/>
        </w:rPr>
        <w:t>et l’accès des communautés et des ménages, l’</w:t>
      </w:r>
      <w:r>
        <w:rPr>
          <w:lang w:val="fr-FR"/>
        </w:rPr>
        <w:t>utilisation des subventions en espèces</w:t>
      </w:r>
      <w:r w:rsidR="000C4D1F">
        <w:rPr>
          <w:lang w:val="fr-FR"/>
        </w:rPr>
        <w:t xml:space="preserve"> et le</w:t>
      </w:r>
      <w:r w:rsidR="003F60E0">
        <w:rPr>
          <w:lang w:val="fr-FR"/>
        </w:rPr>
        <w:t xml:space="preserve">s préférences </w:t>
      </w:r>
      <w:r w:rsidR="000C4D1F">
        <w:rPr>
          <w:lang w:val="fr-FR"/>
        </w:rPr>
        <w:t xml:space="preserve">des bénéficiaires </w:t>
      </w:r>
      <w:r w:rsidR="003F60E0">
        <w:rPr>
          <w:lang w:val="fr-FR"/>
        </w:rPr>
        <w:t xml:space="preserve">concernant les </w:t>
      </w:r>
      <w:r w:rsidR="000C4D1F">
        <w:rPr>
          <w:lang w:val="fr-FR"/>
        </w:rPr>
        <w:t xml:space="preserve">modalités de </w:t>
      </w:r>
      <w:r w:rsidR="003F60E0">
        <w:rPr>
          <w:lang w:val="fr-FR"/>
        </w:rPr>
        <w:t>transferts monétaires</w:t>
      </w:r>
      <w:r>
        <w:rPr>
          <w:lang w:val="fr-FR"/>
        </w:rPr>
        <w:t> ; les capacités des marchés et des prestataires de services ; et les risques liés aux transferts monétaires. Des informations de première main devront être recueillies afin de combler les lacunes existantes et de répondre aux questions en suspens.</w:t>
      </w:r>
    </w:p>
    <w:p w:rsidR="00F37EC0" w:rsidRDefault="00F37EC0" w:rsidP="00531359">
      <w:pPr>
        <w:rPr>
          <w:lang w:val="fr-FR"/>
        </w:rPr>
      </w:pPr>
      <w:r>
        <w:rPr>
          <w:lang w:val="fr-FR"/>
        </w:rPr>
        <w:t xml:space="preserve">L’élaboration et l’analyse de scénarios doivent se fonder sur différentes hypothèses </w:t>
      </w:r>
      <w:r w:rsidR="00531359">
        <w:rPr>
          <w:lang w:val="fr-FR"/>
        </w:rPr>
        <w:t>portant sur</w:t>
      </w:r>
      <w:r>
        <w:rPr>
          <w:lang w:val="fr-FR"/>
        </w:rPr>
        <w:t xml:space="preserve"> la survenue d’une situation d’urgence et </w:t>
      </w:r>
      <w:r w:rsidR="00855468">
        <w:rPr>
          <w:lang w:val="fr-FR"/>
        </w:rPr>
        <w:t xml:space="preserve">la manière dont elle peut évoluer du fait </w:t>
      </w:r>
      <w:r>
        <w:rPr>
          <w:lang w:val="fr-FR"/>
        </w:rPr>
        <w:t>de facteurs ou d’événements déclencheurs, tels que des conflits, des catastrophes, etc. Tout scénario doit inclure les aspects suivants</w:t>
      </w:r>
      <w:r w:rsidR="003F60E0">
        <w:rPr>
          <w:lang w:val="fr-FR"/>
        </w:rPr>
        <w:t> : le degré de probabilité et la</w:t>
      </w:r>
      <w:r>
        <w:rPr>
          <w:lang w:val="fr-FR"/>
        </w:rPr>
        <w:t xml:space="preserve"> gravité potentielle</w:t>
      </w:r>
      <w:r w:rsidR="00BF1029">
        <w:rPr>
          <w:lang w:val="fr-FR"/>
        </w:rPr>
        <w:t xml:space="preserve"> de la situation d’urgence</w:t>
      </w:r>
      <w:r>
        <w:rPr>
          <w:lang w:val="fr-FR"/>
        </w:rPr>
        <w:t xml:space="preserve">; les éléments déclencheurs et les hypothèses ; l’impact potentiel ; et les besoins humanitaires et les obstacles opérationnels </w:t>
      </w:r>
      <w:r w:rsidR="00BF1029">
        <w:rPr>
          <w:lang w:val="fr-FR"/>
        </w:rPr>
        <w:t>qui pourraient en découler</w:t>
      </w:r>
      <w:r w:rsidR="003F60E0">
        <w:rPr>
          <w:lang w:val="fr-FR"/>
        </w:rPr>
        <w:t>. Le scénario</w:t>
      </w:r>
      <w:r>
        <w:rPr>
          <w:lang w:val="fr-FR"/>
        </w:rPr>
        <w:t xml:space="preserve"> doit également donner un premier aperçu des </w:t>
      </w:r>
      <w:r w:rsidR="003D06C6">
        <w:rPr>
          <w:lang w:val="fr-FR"/>
        </w:rPr>
        <w:t>solutions d’intervention</w:t>
      </w:r>
      <w:r>
        <w:rPr>
          <w:lang w:val="fr-FR"/>
        </w:rPr>
        <w:t xml:space="preserve"> (modalités et mécanismes) et de leur </w:t>
      </w:r>
      <w:r w:rsidR="003D06C6">
        <w:rPr>
          <w:lang w:val="fr-FR"/>
        </w:rPr>
        <w:t>portée</w:t>
      </w:r>
      <w:r>
        <w:rPr>
          <w:lang w:val="fr-FR"/>
        </w:rPr>
        <w:t>.</w:t>
      </w:r>
      <w:r w:rsidR="00F75866">
        <w:rPr>
          <w:lang w:val="fr-FR"/>
        </w:rPr>
        <w:t xml:space="preserve"> </w:t>
      </w:r>
    </w:p>
    <w:p w:rsidR="00F37EC0" w:rsidRDefault="00552E4E" w:rsidP="00497C97">
      <w:pPr>
        <w:rPr>
          <w:lang w:val="fr-FR"/>
        </w:rPr>
      </w:pPr>
      <w:r>
        <w:rPr>
          <w:lang w:val="fr-FR"/>
        </w:rPr>
        <w:t>Les principaux responsables des départements clés (gestion des catastrophes, santé, logistique, finances, renforcement des sections, etc.) doivent être associés à l</w:t>
      </w:r>
      <w:r w:rsidR="00F37EC0">
        <w:rPr>
          <w:lang w:val="fr-FR"/>
        </w:rPr>
        <w:t xml:space="preserve">’analyse des lacunes en matière de préparation. Leur participation peut être favorisée </w:t>
      </w:r>
      <w:r w:rsidR="003F60E0">
        <w:rPr>
          <w:lang w:val="fr-FR"/>
        </w:rPr>
        <w:t>par le biais</w:t>
      </w:r>
      <w:r w:rsidR="00F37EC0">
        <w:rPr>
          <w:lang w:val="fr-FR"/>
        </w:rPr>
        <w:t xml:space="preserve"> </w:t>
      </w:r>
      <w:r w:rsidR="003F60E0">
        <w:rPr>
          <w:lang w:val="fr-FR"/>
        </w:rPr>
        <w:t>d’</w:t>
      </w:r>
      <w:r w:rsidR="00F37EC0">
        <w:rPr>
          <w:lang w:val="fr-FR"/>
        </w:rPr>
        <w:t>act</w:t>
      </w:r>
      <w:r w:rsidR="00497C97">
        <w:rPr>
          <w:lang w:val="fr-FR"/>
        </w:rPr>
        <w:t>ivités de sensibilisation menées</w:t>
      </w:r>
      <w:r w:rsidR="00F37EC0">
        <w:rPr>
          <w:lang w:val="fr-FR"/>
        </w:rPr>
        <w:t xml:space="preserve"> dès le début de l’étape de préparation. L’organisation d’un premier atelier peut contribuer à cet effort et </w:t>
      </w:r>
      <w:r w:rsidR="00497C97">
        <w:rPr>
          <w:lang w:val="fr-FR"/>
        </w:rPr>
        <w:t>mettre</w:t>
      </w:r>
      <w:r w:rsidR="00F37EC0">
        <w:rPr>
          <w:lang w:val="fr-FR"/>
        </w:rPr>
        <w:t xml:space="preserve"> l’organisation à</w:t>
      </w:r>
      <w:r w:rsidR="00497C97">
        <w:rPr>
          <w:lang w:val="fr-FR"/>
        </w:rPr>
        <w:t xml:space="preserve"> même d’</w:t>
      </w:r>
      <w:r w:rsidR="00F37EC0">
        <w:rPr>
          <w:lang w:val="fr-FR"/>
        </w:rPr>
        <w:t xml:space="preserve">effectuer </w:t>
      </w:r>
      <w:r w:rsidR="00497C97">
        <w:rPr>
          <w:lang w:val="fr-FR"/>
        </w:rPr>
        <w:t>cette analyse</w:t>
      </w:r>
      <w:r w:rsidR="00F37EC0">
        <w:rPr>
          <w:lang w:val="fr-FR"/>
        </w:rPr>
        <w:t xml:space="preserve">, </w:t>
      </w:r>
      <w:r w:rsidR="00497C97">
        <w:rPr>
          <w:lang w:val="fr-FR"/>
        </w:rPr>
        <w:t>d’</w:t>
      </w:r>
      <w:r w:rsidR="00F37EC0">
        <w:rPr>
          <w:lang w:val="fr-FR"/>
        </w:rPr>
        <w:t xml:space="preserve">évaluer sa préparation opérationnelle aux </w:t>
      </w:r>
      <w:r w:rsidR="00497C97">
        <w:rPr>
          <w:lang w:val="fr-FR"/>
        </w:rPr>
        <w:t>PTM</w:t>
      </w:r>
      <w:r w:rsidR="00F37EC0">
        <w:rPr>
          <w:lang w:val="fr-FR"/>
        </w:rPr>
        <w:t xml:space="preserve"> et </w:t>
      </w:r>
      <w:r w:rsidR="00497C97">
        <w:rPr>
          <w:lang w:val="fr-FR"/>
        </w:rPr>
        <w:t>de</w:t>
      </w:r>
      <w:r w:rsidR="00F37EC0">
        <w:rPr>
          <w:lang w:val="fr-FR"/>
        </w:rPr>
        <w:t xml:space="preserve"> déterminer les domaines </w:t>
      </w:r>
      <w:r w:rsidR="00497C97">
        <w:rPr>
          <w:lang w:val="fr-FR"/>
        </w:rPr>
        <w:t>d’amélioration</w:t>
      </w:r>
      <w:r w:rsidR="00F37EC0">
        <w:rPr>
          <w:lang w:val="fr-FR"/>
        </w:rPr>
        <w:t xml:space="preserve"> prioritaires. </w:t>
      </w:r>
      <w:r w:rsidR="00497C97">
        <w:rPr>
          <w:lang w:val="fr-FR"/>
        </w:rPr>
        <w:t>Cet</w:t>
      </w:r>
      <w:r w:rsidR="00F37EC0">
        <w:rPr>
          <w:lang w:val="fr-FR"/>
        </w:rPr>
        <w:t xml:space="preserve"> atelier</w:t>
      </w:r>
      <w:r w:rsidR="00497C97">
        <w:rPr>
          <w:lang w:val="fr-FR"/>
        </w:rPr>
        <w:t xml:space="preserve">, qui rassemblera tous les départements concernés, peut prendre la forme d’une </w:t>
      </w:r>
      <w:r w:rsidR="00F37EC0">
        <w:rPr>
          <w:lang w:val="fr-FR"/>
        </w:rPr>
        <w:t xml:space="preserve">autoévaluation. </w:t>
      </w:r>
    </w:p>
    <w:p w:rsidR="00F37EC0" w:rsidRPr="00143042" w:rsidRDefault="00F37EC0" w:rsidP="00F37EC0">
      <w:pPr>
        <w:pStyle w:val="Heading2"/>
        <w:rPr>
          <w:lang w:val="fr-FR"/>
        </w:rPr>
      </w:pPr>
      <w:r>
        <w:rPr>
          <w:lang w:val="fr-FR"/>
        </w:rPr>
        <w:lastRenderedPageBreak/>
        <w:t xml:space="preserve">Étape </w:t>
      </w:r>
      <w:r w:rsidRPr="00143042">
        <w:rPr>
          <w:lang w:val="fr-FR"/>
        </w:rPr>
        <w:t xml:space="preserve">2. </w:t>
      </w:r>
      <w:r>
        <w:rPr>
          <w:lang w:val="fr-FR"/>
        </w:rPr>
        <w:t>Élaboration et mise en œuvre</w:t>
      </w:r>
      <w:r w:rsidR="00F75866">
        <w:rPr>
          <w:lang w:val="fr-FR"/>
        </w:rPr>
        <w:t xml:space="preserve"> </w:t>
      </w:r>
    </w:p>
    <w:p w:rsidR="00D7145F" w:rsidRDefault="00D7145F" w:rsidP="00667EC7">
      <w:pPr>
        <w:rPr>
          <w:lang w:val="fr-FR"/>
        </w:rPr>
      </w:pPr>
      <w:r>
        <w:rPr>
          <w:lang w:val="fr-FR"/>
        </w:rPr>
        <w:t xml:space="preserve">L’étape 2 est consacrée aux processus </w:t>
      </w:r>
      <w:r w:rsidR="00667EC7">
        <w:rPr>
          <w:lang w:val="fr-FR"/>
        </w:rPr>
        <w:t>consistant</w:t>
      </w:r>
      <w:r>
        <w:rPr>
          <w:lang w:val="fr-FR"/>
        </w:rPr>
        <w:t xml:space="preserve"> </w:t>
      </w:r>
      <w:r w:rsidR="00005E03">
        <w:rPr>
          <w:lang w:val="fr-FR"/>
        </w:rPr>
        <w:t xml:space="preserve">à définir les conditions internes minimales nécessaires au renforcement de la préparation aux </w:t>
      </w:r>
      <w:r w:rsidR="00667EC7">
        <w:rPr>
          <w:lang w:val="fr-FR"/>
        </w:rPr>
        <w:t>PTM</w:t>
      </w:r>
      <w:r w:rsidR="00005E03">
        <w:rPr>
          <w:lang w:val="fr-FR"/>
        </w:rPr>
        <w:t xml:space="preserve">, à </w:t>
      </w:r>
      <w:r w:rsidR="003F60E0">
        <w:rPr>
          <w:lang w:val="fr-FR"/>
        </w:rPr>
        <w:t xml:space="preserve">intégrer </w:t>
      </w:r>
      <w:r w:rsidR="00667EC7">
        <w:rPr>
          <w:lang w:val="fr-FR"/>
        </w:rPr>
        <w:t>les PTM</w:t>
      </w:r>
      <w:r w:rsidR="00005E03">
        <w:rPr>
          <w:lang w:val="fr-FR"/>
        </w:rPr>
        <w:t xml:space="preserve"> dans les </w:t>
      </w:r>
      <w:r w:rsidR="00667EC7">
        <w:rPr>
          <w:lang w:val="fr-FR"/>
        </w:rPr>
        <w:t>activités</w:t>
      </w:r>
      <w:r w:rsidR="00005E03">
        <w:rPr>
          <w:lang w:val="fr-FR"/>
        </w:rPr>
        <w:t xml:space="preserve"> clés et à </w:t>
      </w:r>
      <w:r w:rsidR="003F60E0">
        <w:rPr>
          <w:lang w:val="fr-FR"/>
        </w:rPr>
        <w:t>mettre en œuvre le</w:t>
      </w:r>
      <w:r w:rsidR="00005E03">
        <w:rPr>
          <w:lang w:val="fr-FR"/>
        </w:rPr>
        <w:t xml:space="preserve"> plan d’action pour la préparation aux </w:t>
      </w:r>
      <w:r w:rsidR="00667EC7">
        <w:rPr>
          <w:lang w:val="fr-FR"/>
        </w:rPr>
        <w:t>PTM</w:t>
      </w:r>
      <w:r w:rsidR="00005E03">
        <w:rPr>
          <w:lang w:val="fr-FR"/>
        </w:rPr>
        <w:t>.</w:t>
      </w:r>
    </w:p>
    <w:p w:rsidR="00005E03" w:rsidRDefault="00005E03" w:rsidP="00340B33">
      <w:pPr>
        <w:rPr>
          <w:rFonts w:cs="Times"/>
          <w:lang w:val="fr-FR"/>
        </w:rPr>
      </w:pPr>
      <w:r>
        <w:rPr>
          <w:lang w:val="fr-FR"/>
        </w:rPr>
        <w:t xml:space="preserve">Une fois que l’organisation a </w:t>
      </w:r>
      <w:r w:rsidR="001762E3">
        <w:rPr>
          <w:lang w:val="fr-FR"/>
        </w:rPr>
        <w:t>pris la décision</w:t>
      </w:r>
      <w:r>
        <w:rPr>
          <w:lang w:val="fr-FR"/>
        </w:rPr>
        <w:t xml:space="preserve"> de renforcer sa préparation aux </w:t>
      </w:r>
      <w:r w:rsidR="001762E3">
        <w:rPr>
          <w:lang w:val="fr-FR"/>
        </w:rPr>
        <w:t>PTM</w:t>
      </w:r>
      <w:r>
        <w:rPr>
          <w:lang w:val="fr-FR"/>
        </w:rPr>
        <w:t xml:space="preserve">, un coordonnateur doit être nommé et un groupe de travail technique doit être créé. Le coordonnateur et le groupe de travail travailleront </w:t>
      </w:r>
      <w:r w:rsidR="003F60E0">
        <w:rPr>
          <w:lang w:val="fr-FR"/>
        </w:rPr>
        <w:t>en collaboration</w:t>
      </w:r>
      <w:r>
        <w:rPr>
          <w:lang w:val="fr-FR"/>
        </w:rPr>
        <w:t xml:space="preserve"> afin de définir un plan d’action </w:t>
      </w:r>
      <w:r w:rsidR="00340B33">
        <w:rPr>
          <w:lang w:val="fr-FR"/>
        </w:rPr>
        <w:t>visant à renforcer l</w:t>
      </w:r>
      <w:r>
        <w:rPr>
          <w:lang w:val="fr-FR"/>
        </w:rPr>
        <w:t>es capacités</w:t>
      </w:r>
      <w:r w:rsidR="00340B33">
        <w:rPr>
          <w:lang w:val="fr-FR"/>
        </w:rPr>
        <w:t xml:space="preserve"> de l’organisation</w:t>
      </w:r>
      <w:r>
        <w:rPr>
          <w:lang w:val="fr-FR"/>
        </w:rPr>
        <w:t xml:space="preserve"> </w:t>
      </w:r>
      <w:r w:rsidR="001762E3">
        <w:rPr>
          <w:lang w:val="fr-FR"/>
        </w:rPr>
        <w:t>de</w:t>
      </w:r>
      <w:r>
        <w:rPr>
          <w:lang w:val="fr-FR"/>
        </w:rPr>
        <w:t xml:space="preserve"> mettre en œuvre des </w:t>
      </w:r>
      <w:r w:rsidR="00340B33">
        <w:rPr>
          <w:lang w:val="fr-FR"/>
        </w:rPr>
        <w:t>PTM</w:t>
      </w:r>
      <w:r>
        <w:rPr>
          <w:lang w:val="fr-FR"/>
        </w:rPr>
        <w:t xml:space="preserve"> à grande échelle et</w:t>
      </w:r>
      <w:bookmarkStart w:id="0" w:name="_GoBack"/>
      <w:bookmarkEnd w:id="0"/>
      <w:r>
        <w:rPr>
          <w:lang w:val="fr-FR"/>
        </w:rPr>
        <w:t xml:space="preserve"> en temps voulu</w:t>
      </w:r>
      <w:r w:rsidR="001762E3">
        <w:rPr>
          <w:lang w:val="fr-FR"/>
        </w:rPr>
        <w:t xml:space="preserve"> dans les situations d’urgence</w:t>
      </w:r>
      <w:r>
        <w:rPr>
          <w:lang w:val="fr-FR"/>
        </w:rPr>
        <w:t>.</w:t>
      </w:r>
      <w:r w:rsidR="00340B33">
        <w:rPr>
          <w:lang w:val="fr-FR"/>
        </w:rPr>
        <w:t xml:space="preserve"> Le plan d’action doit inclure</w:t>
      </w:r>
      <w:r>
        <w:rPr>
          <w:lang w:val="fr-FR"/>
        </w:rPr>
        <w:t xml:space="preserve"> les activités, les résultats, les indicateurs, les responsabili</w:t>
      </w:r>
      <w:r w:rsidR="001762E3">
        <w:rPr>
          <w:lang w:val="fr-FR"/>
        </w:rPr>
        <w:t>tés, le calendrier et le budget.</w:t>
      </w:r>
      <w:r>
        <w:rPr>
          <w:lang w:val="fr-FR"/>
        </w:rPr>
        <w:t xml:space="preserve"> Le groupe de travail </w:t>
      </w:r>
      <w:r w:rsidR="00C44A1E">
        <w:rPr>
          <w:lang w:val="fr-FR"/>
        </w:rPr>
        <w:t xml:space="preserve">doit veiller à ce que les procédures opérationnelles normalisées </w:t>
      </w:r>
      <w:r w:rsidR="00F75866">
        <w:rPr>
          <w:lang w:val="fr-FR"/>
        </w:rPr>
        <w:t>en matière de transferts monétaires</w:t>
      </w:r>
      <w:r w:rsidR="00C44A1E">
        <w:rPr>
          <w:lang w:val="fr-FR"/>
        </w:rPr>
        <w:t xml:space="preserve"> soient définies et foncti</w:t>
      </w:r>
      <w:r w:rsidR="00F75866">
        <w:rPr>
          <w:lang w:val="fr-FR"/>
        </w:rPr>
        <w:t xml:space="preserve">onnelles, et s’assurer que les </w:t>
      </w:r>
      <w:r w:rsidR="00095734">
        <w:rPr>
          <w:lang w:val="fr-FR"/>
        </w:rPr>
        <w:t>PTM</w:t>
      </w:r>
      <w:r w:rsidR="00C44A1E">
        <w:rPr>
          <w:lang w:val="fr-FR"/>
        </w:rPr>
        <w:t xml:space="preserve"> soient intégrés à tous les niveaux, en particulier dans les</w:t>
      </w:r>
      <w:r w:rsidR="00C44A1E">
        <w:rPr>
          <w:rFonts w:cs="Times"/>
          <w:lang w:val="fr-FR"/>
        </w:rPr>
        <w:t xml:space="preserve"> systèmes de gestion des ressources humaines, </w:t>
      </w:r>
      <w:r w:rsidR="00095734">
        <w:rPr>
          <w:rFonts w:cs="Times"/>
          <w:lang w:val="fr-FR"/>
        </w:rPr>
        <w:t>de gestion financière</w:t>
      </w:r>
      <w:r w:rsidR="00C44A1E">
        <w:rPr>
          <w:rFonts w:cs="Times"/>
          <w:lang w:val="fr-FR"/>
        </w:rPr>
        <w:t>, de suivi et d’évaluation</w:t>
      </w:r>
      <w:r w:rsidR="00095734">
        <w:rPr>
          <w:rFonts w:cs="Times"/>
          <w:lang w:val="fr-FR"/>
        </w:rPr>
        <w:t>,</w:t>
      </w:r>
      <w:r w:rsidR="00C44A1E">
        <w:rPr>
          <w:rFonts w:cs="Times"/>
          <w:lang w:val="fr-FR"/>
        </w:rPr>
        <w:t xml:space="preserve"> et de mobilisation des ressources.</w:t>
      </w:r>
    </w:p>
    <w:p w:rsidR="00C903D1" w:rsidRDefault="00C903D1" w:rsidP="00340B33">
      <w:pPr>
        <w:rPr>
          <w:lang w:val="fr-FR"/>
        </w:rPr>
      </w:pPr>
      <w:r>
        <w:rPr>
          <w:rFonts w:cs="Times"/>
          <w:lang w:val="fr-FR"/>
        </w:rPr>
        <w:t xml:space="preserve">La mise en œuvre du plan d’action pour la préparation aux </w:t>
      </w:r>
      <w:r w:rsidR="00095734">
        <w:rPr>
          <w:rFonts w:cs="Times"/>
          <w:lang w:val="fr-FR"/>
        </w:rPr>
        <w:t>PTM</w:t>
      </w:r>
      <w:r>
        <w:rPr>
          <w:rFonts w:cs="Times"/>
          <w:lang w:val="fr-FR"/>
        </w:rPr>
        <w:t xml:space="preserve"> doit inclure des simulations et/ou des projets pilotes, qui permettront d’évaluer la préparation opérationnelle de </w:t>
      </w:r>
      <w:r w:rsidR="00340B33">
        <w:rPr>
          <w:rFonts w:cs="Times"/>
          <w:lang w:val="fr-FR"/>
        </w:rPr>
        <w:t>l’organisation</w:t>
      </w:r>
      <w:r>
        <w:rPr>
          <w:rFonts w:cs="Times"/>
          <w:lang w:val="fr-FR"/>
        </w:rPr>
        <w:t xml:space="preserve"> </w:t>
      </w:r>
      <w:r w:rsidR="00146D0C">
        <w:rPr>
          <w:rFonts w:cs="Times"/>
          <w:lang w:val="fr-FR"/>
        </w:rPr>
        <w:t>ainsi que</w:t>
      </w:r>
      <w:r>
        <w:rPr>
          <w:rFonts w:cs="Times"/>
          <w:lang w:val="fr-FR"/>
        </w:rPr>
        <w:t xml:space="preserve"> les résultats obtenus, </w:t>
      </w:r>
      <w:r w:rsidR="00F75866">
        <w:rPr>
          <w:rFonts w:cs="Times"/>
          <w:lang w:val="fr-FR"/>
        </w:rPr>
        <w:t>et de</w:t>
      </w:r>
      <w:r>
        <w:rPr>
          <w:rFonts w:cs="Times"/>
          <w:lang w:val="fr-FR"/>
        </w:rPr>
        <w:t xml:space="preserve"> les améliorer. La prépa</w:t>
      </w:r>
      <w:r w:rsidR="00F75866">
        <w:rPr>
          <w:rFonts w:cs="Times"/>
          <w:lang w:val="fr-FR"/>
        </w:rPr>
        <w:t xml:space="preserve">ration aux </w:t>
      </w:r>
      <w:r w:rsidR="00095734">
        <w:rPr>
          <w:rFonts w:cs="Times"/>
          <w:lang w:val="fr-FR"/>
        </w:rPr>
        <w:t>PTM</w:t>
      </w:r>
      <w:r>
        <w:rPr>
          <w:rFonts w:cs="Times"/>
          <w:lang w:val="fr-FR"/>
        </w:rPr>
        <w:t xml:space="preserve"> repose sur différents niveaux de coordination interne et externe, notamment entre les départements</w:t>
      </w:r>
      <w:r w:rsidR="00F75866">
        <w:rPr>
          <w:rFonts w:cs="Times"/>
          <w:lang w:val="fr-FR"/>
        </w:rPr>
        <w:t xml:space="preserve"> et</w:t>
      </w:r>
      <w:r w:rsidR="00095734">
        <w:rPr>
          <w:rFonts w:cs="Times"/>
          <w:lang w:val="fr-FR"/>
        </w:rPr>
        <w:t xml:space="preserve"> le personnel</w:t>
      </w:r>
      <w:r>
        <w:rPr>
          <w:rFonts w:cs="Times"/>
          <w:lang w:val="fr-FR"/>
        </w:rPr>
        <w:t xml:space="preserve">, entre le siège et les sections touchées ou ciblées, et entre la Société nationale hôte, le Mouvement, les </w:t>
      </w:r>
      <w:r w:rsidR="00340B33">
        <w:rPr>
          <w:rFonts w:cs="Times"/>
          <w:lang w:val="fr-FR"/>
        </w:rPr>
        <w:t>autorités à tous les niveaux</w:t>
      </w:r>
      <w:r>
        <w:rPr>
          <w:rFonts w:cs="Times"/>
          <w:lang w:val="fr-FR"/>
        </w:rPr>
        <w:t xml:space="preserve">, d’autres organismes humanitaires, les donateurs et le secteur privé. Enfin, les communications relatives aux </w:t>
      </w:r>
      <w:r w:rsidR="00095734">
        <w:rPr>
          <w:rFonts w:cs="Times"/>
          <w:lang w:val="fr-FR"/>
        </w:rPr>
        <w:t>PTM</w:t>
      </w:r>
      <w:r>
        <w:rPr>
          <w:rFonts w:cs="Times"/>
          <w:lang w:val="fr-FR"/>
        </w:rPr>
        <w:t xml:space="preserve"> doivent être intégrées dans les stratégies et les plans ordinaires de communication. </w:t>
      </w:r>
    </w:p>
    <w:p w:rsidR="00F37EC0" w:rsidRPr="00143042" w:rsidRDefault="00F37EC0" w:rsidP="00F37EC0">
      <w:pPr>
        <w:pStyle w:val="Heading2"/>
        <w:rPr>
          <w:w w:val="102"/>
          <w:lang w:val="fr-FR"/>
        </w:rPr>
      </w:pPr>
      <w:r>
        <w:rPr>
          <w:w w:val="102"/>
          <w:lang w:val="fr-FR"/>
        </w:rPr>
        <w:t>Étape</w:t>
      </w:r>
      <w:r w:rsidRPr="00143042">
        <w:rPr>
          <w:w w:val="102"/>
          <w:lang w:val="fr-FR"/>
        </w:rPr>
        <w:t xml:space="preserve"> 3. </w:t>
      </w:r>
      <w:r>
        <w:rPr>
          <w:w w:val="102"/>
          <w:lang w:val="fr-FR"/>
        </w:rPr>
        <w:t>examen, enseignements et amÉlioration</w:t>
      </w:r>
    </w:p>
    <w:p w:rsidR="00C44A1E" w:rsidRDefault="00C44A1E" w:rsidP="00951321">
      <w:pPr>
        <w:rPr>
          <w:lang w:val="fr-FR"/>
        </w:rPr>
      </w:pPr>
      <w:r>
        <w:rPr>
          <w:lang w:val="fr-FR"/>
        </w:rPr>
        <w:t xml:space="preserve">L’étape 3 est consacrée aux processus </w:t>
      </w:r>
      <w:r w:rsidR="00951321">
        <w:rPr>
          <w:lang w:val="fr-FR"/>
        </w:rPr>
        <w:t>consistant</w:t>
      </w:r>
      <w:r>
        <w:rPr>
          <w:lang w:val="fr-FR"/>
        </w:rPr>
        <w:t xml:space="preserve"> à évaluer la préparation aux </w:t>
      </w:r>
      <w:r w:rsidR="00951321">
        <w:rPr>
          <w:lang w:val="fr-FR"/>
        </w:rPr>
        <w:t>PTM</w:t>
      </w:r>
      <w:r>
        <w:rPr>
          <w:lang w:val="fr-FR"/>
        </w:rPr>
        <w:t>, à examiner les opérations de transferts monétaires, et enfin</w:t>
      </w:r>
      <w:r w:rsidR="00F75866">
        <w:rPr>
          <w:lang w:val="fr-FR"/>
        </w:rPr>
        <w:t>,</w:t>
      </w:r>
      <w:r>
        <w:rPr>
          <w:lang w:val="fr-FR"/>
        </w:rPr>
        <w:t xml:space="preserve"> à </w:t>
      </w:r>
      <w:r w:rsidR="00F75866">
        <w:rPr>
          <w:lang w:val="fr-FR"/>
        </w:rPr>
        <w:t>consigner</w:t>
      </w:r>
      <w:r w:rsidR="007D4E3D">
        <w:rPr>
          <w:lang w:val="fr-FR"/>
        </w:rPr>
        <w:t xml:space="preserve"> et à </w:t>
      </w:r>
      <w:r w:rsidR="00951321">
        <w:rPr>
          <w:lang w:val="fr-FR"/>
        </w:rPr>
        <w:t>diffuser</w:t>
      </w:r>
      <w:r w:rsidR="007D4E3D">
        <w:rPr>
          <w:lang w:val="fr-FR"/>
        </w:rPr>
        <w:t xml:space="preserve"> les enseignements tirés du processus de préparation aux </w:t>
      </w:r>
      <w:r w:rsidR="00951321">
        <w:rPr>
          <w:lang w:val="fr-FR"/>
        </w:rPr>
        <w:t>PTM</w:t>
      </w:r>
      <w:r w:rsidR="007D4E3D">
        <w:rPr>
          <w:lang w:val="fr-FR"/>
        </w:rPr>
        <w:t xml:space="preserve">. </w:t>
      </w:r>
    </w:p>
    <w:p w:rsidR="007D4E3D" w:rsidRDefault="00F75866" w:rsidP="000F7ED5">
      <w:pPr>
        <w:rPr>
          <w:lang w:val="fr-FR"/>
        </w:rPr>
      </w:pPr>
      <w:r>
        <w:rPr>
          <w:lang w:val="fr-FR"/>
        </w:rPr>
        <w:t xml:space="preserve">Le coordonnateur des </w:t>
      </w:r>
      <w:r w:rsidR="00951321">
        <w:rPr>
          <w:lang w:val="fr-FR"/>
        </w:rPr>
        <w:t>PTM</w:t>
      </w:r>
      <w:r w:rsidR="007D4E3D">
        <w:rPr>
          <w:lang w:val="fr-FR"/>
        </w:rPr>
        <w:t xml:space="preserve"> et le groupe de travail technique </w:t>
      </w:r>
      <w:r>
        <w:rPr>
          <w:lang w:val="fr-FR"/>
        </w:rPr>
        <w:t>devront diriger la</w:t>
      </w:r>
      <w:r w:rsidR="007D4E3D">
        <w:rPr>
          <w:lang w:val="fr-FR"/>
        </w:rPr>
        <w:t xml:space="preserve"> </w:t>
      </w:r>
      <w:r>
        <w:rPr>
          <w:lang w:val="fr-FR"/>
        </w:rPr>
        <w:t>mise</w:t>
      </w:r>
      <w:r w:rsidR="007D4E3D">
        <w:rPr>
          <w:lang w:val="fr-FR"/>
        </w:rPr>
        <w:t xml:space="preserve"> en place </w:t>
      </w:r>
      <w:r>
        <w:rPr>
          <w:lang w:val="fr-FR"/>
        </w:rPr>
        <w:t>d’</w:t>
      </w:r>
      <w:r w:rsidR="007D4E3D">
        <w:rPr>
          <w:lang w:val="fr-FR"/>
        </w:rPr>
        <w:t>un environnement d’</w:t>
      </w:r>
      <w:r w:rsidR="00937CF5">
        <w:rPr>
          <w:lang w:val="fr-FR"/>
        </w:rPr>
        <w:t xml:space="preserve">apprentissage, </w:t>
      </w:r>
      <w:r w:rsidR="007D4E3D">
        <w:rPr>
          <w:lang w:val="fr-FR"/>
        </w:rPr>
        <w:t xml:space="preserve">collecter des informations </w:t>
      </w:r>
      <w:r w:rsidR="000F7ED5">
        <w:rPr>
          <w:lang w:val="fr-FR"/>
        </w:rPr>
        <w:t>auprès</w:t>
      </w:r>
      <w:r w:rsidR="007D4E3D">
        <w:rPr>
          <w:lang w:val="fr-FR"/>
        </w:rPr>
        <w:t xml:space="preserve"> des </w:t>
      </w:r>
      <w:r w:rsidR="000F7ED5">
        <w:rPr>
          <w:lang w:val="fr-FR"/>
        </w:rPr>
        <w:t>départements</w:t>
      </w:r>
      <w:r w:rsidR="007D4E3D">
        <w:rPr>
          <w:lang w:val="fr-FR"/>
        </w:rPr>
        <w:t xml:space="preserve"> et </w:t>
      </w:r>
      <w:r w:rsidR="00937CF5">
        <w:rPr>
          <w:lang w:val="fr-FR"/>
        </w:rPr>
        <w:t xml:space="preserve">informer les </w:t>
      </w:r>
      <w:r w:rsidR="000F7ED5">
        <w:rPr>
          <w:lang w:val="fr-FR"/>
        </w:rPr>
        <w:t>dirigeants</w:t>
      </w:r>
      <w:r w:rsidR="00937CF5">
        <w:rPr>
          <w:lang w:val="fr-FR"/>
        </w:rPr>
        <w:t xml:space="preserve"> et les partenaires du Mouvement des progrès </w:t>
      </w:r>
      <w:r w:rsidR="000F7ED5">
        <w:rPr>
          <w:lang w:val="fr-FR"/>
        </w:rPr>
        <w:t>réalisés dans la mise en œuvre du</w:t>
      </w:r>
      <w:r w:rsidR="00937CF5">
        <w:rPr>
          <w:lang w:val="fr-FR"/>
        </w:rPr>
        <w:t xml:space="preserve"> plan d’action. L’évaluation du processus de préparation aux </w:t>
      </w:r>
      <w:r w:rsidR="000F7ED5">
        <w:rPr>
          <w:lang w:val="fr-FR"/>
        </w:rPr>
        <w:t>PTM</w:t>
      </w:r>
      <w:r w:rsidR="00937CF5">
        <w:rPr>
          <w:lang w:val="fr-FR"/>
        </w:rPr>
        <w:t xml:space="preserve"> vise à </w:t>
      </w:r>
      <w:r w:rsidR="000F7ED5">
        <w:rPr>
          <w:lang w:val="fr-FR"/>
        </w:rPr>
        <w:t>recenser</w:t>
      </w:r>
      <w:r w:rsidR="00937CF5">
        <w:rPr>
          <w:lang w:val="fr-FR"/>
        </w:rPr>
        <w:t xml:space="preserve"> les principaux résultats </w:t>
      </w:r>
      <w:r w:rsidR="000F7ED5">
        <w:rPr>
          <w:lang w:val="fr-FR"/>
        </w:rPr>
        <w:t>au regard des plans</w:t>
      </w:r>
      <w:r w:rsidR="00937CF5">
        <w:rPr>
          <w:lang w:val="fr-FR"/>
        </w:rPr>
        <w:t xml:space="preserve">, </w:t>
      </w:r>
      <w:r w:rsidR="00A21364">
        <w:rPr>
          <w:lang w:val="fr-FR"/>
        </w:rPr>
        <w:t xml:space="preserve">à </w:t>
      </w:r>
      <w:r w:rsidR="000F7ED5">
        <w:rPr>
          <w:lang w:val="fr-FR"/>
        </w:rPr>
        <w:t>répertorier l</w:t>
      </w:r>
      <w:r>
        <w:rPr>
          <w:lang w:val="fr-FR"/>
        </w:rPr>
        <w:t>es</w:t>
      </w:r>
      <w:r w:rsidR="00A21364">
        <w:rPr>
          <w:lang w:val="fr-FR"/>
        </w:rPr>
        <w:t xml:space="preserve"> bonnes pratiques et à formuler des recommandations en vue d’améliorer les résultats et les processus. </w:t>
      </w:r>
    </w:p>
    <w:p w:rsidR="00F37EC0" w:rsidRPr="00143042" w:rsidRDefault="00F75866" w:rsidP="00340B33">
      <w:pPr>
        <w:rPr>
          <w:lang w:val="fr-FR"/>
        </w:rPr>
      </w:pPr>
      <w:r>
        <w:rPr>
          <w:lang w:val="fr-FR"/>
        </w:rPr>
        <w:t>L</w:t>
      </w:r>
      <w:r w:rsidR="00A21364">
        <w:rPr>
          <w:lang w:val="fr-FR"/>
        </w:rPr>
        <w:t>’</w:t>
      </w:r>
      <w:r>
        <w:rPr>
          <w:lang w:val="fr-FR"/>
        </w:rPr>
        <w:t>examen et les</w:t>
      </w:r>
      <w:r w:rsidR="00A21364">
        <w:rPr>
          <w:lang w:val="fr-FR"/>
        </w:rPr>
        <w:t xml:space="preserve"> enseignements </w:t>
      </w:r>
      <w:r w:rsidR="000F7ED5">
        <w:rPr>
          <w:lang w:val="fr-FR"/>
        </w:rPr>
        <w:t xml:space="preserve">tirés </w:t>
      </w:r>
      <w:r w:rsidR="00A21364">
        <w:rPr>
          <w:lang w:val="fr-FR"/>
        </w:rPr>
        <w:t>doi</w:t>
      </w:r>
      <w:r>
        <w:rPr>
          <w:lang w:val="fr-FR"/>
        </w:rPr>
        <w:t>ven</w:t>
      </w:r>
      <w:r w:rsidR="00A21364">
        <w:rPr>
          <w:lang w:val="fr-FR"/>
        </w:rPr>
        <w:t xml:space="preserve">t faire partie des activités de formation aux </w:t>
      </w:r>
      <w:r w:rsidR="000F7ED5">
        <w:rPr>
          <w:lang w:val="fr-FR"/>
        </w:rPr>
        <w:t>PTM</w:t>
      </w:r>
      <w:r w:rsidR="00A21364">
        <w:rPr>
          <w:lang w:val="fr-FR"/>
        </w:rPr>
        <w:t>,</w:t>
      </w:r>
      <w:r>
        <w:rPr>
          <w:lang w:val="fr-FR"/>
        </w:rPr>
        <w:t xml:space="preserve"> favorisant ainsi</w:t>
      </w:r>
      <w:r w:rsidR="00A21364">
        <w:rPr>
          <w:lang w:val="fr-FR"/>
        </w:rPr>
        <w:t xml:space="preserve"> </w:t>
      </w:r>
      <w:r>
        <w:rPr>
          <w:lang w:val="fr-FR"/>
        </w:rPr>
        <w:t xml:space="preserve">une </w:t>
      </w:r>
      <w:r w:rsidR="00A21364">
        <w:rPr>
          <w:lang w:val="fr-FR"/>
        </w:rPr>
        <w:t xml:space="preserve">approche </w:t>
      </w:r>
      <w:r w:rsidR="000F7ED5">
        <w:rPr>
          <w:lang w:val="fr-FR"/>
        </w:rPr>
        <w:t xml:space="preserve">de la mise en œuvre </w:t>
      </w:r>
      <w:r w:rsidR="00A21364">
        <w:rPr>
          <w:lang w:val="fr-FR"/>
        </w:rPr>
        <w:t>fondée</w:t>
      </w:r>
      <w:r w:rsidR="000F7ED5">
        <w:rPr>
          <w:lang w:val="fr-FR"/>
        </w:rPr>
        <w:t xml:space="preserve"> sur les expériences pratiques</w:t>
      </w:r>
      <w:r w:rsidR="00A21364">
        <w:rPr>
          <w:lang w:val="fr-FR"/>
        </w:rPr>
        <w:t xml:space="preserve">. </w:t>
      </w:r>
      <w:r w:rsidR="000F7ED5">
        <w:rPr>
          <w:lang w:val="fr-FR"/>
        </w:rPr>
        <w:t xml:space="preserve">À l’achèvement </w:t>
      </w:r>
      <w:r w:rsidR="00A21364">
        <w:rPr>
          <w:lang w:val="fr-FR"/>
        </w:rPr>
        <w:t>d’un</w:t>
      </w:r>
      <w:r w:rsidR="00706EC5">
        <w:rPr>
          <w:lang w:val="fr-FR"/>
        </w:rPr>
        <w:t xml:space="preserve"> programme</w:t>
      </w:r>
      <w:r w:rsidR="00A21364">
        <w:rPr>
          <w:lang w:val="fr-FR"/>
        </w:rPr>
        <w:t xml:space="preserve">, une évaluation externe doit </w:t>
      </w:r>
      <w:r>
        <w:rPr>
          <w:lang w:val="fr-FR"/>
        </w:rPr>
        <w:t xml:space="preserve">être </w:t>
      </w:r>
      <w:r w:rsidR="000F7ED5">
        <w:rPr>
          <w:lang w:val="fr-FR"/>
        </w:rPr>
        <w:t xml:space="preserve">réalisée aux fins de recenser de manière systématique et impartiale </w:t>
      </w:r>
      <w:r w:rsidR="00A21364">
        <w:rPr>
          <w:lang w:val="fr-FR"/>
        </w:rPr>
        <w:t xml:space="preserve">les forces </w:t>
      </w:r>
      <w:r>
        <w:rPr>
          <w:lang w:val="fr-FR"/>
        </w:rPr>
        <w:t>et les faiblesses du processus</w:t>
      </w:r>
      <w:r w:rsidR="00A21364">
        <w:rPr>
          <w:lang w:val="fr-FR"/>
        </w:rPr>
        <w:t xml:space="preserve">. Les études de cas menées par des évaluateurs externes </w:t>
      </w:r>
      <w:r w:rsidR="000F7ED5">
        <w:rPr>
          <w:lang w:val="fr-FR"/>
        </w:rPr>
        <w:t>permettent aussi</w:t>
      </w:r>
      <w:r>
        <w:rPr>
          <w:lang w:val="fr-FR"/>
        </w:rPr>
        <w:t xml:space="preserve"> </w:t>
      </w:r>
      <w:r w:rsidR="000F7ED5">
        <w:rPr>
          <w:lang w:val="fr-FR"/>
        </w:rPr>
        <w:t>de</w:t>
      </w:r>
      <w:r w:rsidR="00A21364">
        <w:rPr>
          <w:lang w:val="fr-FR"/>
        </w:rPr>
        <w:t xml:space="preserve"> </w:t>
      </w:r>
      <w:r w:rsidR="000F7ED5">
        <w:rPr>
          <w:lang w:val="fr-FR"/>
        </w:rPr>
        <w:t>mettre en évidence l</w:t>
      </w:r>
      <w:r>
        <w:rPr>
          <w:lang w:val="fr-FR"/>
        </w:rPr>
        <w:t xml:space="preserve">es </w:t>
      </w:r>
      <w:r w:rsidR="00706EC5">
        <w:rPr>
          <w:lang w:val="fr-FR"/>
        </w:rPr>
        <w:t>points forts</w:t>
      </w:r>
      <w:r>
        <w:rPr>
          <w:lang w:val="fr-FR"/>
        </w:rPr>
        <w:t xml:space="preserve">, </w:t>
      </w:r>
      <w:r w:rsidR="000F7ED5">
        <w:rPr>
          <w:lang w:val="fr-FR"/>
        </w:rPr>
        <w:t>l</w:t>
      </w:r>
      <w:r>
        <w:rPr>
          <w:lang w:val="fr-FR"/>
        </w:rPr>
        <w:t xml:space="preserve">es défis et </w:t>
      </w:r>
      <w:r w:rsidR="000F7ED5">
        <w:rPr>
          <w:lang w:val="fr-FR"/>
        </w:rPr>
        <w:t>l</w:t>
      </w:r>
      <w:r w:rsidR="00A21364">
        <w:rPr>
          <w:lang w:val="fr-FR"/>
        </w:rPr>
        <w:t xml:space="preserve">es solutions </w:t>
      </w:r>
      <w:r w:rsidR="00706EC5">
        <w:rPr>
          <w:lang w:val="fr-FR"/>
        </w:rPr>
        <w:t>trouvées</w:t>
      </w:r>
      <w:r>
        <w:rPr>
          <w:lang w:val="fr-FR"/>
        </w:rPr>
        <w:t> ; elles</w:t>
      </w:r>
      <w:r w:rsidR="00A21364">
        <w:rPr>
          <w:lang w:val="fr-FR"/>
        </w:rPr>
        <w:t xml:space="preserve"> peuvent être utilisées à l’appui de la mobilisation des ressources et du renforcement des capacités.</w:t>
      </w:r>
      <w:r>
        <w:rPr>
          <w:lang w:val="fr-FR"/>
        </w:rPr>
        <w:t xml:space="preserve"> </w:t>
      </w:r>
    </w:p>
    <w:p w:rsidR="00946108" w:rsidRPr="00CD73A6" w:rsidRDefault="00A21364" w:rsidP="00553445">
      <w:pPr>
        <w:keepNext/>
        <w:keepLines/>
        <w:rPr>
          <w:lang w:val="fr-FR"/>
        </w:rPr>
      </w:pPr>
      <w:r>
        <w:rPr>
          <w:lang w:val="fr-FR"/>
        </w:rPr>
        <w:t xml:space="preserve">Il est important de consigner et de </w:t>
      </w:r>
      <w:r w:rsidR="00706EC5">
        <w:rPr>
          <w:lang w:val="fr-FR"/>
        </w:rPr>
        <w:t>diffuser</w:t>
      </w:r>
      <w:r>
        <w:rPr>
          <w:lang w:val="fr-FR"/>
        </w:rPr>
        <w:t xml:space="preserve"> les enseignements tirés des </w:t>
      </w:r>
      <w:r w:rsidR="00706EC5">
        <w:rPr>
          <w:lang w:val="fr-FR"/>
        </w:rPr>
        <w:t>activités</w:t>
      </w:r>
      <w:r>
        <w:rPr>
          <w:lang w:val="fr-FR"/>
        </w:rPr>
        <w:t xml:space="preserve"> de préparation aux </w:t>
      </w:r>
      <w:r w:rsidR="00706EC5">
        <w:rPr>
          <w:lang w:val="fr-FR"/>
        </w:rPr>
        <w:t>PTM</w:t>
      </w:r>
      <w:r>
        <w:rPr>
          <w:lang w:val="fr-FR"/>
        </w:rPr>
        <w:t xml:space="preserve">, </w:t>
      </w:r>
      <w:r w:rsidR="00706EC5">
        <w:rPr>
          <w:lang w:val="fr-FR"/>
        </w:rPr>
        <w:t xml:space="preserve">tant </w:t>
      </w:r>
      <w:r>
        <w:rPr>
          <w:lang w:val="fr-FR"/>
        </w:rPr>
        <w:t xml:space="preserve">au niveau interne </w:t>
      </w:r>
      <w:r w:rsidR="00706EC5">
        <w:rPr>
          <w:lang w:val="fr-FR"/>
        </w:rPr>
        <w:t>(</w:t>
      </w:r>
      <w:r>
        <w:rPr>
          <w:lang w:val="fr-FR"/>
        </w:rPr>
        <w:t xml:space="preserve">partenaires </w:t>
      </w:r>
      <w:r w:rsidR="007A6531">
        <w:rPr>
          <w:lang w:val="fr-FR"/>
        </w:rPr>
        <w:t>du Mouvement</w:t>
      </w:r>
      <w:r w:rsidR="00706EC5">
        <w:rPr>
          <w:lang w:val="fr-FR"/>
        </w:rPr>
        <w:t>) qu’</w:t>
      </w:r>
      <w:r w:rsidR="007A6531">
        <w:rPr>
          <w:lang w:val="fr-FR"/>
        </w:rPr>
        <w:t xml:space="preserve">au niveau externe </w:t>
      </w:r>
      <w:r w:rsidR="00706EC5">
        <w:rPr>
          <w:lang w:val="fr-FR"/>
        </w:rPr>
        <w:t>(</w:t>
      </w:r>
      <w:r w:rsidR="007A6531">
        <w:rPr>
          <w:lang w:val="fr-FR"/>
        </w:rPr>
        <w:t>autres acteurs et réseaux</w:t>
      </w:r>
      <w:r w:rsidR="00706EC5">
        <w:rPr>
          <w:lang w:val="fr-FR"/>
        </w:rPr>
        <w:t>)</w:t>
      </w:r>
      <w:r w:rsidR="007A6531">
        <w:rPr>
          <w:lang w:val="fr-FR"/>
        </w:rPr>
        <w:t>. La diffusion des outils, des études de cas</w:t>
      </w:r>
      <w:r w:rsidR="00553445">
        <w:rPr>
          <w:lang w:val="fr-FR"/>
        </w:rPr>
        <w:t>, d’</w:t>
      </w:r>
      <w:r w:rsidR="007A6531">
        <w:rPr>
          <w:lang w:val="fr-FR"/>
        </w:rPr>
        <w:t>informations</w:t>
      </w:r>
      <w:r w:rsidR="00553445">
        <w:rPr>
          <w:lang w:val="fr-FR"/>
        </w:rPr>
        <w:t xml:space="preserve"> actualisées et de supports</w:t>
      </w:r>
      <w:r w:rsidR="0040577A">
        <w:rPr>
          <w:lang w:val="fr-FR"/>
        </w:rPr>
        <w:t xml:space="preserve"> audio</w:t>
      </w:r>
      <w:r w:rsidR="007A6531">
        <w:rPr>
          <w:lang w:val="fr-FR"/>
        </w:rPr>
        <w:t>visuels peut se révéler une contribution précieuse pour le secteur humanitaire.</w:t>
      </w:r>
      <w:r w:rsidR="00F37EC0" w:rsidRPr="00143042">
        <w:rPr>
          <w:lang w:val="fr-FR" w:eastAsia="en-GB"/>
        </w:rPr>
        <w:t xml:space="preserve"> </w:t>
      </w:r>
    </w:p>
    <w:tbl>
      <w:tblPr>
        <w:tblStyle w:val="TableGray"/>
        <w:tblW w:w="5000" w:type="pct"/>
        <w:tblLayout w:type="fixed"/>
        <w:tblLook w:val="04A0" w:firstRow="1" w:lastRow="0" w:firstColumn="1" w:lastColumn="0" w:noHBand="0" w:noVBand="1"/>
      </w:tblPr>
      <w:tblGrid>
        <w:gridCol w:w="9916"/>
      </w:tblGrid>
      <w:tr w:rsidR="00613753" w:rsidRPr="00F208DF" w:rsidTr="00F43999">
        <w:tc>
          <w:tcPr>
            <w:tcW w:w="8423" w:type="dxa"/>
            <w:hideMark/>
          </w:tcPr>
          <w:p w:rsidR="00613753" w:rsidRPr="00CD73A6" w:rsidRDefault="00613753" w:rsidP="00BC5A96">
            <w:pPr>
              <w:pStyle w:val="RefTitre"/>
              <w:rPr>
                <w:lang w:val="fr-FR"/>
              </w:rPr>
            </w:pPr>
            <w:r w:rsidRPr="00CD73A6">
              <w:rPr>
                <w:lang w:val="fr-FR"/>
              </w:rPr>
              <w:t>DOCUMENTS</w:t>
            </w:r>
            <w:r w:rsidR="006C2E4C">
              <w:rPr>
                <w:lang w:val="fr-FR"/>
              </w:rPr>
              <w:t xml:space="preserve"> DE RÉFÉRENCE</w:t>
            </w:r>
          </w:p>
          <w:p w:rsidR="00F37EC0" w:rsidRPr="00143042" w:rsidRDefault="00C44A1E" w:rsidP="00F37EC0">
            <w:pPr>
              <w:pStyle w:val="RefItem1"/>
              <w:keepNext/>
              <w:keepLines/>
              <w:rPr>
                <w:lang w:val="fr-FR"/>
              </w:rPr>
            </w:pPr>
            <w:r>
              <w:rPr>
                <w:lang w:val="fr-FR"/>
              </w:rPr>
              <w:t>Mouvement international de la Croix-Rouge et du Croissant-Rouge – Programmes de transferts monétaires : lignes directrices en matière d’intégration et de préparation</w:t>
            </w:r>
          </w:p>
          <w:p w:rsidR="00F37EC0" w:rsidRPr="00421497" w:rsidRDefault="00F37EC0" w:rsidP="00C44A1E">
            <w:pPr>
              <w:pStyle w:val="RefItem1"/>
              <w:keepNext/>
              <w:keepLines/>
              <w:spacing w:after="0"/>
              <w:ind w:right="-1542"/>
              <w:rPr>
                <w:lang w:val="en-GB"/>
              </w:rPr>
            </w:pPr>
            <w:r w:rsidRPr="00E43833">
              <w:rPr>
                <w:i/>
                <w:lang w:val="en-GB"/>
              </w:rPr>
              <w:t>Market assessment guidance: Guideline for market assessment in the project cycle</w:t>
            </w:r>
            <w:r w:rsidR="00421497">
              <w:rPr>
                <w:lang w:val="en-GB"/>
              </w:rPr>
              <w:t>,</w:t>
            </w:r>
            <w:r w:rsidRPr="00E43833">
              <w:rPr>
                <w:lang w:val="en-GB"/>
              </w:rPr>
              <w:t xml:space="preserve"> </w:t>
            </w:r>
            <w:r w:rsidRPr="00421497">
              <w:rPr>
                <w:lang w:val="en-GB"/>
              </w:rPr>
              <w:t xml:space="preserve">RCM </w:t>
            </w:r>
            <w:hyperlink r:id="rId8" w:history="1">
              <w:r w:rsidRPr="00421497">
                <w:rPr>
                  <w:rStyle w:val="Hyperlink"/>
                  <w:lang w:val="en-GB"/>
                </w:rPr>
                <w:t>www.icrc.org/eng/assets/files/publications/icrc-002-4200.pdf</w:t>
              </w:r>
            </w:hyperlink>
          </w:p>
          <w:p w:rsidR="00C44A1E" w:rsidRPr="00421497" w:rsidRDefault="00C44A1E" w:rsidP="00C44A1E">
            <w:pPr>
              <w:pStyle w:val="RefItem1"/>
              <w:keepNext/>
              <w:keepLines/>
              <w:spacing w:after="0"/>
              <w:ind w:right="-1542"/>
              <w:rPr>
                <w:lang w:val="en-GB"/>
              </w:rPr>
            </w:pPr>
          </w:p>
          <w:p w:rsidR="00613753" w:rsidRPr="008E4280" w:rsidRDefault="00F37EC0" w:rsidP="00C44A1E">
            <w:pPr>
              <w:pStyle w:val="RefItem1"/>
              <w:rPr>
                <w:lang w:val="fr-FR"/>
              </w:rPr>
            </w:pPr>
            <w:proofErr w:type="spellStart"/>
            <w:r w:rsidRPr="00C44A1E">
              <w:rPr>
                <w:i/>
                <w:lang w:val="fr-FR"/>
              </w:rPr>
              <w:t>Beneficiary</w:t>
            </w:r>
            <w:proofErr w:type="spellEnd"/>
            <w:r w:rsidRPr="00C44A1E">
              <w:rPr>
                <w:i/>
                <w:lang w:val="fr-FR"/>
              </w:rPr>
              <w:t xml:space="preserve"> Com</w:t>
            </w:r>
            <w:r w:rsidR="00C44A1E" w:rsidRPr="00C44A1E">
              <w:rPr>
                <w:i/>
                <w:lang w:val="fr-FR"/>
              </w:rPr>
              <w:t xml:space="preserve">munication and </w:t>
            </w:r>
            <w:proofErr w:type="spellStart"/>
            <w:r w:rsidR="00C44A1E" w:rsidRPr="00C44A1E">
              <w:rPr>
                <w:i/>
                <w:lang w:val="fr-FR"/>
              </w:rPr>
              <w:t>Accountability</w:t>
            </w:r>
            <w:proofErr w:type="spellEnd"/>
            <w:r w:rsidR="00C44A1E">
              <w:rPr>
                <w:lang w:val="fr-FR"/>
              </w:rPr>
              <w:t xml:space="preserve"> (Fédération internationale des Sociétés de la Croix-Rouge et du Croissant-Rouge</w:t>
            </w:r>
            <w:r w:rsidRPr="00143042">
              <w:rPr>
                <w:lang w:val="fr-FR"/>
              </w:rPr>
              <w:t>)</w:t>
            </w:r>
            <w:r w:rsidR="00C44A1E">
              <w:rPr>
                <w:lang w:val="fr-FR"/>
              </w:rPr>
              <w:t> :</w:t>
            </w:r>
            <w:r w:rsidRPr="00143042">
              <w:rPr>
                <w:lang w:val="fr-FR"/>
              </w:rPr>
              <w:t xml:space="preserve"> </w:t>
            </w:r>
            <w:hyperlink r:id="rId9" w:history="1">
              <w:r w:rsidRPr="00143042">
                <w:rPr>
                  <w:rStyle w:val="Hyperlink"/>
                  <w:rFonts w:eastAsia="Times New Roman"/>
                  <w:lang w:val="fr-FR"/>
                </w:rPr>
                <w:t>www.ifrc.org/PageFiles/94411/IFRC%20BCA%20Lesson%20Learned%20doc_final.pdf</w:t>
              </w:r>
            </w:hyperlink>
          </w:p>
        </w:tc>
      </w:tr>
    </w:tbl>
    <w:p w:rsidR="00613753" w:rsidRPr="00CD73A6" w:rsidRDefault="00613753" w:rsidP="009E7CE4">
      <w:pPr>
        <w:rPr>
          <w:w w:val="102"/>
          <w:lang w:val="fr-FR"/>
        </w:rPr>
      </w:pPr>
    </w:p>
    <w:sectPr w:rsidR="00613753" w:rsidRPr="00CD73A6" w:rsidSect="00F26575">
      <w:headerReference w:type="default" r:id="rId10"/>
      <w:footerReference w:type="even" r:id="rId11"/>
      <w:footerReference w:type="default" r:id="rId12"/>
      <w:headerReference w:type="first" r:id="rId13"/>
      <w:footerReference w:type="first" r:id="rId14"/>
      <w:pgSz w:w="11900" w:h="16840" w:code="9"/>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3D63" w:rsidRDefault="00093D63" w:rsidP="002D7B20">
      <w:r>
        <w:separator/>
      </w:r>
    </w:p>
  </w:endnote>
  <w:endnote w:type="continuationSeparator" w:id="0">
    <w:p w:rsidR="00093D63" w:rsidRDefault="00093D63" w:rsidP="002D7B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Lucida Grande">
    <w:altName w:val="Arial"/>
    <w:charset w:val="00"/>
    <w:family w:val="auto"/>
    <w:pitch w:val="variable"/>
    <w:sig w:usb0="E1000AEF" w:usb1="5000A1FF" w:usb2="00000000" w:usb3="00000000" w:csb0="000001BF" w:csb1="00000000"/>
  </w:font>
  <w:font w:name="Times-Roman">
    <w:altName w:val="Times New Roman"/>
    <w:panose1 w:val="00000000000000000000"/>
    <w:charset w:val="4D"/>
    <w:family w:val="auto"/>
    <w:notTrueType/>
    <w:pitch w:val="default"/>
    <w:sig w:usb0="00000003" w:usb1="00000000" w:usb2="00000000" w:usb3="00000000" w:csb0="00000001" w:csb1="00000000"/>
  </w:font>
  <w:font w:name="Caecilia-Light">
    <w:altName w:val="Caecilia Light"/>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5C60" w:rsidRDefault="00B2389A" w:rsidP="0004680C">
    <w:pPr>
      <w:pStyle w:val="Footer"/>
      <w:framePr w:wrap="around" w:vAnchor="text" w:hAnchor="margin" w:xAlign="right" w:y="1"/>
      <w:rPr>
        <w:rStyle w:val="PageNumber"/>
      </w:rPr>
    </w:pPr>
    <w:r>
      <w:rPr>
        <w:rStyle w:val="PageNumber"/>
      </w:rPr>
      <w:fldChar w:fldCharType="begin"/>
    </w:r>
    <w:r w:rsidR="00A65C60">
      <w:rPr>
        <w:rStyle w:val="PageNumber"/>
      </w:rPr>
      <w:instrText xml:space="preserve">PAGE  </w:instrText>
    </w:r>
    <w:r>
      <w:rPr>
        <w:rStyle w:val="PageNumber"/>
      </w:rPr>
      <w:fldChar w:fldCharType="end"/>
    </w:r>
  </w:p>
  <w:p w:rsidR="00A65C60" w:rsidRDefault="00A65C60" w:rsidP="00613753">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30EB" w:rsidRPr="00B45C74" w:rsidRDefault="00B2389A" w:rsidP="00C44A1E">
    <w:pPr>
      <w:framePr w:wrap="around" w:vAnchor="text" w:hAnchor="margin" w:xAlign="right" w:y="1"/>
      <w:tabs>
        <w:tab w:val="center" w:pos="4320"/>
        <w:tab w:val="right" w:pos="8640"/>
      </w:tabs>
      <w:spacing w:after="0"/>
      <w:rPr>
        <w:b/>
        <w:color w:val="808080" w:themeColor="background1" w:themeShade="80"/>
        <w:sz w:val="18"/>
        <w:szCs w:val="18"/>
      </w:rPr>
    </w:pPr>
    <w:r w:rsidRPr="00B45C74">
      <w:rPr>
        <w:b/>
        <w:color w:val="808080" w:themeColor="background1" w:themeShade="80"/>
        <w:sz w:val="18"/>
        <w:szCs w:val="18"/>
      </w:rPr>
      <w:fldChar w:fldCharType="begin"/>
    </w:r>
    <w:r w:rsidR="00D330EB" w:rsidRPr="00B45C74">
      <w:rPr>
        <w:b/>
        <w:color w:val="808080" w:themeColor="background1" w:themeShade="80"/>
        <w:sz w:val="18"/>
        <w:szCs w:val="18"/>
      </w:rPr>
      <w:instrText xml:space="preserve">PAGE  </w:instrText>
    </w:r>
    <w:r w:rsidRPr="00B45C74">
      <w:rPr>
        <w:b/>
        <w:color w:val="808080" w:themeColor="background1" w:themeShade="80"/>
        <w:sz w:val="18"/>
        <w:szCs w:val="18"/>
      </w:rPr>
      <w:fldChar w:fldCharType="separate"/>
    </w:r>
    <w:r w:rsidR="00D1748C">
      <w:rPr>
        <w:b/>
        <w:noProof/>
        <w:color w:val="808080" w:themeColor="background1" w:themeShade="80"/>
        <w:sz w:val="18"/>
        <w:szCs w:val="18"/>
      </w:rPr>
      <w:t>3</w:t>
    </w:r>
    <w:r w:rsidRPr="00B45C74">
      <w:rPr>
        <w:b/>
        <w:color w:val="808080" w:themeColor="background1" w:themeShade="80"/>
        <w:sz w:val="18"/>
        <w:szCs w:val="18"/>
      </w:rPr>
      <w:fldChar w:fldCharType="end"/>
    </w:r>
  </w:p>
  <w:p w:rsidR="00D330EB" w:rsidRPr="00E43833" w:rsidRDefault="00D330EB" w:rsidP="00C44A1E">
    <w:pPr>
      <w:pStyle w:val="Footer"/>
      <w:rPr>
        <w:lang w:val="fr-CH"/>
      </w:rPr>
    </w:pPr>
    <w:r w:rsidRPr="00E43833">
      <w:rPr>
        <w:b/>
        <w:lang w:val="fr-CH"/>
      </w:rPr>
      <w:t>Module</w:t>
    </w:r>
    <w:r w:rsidR="00C1331C" w:rsidRPr="00E43833">
      <w:rPr>
        <w:b/>
        <w:lang w:val="fr-CH"/>
      </w:rPr>
      <w:t xml:space="preserve"> 1</w:t>
    </w:r>
    <w:r w:rsidRPr="00E43833">
      <w:rPr>
        <w:b/>
        <w:lang w:val="fr-CH"/>
      </w:rPr>
      <w:t>.</w:t>
    </w:r>
    <w:r w:rsidR="007939F8" w:rsidRPr="00E43833">
      <w:rPr>
        <w:b/>
        <w:lang w:val="fr-CH"/>
      </w:rPr>
      <w:t xml:space="preserve"> </w:t>
    </w:r>
    <w:r w:rsidR="00CD73A6" w:rsidRPr="00E43833">
      <w:rPr>
        <w:noProof/>
        <w:lang w:val="fr-CH"/>
      </w:rPr>
      <w:t xml:space="preserve">Feuille de route pour </w:t>
    </w:r>
    <w:r w:rsidR="00F37EC0" w:rsidRPr="00E43833">
      <w:rPr>
        <w:noProof/>
        <w:lang w:val="fr-CH"/>
      </w:rPr>
      <w:t>la préparation</w:t>
    </w:r>
    <w:r w:rsidR="00066EDC" w:rsidRPr="00E43833">
      <w:rPr>
        <w:lang w:val="fr-CH"/>
      </w:rPr>
      <w:t xml:space="preserve"> </w:t>
    </w:r>
    <w:r w:rsidR="00B2389A">
      <w:fldChar w:fldCharType="begin"/>
    </w:r>
    <w:r w:rsidR="00AF720B" w:rsidRPr="00E43833">
      <w:rPr>
        <w:lang w:val="fr-CH"/>
      </w:rPr>
      <w:instrText xml:space="preserve"> STYLEREF  H1 \t  \* MERGEFORMAT </w:instrText>
    </w:r>
    <w:r w:rsidR="00B2389A">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6EDC" w:rsidRPr="00B45C74" w:rsidRDefault="00B2389A" w:rsidP="00C44A1E">
    <w:pPr>
      <w:framePr w:wrap="around" w:vAnchor="text" w:hAnchor="margin" w:xAlign="right" w:y="1"/>
      <w:tabs>
        <w:tab w:val="center" w:pos="4320"/>
        <w:tab w:val="right" w:pos="8640"/>
      </w:tabs>
      <w:spacing w:after="0"/>
      <w:rPr>
        <w:b/>
        <w:color w:val="808080" w:themeColor="background1" w:themeShade="80"/>
        <w:sz w:val="18"/>
        <w:szCs w:val="18"/>
      </w:rPr>
    </w:pPr>
    <w:r w:rsidRPr="00B45C74">
      <w:rPr>
        <w:b/>
        <w:color w:val="808080" w:themeColor="background1" w:themeShade="80"/>
        <w:sz w:val="18"/>
        <w:szCs w:val="18"/>
      </w:rPr>
      <w:fldChar w:fldCharType="begin"/>
    </w:r>
    <w:r w:rsidR="00066EDC" w:rsidRPr="00B45C74">
      <w:rPr>
        <w:b/>
        <w:color w:val="808080" w:themeColor="background1" w:themeShade="80"/>
        <w:sz w:val="18"/>
        <w:szCs w:val="18"/>
      </w:rPr>
      <w:instrText xml:space="preserve">PAGE  </w:instrText>
    </w:r>
    <w:r w:rsidRPr="00B45C74">
      <w:rPr>
        <w:b/>
        <w:color w:val="808080" w:themeColor="background1" w:themeShade="80"/>
        <w:sz w:val="18"/>
        <w:szCs w:val="18"/>
      </w:rPr>
      <w:fldChar w:fldCharType="separate"/>
    </w:r>
    <w:r w:rsidR="00F208DF">
      <w:rPr>
        <w:b/>
        <w:noProof/>
        <w:color w:val="808080" w:themeColor="background1" w:themeShade="80"/>
        <w:sz w:val="18"/>
        <w:szCs w:val="18"/>
      </w:rPr>
      <w:t>1</w:t>
    </w:r>
    <w:r w:rsidRPr="00B45C74">
      <w:rPr>
        <w:b/>
        <w:color w:val="808080" w:themeColor="background1" w:themeShade="80"/>
        <w:sz w:val="18"/>
        <w:szCs w:val="18"/>
      </w:rPr>
      <w:fldChar w:fldCharType="end"/>
    </w:r>
  </w:p>
  <w:p w:rsidR="00066EDC" w:rsidRPr="003A3500" w:rsidRDefault="00066EDC" w:rsidP="00C44A1E">
    <w:pPr>
      <w:pStyle w:val="Footer"/>
    </w:pPr>
    <w:r w:rsidRPr="00107E15">
      <w:rPr>
        <w:b/>
      </w:rPr>
      <w:t xml:space="preserve">Module </w:t>
    </w:r>
    <w:r>
      <w:rPr>
        <w:b/>
      </w:rPr>
      <w:t>1</w:t>
    </w:r>
    <w:r w:rsidRPr="00107E15">
      <w:rPr>
        <w:b/>
      </w:rPr>
      <w:t>.</w:t>
    </w:r>
    <w:r w:rsidRPr="00107E15">
      <w:t xml:space="preserve"> </w:t>
    </w:r>
    <w:fldSimple w:instr=" STYLEREF  H1 \t  \* MERGEFORMAT ">
      <w:r w:rsidR="00F208DF">
        <w:rPr>
          <w:noProof/>
        </w:rPr>
        <w:t>Feuille de route pour la préparation</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3D63" w:rsidRDefault="00093D63" w:rsidP="002D7B20">
      <w:r>
        <w:separator/>
      </w:r>
    </w:p>
  </w:footnote>
  <w:footnote w:type="continuationSeparator" w:id="0">
    <w:p w:rsidR="00093D63" w:rsidRDefault="00093D63" w:rsidP="002D7B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30EB" w:rsidRPr="00BE4245" w:rsidRDefault="00BE4245" w:rsidP="00BB2E1E">
    <w:pPr>
      <w:pStyle w:val="Header"/>
      <w:rPr>
        <w:sz w:val="14"/>
        <w:szCs w:val="14"/>
        <w:lang w:val="fr-FR"/>
      </w:rPr>
    </w:pPr>
    <w:r w:rsidRPr="00BE4245">
      <w:rPr>
        <w:rStyle w:val="Pantone485"/>
        <w:sz w:val="14"/>
        <w:szCs w:val="14"/>
        <w:lang w:val="fr-FR"/>
      </w:rPr>
      <w:t>Mouvement international de la Croix-Rouge et du Croissant-Rouge</w:t>
    </w:r>
    <w:r w:rsidR="00D330EB" w:rsidRPr="00BE4245">
      <w:rPr>
        <w:rFonts w:cs="Caecilia-Light"/>
        <w:color w:val="FF0000"/>
        <w:sz w:val="14"/>
        <w:szCs w:val="14"/>
        <w:lang w:val="fr-FR"/>
      </w:rPr>
      <w:t xml:space="preserve"> </w:t>
    </w:r>
    <w:r w:rsidR="00D330EB" w:rsidRPr="00BE4245">
      <w:rPr>
        <w:rStyle w:val="PageNumber"/>
        <w:bCs/>
        <w:sz w:val="14"/>
        <w:szCs w:val="14"/>
        <w:lang w:val="fr-FR"/>
      </w:rPr>
      <w:t>I</w:t>
    </w:r>
    <w:r w:rsidR="00D330EB" w:rsidRPr="00BE4245">
      <w:rPr>
        <w:rStyle w:val="PageNumber"/>
        <w:color w:val="FF0000"/>
        <w:sz w:val="14"/>
        <w:szCs w:val="14"/>
        <w:lang w:val="fr-FR"/>
      </w:rPr>
      <w:t xml:space="preserve"> </w:t>
    </w:r>
    <w:r w:rsidRPr="00BE4245">
      <w:rPr>
        <w:b/>
        <w:sz w:val="14"/>
        <w:szCs w:val="14"/>
        <w:lang w:val="fr-FR"/>
      </w:rPr>
      <w:t xml:space="preserve">Boîte à outils pour </w:t>
    </w:r>
    <w:r w:rsidR="00BB2E1E">
      <w:rPr>
        <w:b/>
        <w:sz w:val="14"/>
        <w:szCs w:val="14"/>
        <w:lang w:val="fr-FR"/>
      </w:rPr>
      <w:t>les transferts monétaires</w:t>
    </w:r>
    <w:r w:rsidRPr="00BE4245">
      <w:rPr>
        <w:b/>
        <w:sz w:val="14"/>
        <w:szCs w:val="14"/>
        <w:lang w:val="fr-FR"/>
      </w:rPr>
      <w:t xml:space="preserve"> dans les situations d’urgence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30EB" w:rsidRDefault="00E43833" w:rsidP="00E43833">
    <w:pPr>
      <w:spacing w:after="0" w:line="288" w:lineRule="auto"/>
      <w:jc w:val="left"/>
      <w:rPr>
        <w:lang w:val="fr-FR"/>
      </w:rPr>
    </w:pPr>
    <w:r w:rsidRPr="00E43833">
      <w:rPr>
        <w:rFonts w:cs="Arial"/>
        <w:b/>
        <w:noProof/>
        <w:color w:val="CC0000"/>
        <w:sz w:val="24"/>
        <w:szCs w:val="24"/>
        <w:lang w:val="en-GB" w:eastAsia="en-GB"/>
      </w:rPr>
      <w:drawing>
        <wp:anchor distT="0" distB="0" distL="114300" distR="114300" simplePos="0" relativeHeight="251659264" behindDoc="0" locked="0" layoutInCell="1" allowOverlap="1" wp14:anchorId="07CEBF59" wp14:editId="218F6F22">
          <wp:simplePos x="0" y="0"/>
          <wp:positionH relativeFrom="margin">
            <wp:posOffset>316865</wp:posOffset>
          </wp:positionH>
          <wp:positionV relativeFrom="margin">
            <wp:posOffset>-1280795</wp:posOffset>
          </wp:positionV>
          <wp:extent cx="630555" cy="735330"/>
          <wp:effectExtent l="0" t="0" r="0" b="0"/>
          <wp:wrapSquare wrapText="bothSides"/>
          <wp:docPr id="4" name="Picture 4" descr="CICR logo-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CR logo-F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0555" cy="735330"/>
                  </a:xfrm>
                  <a:prstGeom prst="rect">
                    <a:avLst/>
                  </a:prstGeom>
                  <a:noFill/>
                </pic:spPr>
              </pic:pic>
            </a:graphicData>
          </a:graphic>
          <wp14:sizeRelH relativeFrom="margin">
            <wp14:pctWidth>0</wp14:pctWidth>
          </wp14:sizeRelH>
          <wp14:sizeRelV relativeFrom="margin">
            <wp14:pctHeight>0</wp14:pctHeight>
          </wp14:sizeRelV>
        </wp:anchor>
      </w:drawing>
    </w:r>
    <w:r w:rsidRPr="00E43833">
      <w:rPr>
        <w:rFonts w:cs="Arial"/>
        <w:b/>
        <w:noProof/>
        <w:color w:val="CC0000"/>
        <w:sz w:val="24"/>
        <w:szCs w:val="24"/>
        <w:lang w:val="en-GB" w:eastAsia="en-GB"/>
      </w:rPr>
      <w:drawing>
        <wp:anchor distT="0" distB="0" distL="114300" distR="114300" simplePos="0" relativeHeight="251660288" behindDoc="0" locked="0" layoutInCell="1" allowOverlap="1" wp14:anchorId="16A72EDD" wp14:editId="26BDA103">
          <wp:simplePos x="0" y="0"/>
          <wp:positionH relativeFrom="margin">
            <wp:posOffset>2590165</wp:posOffset>
          </wp:positionH>
          <wp:positionV relativeFrom="margin">
            <wp:posOffset>-915670</wp:posOffset>
          </wp:positionV>
          <wp:extent cx="3187065" cy="308610"/>
          <wp:effectExtent l="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187065" cy="308610"/>
                  </a:xfrm>
                  <a:prstGeom prst="rect">
                    <a:avLst/>
                  </a:prstGeom>
                  <a:noFill/>
                </pic:spPr>
              </pic:pic>
            </a:graphicData>
          </a:graphic>
          <wp14:sizeRelH relativeFrom="margin">
            <wp14:pctWidth>0</wp14:pctWidth>
          </wp14:sizeRelH>
          <wp14:sizeRelV relativeFrom="margin">
            <wp14:pctHeight>0</wp14:pctHeight>
          </wp14:sizeRelV>
        </wp:anchor>
      </w:drawing>
    </w:r>
  </w:p>
  <w:p w:rsidR="00E43833" w:rsidRPr="00CD73A6" w:rsidRDefault="00E43833" w:rsidP="00E43833">
    <w:pPr>
      <w:spacing w:after="0" w:line="288" w:lineRule="auto"/>
      <w:jc w:val="left"/>
      <w:rPr>
        <w:lang w:val="fr-FR"/>
      </w:rPr>
    </w:pPr>
  </w:p>
  <w:p w:rsidR="00D330EB" w:rsidRPr="00CD73A6" w:rsidRDefault="00D330EB" w:rsidP="00C44A1E">
    <w:pPr>
      <w:pStyle w:val="Header"/>
      <w:rPr>
        <w:color w:val="DC281E"/>
        <w:sz w:val="24"/>
        <w:szCs w:val="24"/>
        <w:lang w:val="fr-FR"/>
      </w:rPr>
    </w:pPr>
  </w:p>
  <w:p w:rsidR="00D330EB" w:rsidRPr="00CD73A6" w:rsidRDefault="00D330EB" w:rsidP="00C44A1E">
    <w:pPr>
      <w:pStyle w:val="Header"/>
      <w:spacing w:line="240" w:lineRule="auto"/>
      <w:rPr>
        <w:b/>
        <w:color w:val="DC281E"/>
        <w:sz w:val="24"/>
        <w:szCs w:val="24"/>
        <w:lang w:val="fr-FR"/>
      </w:rPr>
    </w:pPr>
  </w:p>
  <w:p w:rsidR="00D330EB" w:rsidRPr="00CD73A6" w:rsidRDefault="00D330EB" w:rsidP="00C44A1E">
    <w:pPr>
      <w:pStyle w:val="Header"/>
      <w:spacing w:line="240" w:lineRule="auto"/>
      <w:rPr>
        <w:b/>
        <w:color w:val="DC281E"/>
        <w:sz w:val="24"/>
        <w:szCs w:val="24"/>
        <w:lang w:val="fr-FR"/>
      </w:rPr>
    </w:pPr>
  </w:p>
  <w:p w:rsidR="00D330EB" w:rsidRPr="00CD73A6" w:rsidRDefault="00CD73A6" w:rsidP="00E43833">
    <w:pPr>
      <w:pStyle w:val="Header1"/>
      <w:rPr>
        <w:rStyle w:val="Pantone485"/>
        <w:lang w:val="fr-FR"/>
      </w:rPr>
    </w:pPr>
    <w:r w:rsidRPr="00CD73A6">
      <w:rPr>
        <w:rStyle w:val="Pantone485"/>
        <w:lang w:val="fr-FR"/>
      </w:rPr>
      <w:t xml:space="preserve">Boîte à outils pour </w:t>
    </w:r>
    <w:r w:rsidR="00E43833">
      <w:rPr>
        <w:rStyle w:val="Pantone485"/>
        <w:lang w:val="fr-FR"/>
      </w:rPr>
      <w:t>les transferts monétaires</w:t>
    </w:r>
    <w:r w:rsidRPr="00CD73A6">
      <w:rPr>
        <w:rStyle w:val="Pantone485"/>
        <w:lang w:val="fr-FR"/>
      </w:rPr>
      <w:t xml:space="preserve"> dans les situations d’urgence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B0A9CF2"/>
    <w:lvl w:ilvl="0">
      <w:start w:val="1"/>
      <w:numFmt w:val="decimal"/>
      <w:lvlText w:val="%1."/>
      <w:lvlJc w:val="left"/>
      <w:pPr>
        <w:tabs>
          <w:tab w:val="num" w:pos="1492"/>
        </w:tabs>
        <w:ind w:left="1492" w:hanging="360"/>
      </w:pPr>
    </w:lvl>
  </w:abstractNum>
  <w:abstractNum w:abstractNumId="1">
    <w:nsid w:val="FFFFFF7D"/>
    <w:multiLevelType w:val="singleLevel"/>
    <w:tmpl w:val="42E0EA40"/>
    <w:lvl w:ilvl="0">
      <w:start w:val="1"/>
      <w:numFmt w:val="decimal"/>
      <w:lvlText w:val="%1."/>
      <w:lvlJc w:val="left"/>
      <w:pPr>
        <w:tabs>
          <w:tab w:val="num" w:pos="1209"/>
        </w:tabs>
        <w:ind w:left="1209" w:hanging="360"/>
      </w:pPr>
    </w:lvl>
  </w:abstractNum>
  <w:abstractNum w:abstractNumId="2">
    <w:nsid w:val="FFFFFF7E"/>
    <w:multiLevelType w:val="singleLevel"/>
    <w:tmpl w:val="D9BCBEC0"/>
    <w:lvl w:ilvl="0">
      <w:start w:val="1"/>
      <w:numFmt w:val="decimal"/>
      <w:lvlText w:val="%1."/>
      <w:lvlJc w:val="left"/>
      <w:pPr>
        <w:tabs>
          <w:tab w:val="num" w:pos="926"/>
        </w:tabs>
        <w:ind w:left="926" w:hanging="360"/>
      </w:pPr>
    </w:lvl>
  </w:abstractNum>
  <w:abstractNum w:abstractNumId="3">
    <w:nsid w:val="FFFFFF7F"/>
    <w:multiLevelType w:val="singleLevel"/>
    <w:tmpl w:val="9AA2AD90"/>
    <w:lvl w:ilvl="0">
      <w:start w:val="1"/>
      <w:numFmt w:val="decimal"/>
      <w:lvlText w:val="%1."/>
      <w:lvlJc w:val="left"/>
      <w:pPr>
        <w:tabs>
          <w:tab w:val="num" w:pos="643"/>
        </w:tabs>
        <w:ind w:left="643" w:hanging="360"/>
      </w:pPr>
    </w:lvl>
  </w:abstractNum>
  <w:abstractNum w:abstractNumId="4">
    <w:nsid w:val="FFFFFF80"/>
    <w:multiLevelType w:val="singleLevel"/>
    <w:tmpl w:val="488C84D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EB1411F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20B6425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0BE8E7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3E50DEF2"/>
    <w:lvl w:ilvl="0">
      <w:start w:val="1"/>
      <w:numFmt w:val="decimal"/>
      <w:lvlText w:val="%1."/>
      <w:lvlJc w:val="left"/>
      <w:pPr>
        <w:tabs>
          <w:tab w:val="num" w:pos="360"/>
        </w:tabs>
        <w:ind w:left="360" w:hanging="360"/>
      </w:pPr>
    </w:lvl>
  </w:abstractNum>
  <w:abstractNum w:abstractNumId="9">
    <w:nsid w:val="FFFFFF89"/>
    <w:multiLevelType w:val="singleLevel"/>
    <w:tmpl w:val="7A8E15FE"/>
    <w:lvl w:ilvl="0">
      <w:start w:val="1"/>
      <w:numFmt w:val="bullet"/>
      <w:lvlText w:val=""/>
      <w:lvlJc w:val="left"/>
      <w:pPr>
        <w:tabs>
          <w:tab w:val="num" w:pos="360"/>
        </w:tabs>
        <w:ind w:left="360" w:hanging="360"/>
      </w:pPr>
      <w:rPr>
        <w:rFonts w:ascii="Symbol" w:hAnsi="Symbol" w:hint="default"/>
      </w:rPr>
    </w:lvl>
  </w:abstractNum>
  <w:abstractNum w:abstractNumId="10">
    <w:nsid w:val="004E4BB3"/>
    <w:multiLevelType w:val="hybridMultilevel"/>
    <w:tmpl w:val="2D0A575E"/>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1">
    <w:nsid w:val="057F7D25"/>
    <w:multiLevelType w:val="hybridMultilevel"/>
    <w:tmpl w:val="1D20BF0E"/>
    <w:lvl w:ilvl="0" w:tplc="18D88CC4">
      <w:start w:val="1"/>
      <w:numFmt w:val="decimal"/>
      <w:pStyle w:val="ListNumber1"/>
      <w:lvlText w:val="%1."/>
      <w:lvlJc w:val="left"/>
      <w:pPr>
        <w:ind w:left="720" w:hanging="360"/>
      </w:pPr>
      <w:rPr>
        <w:rFonts w:hint="default"/>
      </w:rPr>
    </w:lvl>
    <w:lvl w:ilvl="1" w:tplc="08090019" w:tentative="1">
      <w:start w:val="1"/>
      <w:numFmt w:val="lowerLetter"/>
      <w:pStyle w:val="ListNumber1"/>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0A505C4F"/>
    <w:multiLevelType w:val="hybridMultilevel"/>
    <w:tmpl w:val="3822FF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BB837E4"/>
    <w:multiLevelType w:val="hybridMultilevel"/>
    <w:tmpl w:val="B5B091F0"/>
    <w:lvl w:ilvl="0" w:tplc="FFCE2EE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0302652"/>
    <w:multiLevelType w:val="hybridMultilevel"/>
    <w:tmpl w:val="9CF4AF48"/>
    <w:lvl w:ilvl="0" w:tplc="FFCE2EE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1233090"/>
    <w:multiLevelType w:val="hybridMultilevel"/>
    <w:tmpl w:val="62DAC0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17143CF"/>
    <w:multiLevelType w:val="hybridMultilevel"/>
    <w:tmpl w:val="2A8A543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6B26F5B"/>
    <w:multiLevelType w:val="hybridMultilevel"/>
    <w:tmpl w:val="69BCDF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178E508B"/>
    <w:multiLevelType w:val="hybridMultilevel"/>
    <w:tmpl w:val="45A2CE5E"/>
    <w:lvl w:ilvl="0" w:tplc="A3E28D94">
      <w:start w:val="1"/>
      <w:numFmt w:val="bullet"/>
      <w:pStyle w:val="Bullet1"/>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9477B14"/>
    <w:multiLevelType w:val="hybridMultilevel"/>
    <w:tmpl w:val="F06CEA2E"/>
    <w:lvl w:ilvl="0" w:tplc="5A4C774C">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19DA6745"/>
    <w:multiLevelType w:val="hybridMultilevel"/>
    <w:tmpl w:val="1AE295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1A5A1BEB"/>
    <w:multiLevelType w:val="hybridMultilevel"/>
    <w:tmpl w:val="5BE6E0A2"/>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21530CB"/>
    <w:multiLevelType w:val="hybridMultilevel"/>
    <w:tmpl w:val="4EEC01EA"/>
    <w:lvl w:ilvl="0" w:tplc="0409000F">
      <w:start w:val="1"/>
      <w:numFmt w:val="decimal"/>
      <w:lvlText w:val="%1."/>
      <w:lvlJc w:val="left"/>
      <w:pPr>
        <w:ind w:left="720" w:hanging="360"/>
      </w:pPr>
    </w:lvl>
    <w:lvl w:ilvl="1" w:tplc="04090001">
      <w:start w:val="1"/>
      <w:numFmt w:val="bullet"/>
      <w:lvlText w:val=""/>
      <w:lvlJc w:val="left"/>
      <w:pPr>
        <w:ind w:left="72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4102ED9"/>
    <w:multiLevelType w:val="hybridMultilevel"/>
    <w:tmpl w:val="07DCF0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27CC6641"/>
    <w:multiLevelType w:val="hybridMultilevel"/>
    <w:tmpl w:val="1BB681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3FC7C1F"/>
    <w:multiLevelType w:val="hybridMultilevel"/>
    <w:tmpl w:val="0414D7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CC0427F"/>
    <w:multiLevelType w:val="hybridMultilevel"/>
    <w:tmpl w:val="9878BB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CEB4B7B"/>
    <w:multiLevelType w:val="hybridMultilevel"/>
    <w:tmpl w:val="07CECD90"/>
    <w:lvl w:ilvl="0" w:tplc="0409000F">
      <w:start w:val="1"/>
      <w:numFmt w:val="decimal"/>
      <w:lvlText w:val="%1."/>
      <w:lvlJc w:val="left"/>
      <w:pPr>
        <w:ind w:left="720" w:hanging="360"/>
      </w:pPr>
    </w:lvl>
    <w:lvl w:ilvl="1" w:tplc="04090001">
      <w:start w:val="1"/>
      <w:numFmt w:val="bullet"/>
      <w:lvlText w:val=""/>
      <w:lvlJc w:val="left"/>
      <w:pPr>
        <w:ind w:left="72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DF7627B"/>
    <w:multiLevelType w:val="hybridMultilevel"/>
    <w:tmpl w:val="E95E3F20"/>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9">
    <w:nsid w:val="486B6D97"/>
    <w:multiLevelType w:val="hybridMultilevel"/>
    <w:tmpl w:val="28B29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EA017A4"/>
    <w:multiLevelType w:val="hybridMultilevel"/>
    <w:tmpl w:val="5D34E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4ED5E1B"/>
    <w:multiLevelType w:val="hybridMultilevel"/>
    <w:tmpl w:val="A4E2E4E4"/>
    <w:lvl w:ilvl="0" w:tplc="2B7CC386">
      <w:start w:val="1"/>
      <w:numFmt w:val="decimal"/>
      <w:pStyle w:val="NormalNo"/>
      <w:lvlText w:val="%1."/>
      <w:lvlJc w:val="left"/>
      <w:pPr>
        <w:ind w:left="720" w:hanging="360"/>
      </w:pPr>
      <w:rPr>
        <w:rFonts w:hint="default"/>
        <w:i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2">
    <w:nsid w:val="562F0082"/>
    <w:multiLevelType w:val="hybridMultilevel"/>
    <w:tmpl w:val="36F0F5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8613D32"/>
    <w:multiLevelType w:val="hybridMultilevel"/>
    <w:tmpl w:val="BF78E1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A715D68"/>
    <w:multiLevelType w:val="hybridMultilevel"/>
    <w:tmpl w:val="3B021BC8"/>
    <w:lvl w:ilvl="0" w:tplc="1AE6450C">
      <w:start w:val="1"/>
      <w:numFmt w:val="bullet"/>
      <w:lvlText w:val="•"/>
      <w:lvlJc w:val="left"/>
      <w:pPr>
        <w:tabs>
          <w:tab w:val="num" w:pos="720"/>
        </w:tabs>
        <w:ind w:left="720" w:hanging="360"/>
      </w:pPr>
      <w:rPr>
        <w:rFonts w:ascii="Times" w:hAnsi="Times" w:hint="default"/>
      </w:rPr>
    </w:lvl>
    <w:lvl w:ilvl="1" w:tplc="64B62080" w:tentative="1">
      <w:start w:val="1"/>
      <w:numFmt w:val="bullet"/>
      <w:lvlText w:val="•"/>
      <w:lvlJc w:val="left"/>
      <w:pPr>
        <w:tabs>
          <w:tab w:val="num" w:pos="1440"/>
        </w:tabs>
        <w:ind w:left="1440" w:hanging="360"/>
      </w:pPr>
      <w:rPr>
        <w:rFonts w:ascii="Times" w:hAnsi="Times" w:hint="default"/>
      </w:rPr>
    </w:lvl>
    <w:lvl w:ilvl="2" w:tplc="278CB22C" w:tentative="1">
      <w:start w:val="1"/>
      <w:numFmt w:val="bullet"/>
      <w:lvlText w:val="•"/>
      <w:lvlJc w:val="left"/>
      <w:pPr>
        <w:tabs>
          <w:tab w:val="num" w:pos="2160"/>
        </w:tabs>
        <w:ind w:left="2160" w:hanging="360"/>
      </w:pPr>
      <w:rPr>
        <w:rFonts w:ascii="Times" w:hAnsi="Times" w:hint="default"/>
      </w:rPr>
    </w:lvl>
    <w:lvl w:ilvl="3" w:tplc="C85CE6B6" w:tentative="1">
      <w:start w:val="1"/>
      <w:numFmt w:val="bullet"/>
      <w:lvlText w:val="•"/>
      <w:lvlJc w:val="left"/>
      <w:pPr>
        <w:tabs>
          <w:tab w:val="num" w:pos="2880"/>
        </w:tabs>
        <w:ind w:left="2880" w:hanging="360"/>
      </w:pPr>
      <w:rPr>
        <w:rFonts w:ascii="Times" w:hAnsi="Times" w:hint="default"/>
      </w:rPr>
    </w:lvl>
    <w:lvl w:ilvl="4" w:tplc="5DCCDE80" w:tentative="1">
      <w:start w:val="1"/>
      <w:numFmt w:val="bullet"/>
      <w:lvlText w:val="•"/>
      <w:lvlJc w:val="left"/>
      <w:pPr>
        <w:tabs>
          <w:tab w:val="num" w:pos="3600"/>
        </w:tabs>
        <w:ind w:left="3600" w:hanging="360"/>
      </w:pPr>
      <w:rPr>
        <w:rFonts w:ascii="Times" w:hAnsi="Times" w:hint="default"/>
      </w:rPr>
    </w:lvl>
    <w:lvl w:ilvl="5" w:tplc="780A7E02" w:tentative="1">
      <w:start w:val="1"/>
      <w:numFmt w:val="bullet"/>
      <w:lvlText w:val="•"/>
      <w:lvlJc w:val="left"/>
      <w:pPr>
        <w:tabs>
          <w:tab w:val="num" w:pos="4320"/>
        </w:tabs>
        <w:ind w:left="4320" w:hanging="360"/>
      </w:pPr>
      <w:rPr>
        <w:rFonts w:ascii="Times" w:hAnsi="Times" w:hint="default"/>
      </w:rPr>
    </w:lvl>
    <w:lvl w:ilvl="6" w:tplc="A1C6BA14" w:tentative="1">
      <w:start w:val="1"/>
      <w:numFmt w:val="bullet"/>
      <w:lvlText w:val="•"/>
      <w:lvlJc w:val="left"/>
      <w:pPr>
        <w:tabs>
          <w:tab w:val="num" w:pos="5040"/>
        </w:tabs>
        <w:ind w:left="5040" w:hanging="360"/>
      </w:pPr>
      <w:rPr>
        <w:rFonts w:ascii="Times" w:hAnsi="Times" w:hint="default"/>
      </w:rPr>
    </w:lvl>
    <w:lvl w:ilvl="7" w:tplc="25F4835A" w:tentative="1">
      <w:start w:val="1"/>
      <w:numFmt w:val="bullet"/>
      <w:lvlText w:val="•"/>
      <w:lvlJc w:val="left"/>
      <w:pPr>
        <w:tabs>
          <w:tab w:val="num" w:pos="5760"/>
        </w:tabs>
        <w:ind w:left="5760" w:hanging="360"/>
      </w:pPr>
      <w:rPr>
        <w:rFonts w:ascii="Times" w:hAnsi="Times" w:hint="default"/>
      </w:rPr>
    </w:lvl>
    <w:lvl w:ilvl="8" w:tplc="A2E841BE" w:tentative="1">
      <w:start w:val="1"/>
      <w:numFmt w:val="bullet"/>
      <w:lvlText w:val="•"/>
      <w:lvlJc w:val="left"/>
      <w:pPr>
        <w:tabs>
          <w:tab w:val="num" w:pos="6480"/>
        </w:tabs>
        <w:ind w:left="6480" w:hanging="360"/>
      </w:pPr>
      <w:rPr>
        <w:rFonts w:ascii="Times" w:hAnsi="Times" w:hint="default"/>
      </w:rPr>
    </w:lvl>
  </w:abstractNum>
  <w:abstractNum w:abstractNumId="35">
    <w:nsid w:val="5DCC139D"/>
    <w:multiLevelType w:val="hybridMultilevel"/>
    <w:tmpl w:val="FF4A637C"/>
    <w:lvl w:ilvl="0" w:tplc="08FABD8E">
      <w:start w:val="1"/>
      <w:numFmt w:val="bullet"/>
      <w:pStyle w:val="Bullet2"/>
      <w:lvlText w:val=""/>
      <w:lvlJc w:val="left"/>
      <w:pPr>
        <w:ind w:left="720" w:hanging="360"/>
      </w:pPr>
      <w:rPr>
        <w:rFonts w:ascii="Symbol" w:hAnsi="Symbol" w:hint="default"/>
        <w:b/>
        <w:color w:val="DC281E"/>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nsid w:val="5E9F3BBB"/>
    <w:multiLevelType w:val="hybridMultilevel"/>
    <w:tmpl w:val="4BE0429A"/>
    <w:lvl w:ilvl="0" w:tplc="A9DE4814">
      <w:start w:val="1"/>
      <w:numFmt w:val="bullet"/>
      <w:pStyle w:val="BulletTableau"/>
      <w:lvlText w:val=""/>
      <w:lvlJc w:val="left"/>
      <w:pPr>
        <w:ind w:left="1080" w:hanging="360"/>
      </w:pPr>
      <w:rPr>
        <w:rFonts w:ascii="Symbol" w:hAnsi="Symbol" w:hint="default"/>
        <w:b/>
        <w:color w:val="auto"/>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37">
    <w:nsid w:val="635C7E23"/>
    <w:multiLevelType w:val="hybridMultilevel"/>
    <w:tmpl w:val="92706D8A"/>
    <w:lvl w:ilvl="0" w:tplc="CAD4AE2E">
      <w:start w:val="1"/>
      <w:numFmt w:val="bullet"/>
      <w:pStyle w:val="Bullet3"/>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nsid w:val="63AF0C6D"/>
    <w:multiLevelType w:val="hybridMultilevel"/>
    <w:tmpl w:val="A74A58C6"/>
    <w:lvl w:ilvl="0" w:tplc="C3D8A78E">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4683092"/>
    <w:multiLevelType w:val="hybridMultilevel"/>
    <w:tmpl w:val="2964560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6BB65D5"/>
    <w:multiLevelType w:val="hybridMultilevel"/>
    <w:tmpl w:val="F1D89208"/>
    <w:lvl w:ilvl="0" w:tplc="C3D8A78E">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67DB7CBF"/>
    <w:multiLevelType w:val="hybridMultilevel"/>
    <w:tmpl w:val="171497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6A114D40"/>
    <w:multiLevelType w:val="hybridMultilevel"/>
    <w:tmpl w:val="9DCAC830"/>
    <w:lvl w:ilvl="0" w:tplc="FFCE2EE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A630977"/>
    <w:multiLevelType w:val="hybridMultilevel"/>
    <w:tmpl w:val="7B12DDE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nsid w:val="7F541AA7"/>
    <w:multiLevelType w:val="hybridMultilevel"/>
    <w:tmpl w:val="69427E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24"/>
  </w:num>
  <w:num w:numId="3">
    <w:abstractNumId w:val="32"/>
  </w:num>
  <w:num w:numId="4">
    <w:abstractNumId w:val="15"/>
  </w:num>
  <w:num w:numId="5">
    <w:abstractNumId w:val="26"/>
  </w:num>
  <w:num w:numId="6">
    <w:abstractNumId w:val="41"/>
  </w:num>
  <w:num w:numId="7">
    <w:abstractNumId w:val="25"/>
  </w:num>
  <w:num w:numId="8">
    <w:abstractNumId w:val="30"/>
  </w:num>
  <w:num w:numId="9">
    <w:abstractNumId w:val="20"/>
  </w:num>
  <w:num w:numId="10">
    <w:abstractNumId w:val="43"/>
  </w:num>
  <w:num w:numId="11">
    <w:abstractNumId w:val="33"/>
  </w:num>
  <w:num w:numId="12">
    <w:abstractNumId w:val="34"/>
  </w:num>
  <w:num w:numId="13">
    <w:abstractNumId w:val="38"/>
  </w:num>
  <w:num w:numId="14">
    <w:abstractNumId w:val="40"/>
  </w:num>
  <w:num w:numId="15">
    <w:abstractNumId w:val="39"/>
  </w:num>
  <w:num w:numId="16">
    <w:abstractNumId w:val="14"/>
  </w:num>
  <w:num w:numId="17">
    <w:abstractNumId w:val="13"/>
  </w:num>
  <w:num w:numId="18">
    <w:abstractNumId w:val="42"/>
  </w:num>
  <w:num w:numId="19">
    <w:abstractNumId w:val="29"/>
  </w:num>
  <w:num w:numId="20">
    <w:abstractNumId w:val="21"/>
  </w:num>
  <w:num w:numId="21">
    <w:abstractNumId w:val="16"/>
  </w:num>
  <w:num w:numId="22">
    <w:abstractNumId w:val="22"/>
  </w:num>
  <w:num w:numId="23">
    <w:abstractNumId w:val="27"/>
  </w:num>
  <w:num w:numId="24">
    <w:abstractNumId w:val="19"/>
  </w:num>
  <w:num w:numId="25">
    <w:abstractNumId w:val="17"/>
  </w:num>
  <w:num w:numId="26">
    <w:abstractNumId w:val="23"/>
  </w:num>
  <w:num w:numId="27">
    <w:abstractNumId w:val="44"/>
  </w:num>
  <w:num w:numId="28">
    <w:abstractNumId w:val="10"/>
  </w:num>
  <w:num w:numId="29">
    <w:abstractNumId w:val="28"/>
  </w:num>
  <w:num w:numId="30">
    <w:abstractNumId w:val="12"/>
  </w:num>
  <w:num w:numId="31">
    <w:abstractNumId w:val="9"/>
  </w:num>
  <w:num w:numId="32">
    <w:abstractNumId w:val="7"/>
  </w:num>
  <w:num w:numId="33">
    <w:abstractNumId w:val="6"/>
  </w:num>
  <w:num w:numId="34">
    <w:abstractNumId w:val="5"/>
  </w:num>
  <w:num w:numId="35">
    <w:abstractNumId w:val="4"/>
  </w:num>
  <w:num w:numId="36">
    <w:abstractNumId w:val="8"/>
  </w:num>
  <w:num w:numId="37">
    <w:abstractNumId w:val="3"/>
  </w:num>
  <w:num w:numId="38">
    <w:abstractNumId w:val="2"/>
  </w:num>
  <w:num w:numId="39">
    <w:abstractNumId w:val="1"/>
  </w:num>
  <w:num w:numId="40">
    <w:abstractNumId w:val="0"/>
  </w:num>
  <w:num w:numId="41">
    <w:abstractNumId w:val="35"/>
  </w:num>
  <w:num w:numId="42">
    <w:abstractNumId w:val="11"/>
  </w:num>
  <w:num w:numId="43">
    <w:abstractNumId w:val="31"/>
  </w:num>
  <w:num w:numId="44">
    <w:abstractNumId w:val="37"/>
  </w:num>
  <w:num w:numId="45">
    <w:abstractNumId w:val="3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attachedTemplate r:id="rId1"/>
  <w:linkStyles/>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20"/>
  <w:hyphenationZone w:val="425"/>
  <w:characterSpacingControl w:val="doNotCompress"/>
  <w:hdrShapeDefaults>
    <o:shapedefaults v:ext="edit" spidmax="31745"/>
  </w:hdrShapeDefaults>
  <w:footnotePr>
    <w:footnote w:id="-1"/>
    <w:footnote w:id="0"/>
  </w:footnotePr>
  <w:endnotePr>
    <w:endnote w:id="-1"/>
    <w:endnote w:id="0"/>
  </w:endnotePr>
  <w:compat>
    <w:useFELayout/>
    <w:compatSetting w:name="compatibilityMode" w:uri="http://schemas.microsoft.com/office/word" w:val="12"/>
  </w:compat>
  <w:rsids>
    <w:rsidRoot w:val="00675158"/>
    <w:rsid w:val="00005E03"/>
    <w:rsid w:val="0003763D"/>
    <w:rsid w:val="0004680C"/>
    <w:rsid w:val="0006051E"/>
    <w:rsid w:val="00060D7D"/>
    <w:rsid w:val="00066442"/>
    <w:rsid w:val="00066EDC"/>
    <w:rsid w:val="0008124D"/>
    <w:rsid w:val="00081E1D"/>
    <w:rsid w:val="000848B0"/>
    <w:rsid w:val="000926F2"/>
    <w:rsid w:val="00093D63"/>
    <w:rsid w:val="00095734"/>
    <w:rsid w:val="000B1A8B"/>
    <w:rsid w:val="000B7685"/>
    <w:rsid w:val="000C1558"/>
    <w:rsid w:val="000C4D1F"/>
    <w:rsid w:val="000D46FC"/>
    <w:rsid w:val="000F7ED5"/>
    <w:rsid w:val="00110012"/>
    <w:rsid w:val="0011020B"/>
    <w:rsid w:val="00110567"/>
    <w:rsid w:val="0011165A"/>
    <w:rsid w:val="0012719D"/>
    <w:rsid w:val="001312B1"/>
    <w:rsid w:val="00133604"/>
    <w:rsid w:val="00146D0C"/>
    <w:rsid w:val="001550A8"/>
    <w:rsid w:val="001762E3"/>
    <w:rsid w:val="001922DF"/>
    <w:rsid w:val="001A3080"/>
    <w:rsid w:val="001A50FA"/>
    <w:rsid w:val="001C74C9"/>
    <w:rsid w:val="001D0B6B"/>
    <w:rsid w:val="001D70A7"/>
    <w:rsid w:val="001E0E0F"/>
    <w:rsid w:val="002056F9"/>
    <w:rsid w:val="00242688"/>
    <w:rsid w:val="00246260"/>
    <w:rsid w:val="00252705"/>
    <w:rsid w:val="00255C38"/>
    <w:rsid w:val="00256AEB"/>
    <w:rsid w:val="00263642"/>
    <w:rsid w:val="00264F96"/>
    <w:rsid w:val="00276762"/>
    <w:rsid w:val="0028392E"/>
    <w:rsid w:val="00285614"/>
    <w:rsid w:val="00287981"/>
    <w:rsid w:val="00292D5B"/>
    <w:rsid w:val="002B1F8A"/>
    <w:rsid w:val="002D3B45"/>
    <w:rsid w:val="002D7B20"/>
    <w:rsid w:val="002E310A"/>
    <w:rsid w:val="002F350A"/>
    <w:rsid w:val="002F4CDC"/>
    <w:rsid w:val="002F6DA2"/>
    <w:rsid w:val="00313542"/>
    <w:rsid w:val="0031761A"/>
    <w:rsid w:val="00321C4C"/>
    <w:rsid w:val="00340B33"/>
    <w:rsid w:val="00356691"/>
    <w:rsid w:val="00373D66"/>
    <w:rsid w:val="003741A5"/>
    <w:rsid w:val="003855A8"/>
    <w:rsid w:val="00395269"/>
    <w:rsid w:val="00395492"/>
    <w:rsid w:val="003A3FA3"/>
    <w:rsid w:val="003A4E19"/>
    <w:rsid w:val="003B45A0"/>
    <w:rsid w:val="003B52D2"/>
    <w:rsid w:val="003D06C6"/>
    <w:rsid w:val="003E6B6E"/>
    <w:rsid w:val="003F60E0"/>
    <w:rsid w:val="0040577A"/>
    <w:rsid w:val="00421497"/>
    <w:rsid w:val="004265FC"/>
    <w:rsid w:val="004410DF"/>
    <w:rsid w:val="00465B72"/>
    <w:rsid w:val="00470F8F"/>
    <w:rsid w:val="0047129E"/>
    <w:rsid w:val="00486168"/>
    <w:rsid w:val="00497C97"/>
    <w:rsid w:val="004A02B0"/>
    <w:rsid w:val="004A6CC1"/>
    <w:rsid w:val="004B5848"/>
    <w:rsid w:val="004C2E03"/>
    <w:rsid w:val="004D455B"/>
    <w:rsid w:val="004D4B57"/>
    <w:rsid w:val="004E3A2D"/>
    <w:rsid w:val="004E54FB"/>
    <w:rsid w:val="004E7437"/>
    <w:rsid w:val="004F4945"/>
    <w:rsid w:val="00511605"/>
    <w:rsid w:val="005167C6"/>
    <w:rsid w:val="00523E1E"/>
    <w:rsid w:val="00531359"/>
    <w:rsid w:val="005317F3"/>
    <w:rsid w:val="005331B9"/>
    <w:rsid w:val="005351FE"/>
    <w:rsid w:val="00542744"/>
    <w:rsid w:val="00544907"/>
    <w:rsid w:val="0054604E"/>
    <w:rsid w:val="00552E4E"/>
    <w:rsid w:val="00553445"/>
    <w:rsid w:val="00561817"/>
    <w:rsid w:val="005633F7"/>
    <w:rsid w:val="00567C07"/>
    <w:rsid w:val="00571809"/>
    <w:rsid w:val="005774AB"/>
    <w:rsid w:val="005A56D7"/>
    <w:rsid w:val="005B403A"/>
    <w:rsid w:val="005C36B4"/>
    <w:rsid w:val="005D78E3"/>
    <w:rsid w:val="006025E2"/>
    <w:rsid w:val="00613753"/>
    <w:rsid w:val="0066233D"/>
    <w:rsid w:val="00667EC7"/>
    <w:rsid w:val="00675158"/>
    <w:rsid w:val="00680111"/>
    <w:rsid w:val="00680776"/>
    <w:rsid w:val="006818BB"/>
    <w:rsid w:val="00687758"/>
    <w:rsid w:val="00694B31"/>
    <w:rsid w:val="006A0C8B"/>
    <w:rsid w:val="006B695E"/>
    <w:rsid w:val="006C2E4C"/>
    <w:rsid w:val="006E450D"/>
    <w:rsid w:val="006E7C50"/>
    <w:rsid w:val="006F08B4"/>
    <w:rsid w:val="006F26A6"/>
    <w:rsid w:val="0070363A"/>
    <w:rsid w:val="00706EC5"/>
    <w:rsid w:val="0071576B"/>
    <w:rsid w:val="00715CC8"/>
    <w:rsid w:val="0072531A"/>
    <w:rsid w:val="0072782F"/>
    <w:rsid w:val="00735537"/>
    <w:rsid w:val="007364D9"/>
    <w:rsid w:val="0074526F"/>
    <w:rsid w:val="00747BB6"/>
    <w:rsid w:val="00755846"/>
    <w:rsid w:val="0077196C"/>
    <w:rsid w:val="00774F90"/>
    <w:rsid w:val="00791921"/>
    <w:rsid w:val="00791C68"/>
    <w:rsid w:val="007939F8"/>
    <w:rsid w:val="00794E53"/>
    <w:rsid w:val="007A52DD"/>
    <w:rsid w:val="007A6531"/>
    <w:rsid w:val="007D4E3D"/>
    <w:rsid w:val="007D7325"/>
    <w:rsid w:val="007E19BE"/>
    <w:rsid w:val="007F2B1F"/>
    <w:rsid w:val="00806B84"/>
    <w:rsid w:val="0081104F"/>
    <w:rsid w:val="008131AE"/>
    <w:rsid w:val="00816531"/>
    <w:rsid w:val="008167EB"/>
    <w:rsid w:val="00816CC1"/>
    <w:rsid w:val="008247FA"/>
    <w:rsid w:val="0083036C"/>
    <w:rsid w:val="00834B41"/>
    <w:rsid w:val="00845B3D"/>
    <w:rsid w:val="00850E89"/>
    <w:rsid w:val="00855468"/>
    <w:rsid w:val="00855489"/>
    <w:rsid w:val="00874613"/>
    <w:rsid w:val="008B04CC"/>
    <w:rsid w:val="008B5AA3"/>
    <w:rsid w:val="008C60F5"/>
    <w:rsid w:val="008E4280"/>
    <w:rsid w:val="008F01A3"/>
    <w:rsid w:val="008F0565"/>
    <w:rsid w:val="009143C6"/>
    <w:rsid w:val="009259F5"/>
    <w:rsid w:val="00930ECE"/>
    <w:rsid w:val="00937CF5"/>
    <w:rsid w:val="00946108"/>
    <w:rsid w:val="00951321"/>
    <w:rsid w:val="00951E34"/>
    <w:rsid w:val="009538C9"/>
    <w:rsid w:val="00957BAF"/>
    <w:rsid w:val="009725EA"/>
    <w:rsid w:val="009740DA"/>
    <w:rsid w:val="0097765F"/>
    <w:rsid w:val="00981911"/>
    <w:rsid w:val="009A0440"/>
    <w:rsid w:val="009A7DE0"/>
    <w:rsid w:val="009B1B16"/>
    <w:rsid w:val="009B3195"/>
    <w:rsid w:val="009E7CE4"/>
    <w:rsid w:val="00A10F24"/>
    <w:rsid w:val="00A1283F"/>
    <w:rsid w:val="00A21364"/>
    <w:rsid w:val="00A61134"/>
    <w:rsid w:val="00A65C60"/>
    <w:rsid w:val="00A66049"/>
    <w:rsid w:val="00A74BD4"/>
    <w:rsid w:val="00A95239"/>
    <w:rsid w:val="00AA6D1E"/>
    <w:rsid w:val="00AB46A7"/>
    <w:rsid w:val="00AC022B"/>
    <w:rsid w:val="00AC217B"/>
    <w:rsid w:val="00AC3E74"/>
    <w:rsid w:val="00AD6DF0"/>
    <w:rsid w:val="00AD7162"/>
    <w:rsid w:val="00AF720B"/>
    <w:rsid w:val="00B134A1"/>
    <w:rsid w:val="00B13EC6"/>
    <w:rsid w:val="00B2389A"/>
    <w:rsid w:val="00B253DA"/>
    <w:rsid w:val="00B44B10"/>
    <w:rsid w:val="00B52912"/>
    <w:rsid w:val="00B61804"/>
    <w:rsid w:val="00B75BA4"/>
    <w:rsid w:val="00B82A9D"/>
    <w:rsid w:val="00BB21B1"/>
    <w:rsid w:val="00BB2E1E"/>
    <w:rsid w:val="00BC5A96"/>
    <w:rsid w:val="00BE34B4"/>
    <w:rsid w:val="00BE3C0C"/>
    <w:rsid w:val="00BE4245"/>
    <w:rsid w:val="00BF1029"/>
    <w:rsid w:val="00C00C11"/>
    <w:rsid w:val="00C05BB4"/>
    <w:rsid w:val="00C06DC5"/>
    <w:rsid w:val="00C1331C"/>
    <w:rsid w:val="00C25639"/>
    <w:rsid w:val="00C3286A"/>
    <w:rsid w:val="00C358F0"/>
    <w:rsid w:val="00C44A1E"/>
    <w:rsid w:val="00C46688"/>
    <w:rsid w:val="00C552CE"/>
    <w:rsid w:val="00C903D1"/>
    <w:rsid w:val="00CA4B46"/>
    <w:rsid w:val="00CC64CE"/>
    <w:rsid w:val="00CD6B09"/>
    <w:rsid w:val="00CD73A6"/>
    <w:rsid w:val="00CF325F"/>
    <w:rsid w:val="00D06AAC"/>
    <w:rsid w:val="00D1748C"/>
    <w:rsid w:val="00D2569F"/>
    <w:rsid w:val="00D330EB"/>
    <w:rsid w:val="00D7145F"/>
    <w:rsid w:val="00D715DD"/>
    <w:rsid w:val="00D770A9"/>
    <w:rsid w:val="00D911AB"/>
    <w:rsid w:val="00D918FD"/>
    <w:rsid w:val="00D92D7F"/>
    <w:rsid w:val="00DA0A18"/>
    <w:rsid w:val="00DC11CA"/>
    <w:rsid w:val="00DC663C"/>
    <w:rsid w:val="00DD2CDD"/>
    <w:rsid w:val="00DF5039"/>
    <w:rsid w:val="00DF758E"/>
    <w:rsid w:val="00E22697"/>
    <w:rsid w:val="00E31B5D"/>
    <w:rsid w:val="00E43833"/>
    <w:rsid w:val="00E64AD5"/>
    <w:rsid w:val="00E703C1"/>
    <w:rsid w:val="00E738FA"/>
    <w:rsid w:val="00E847AE"/>
    <w:rsid w:val="00E85C88"/>
    <w:rsid w:val="00E969A6"/>
    <w:rsid w:val="00EA487E"/>
    <w:rsid w:val="00EB07A6"/>
    <w:rsid w:val="00EB2D62"/>
    <w:rsid w:val="00EB5808"/>
    <w:rsid w:val="00EC45C9"/>
    <w:rsid w:val="00EC6274"/>
    <w:rsid w:val="00EC7AA3"/>
    <w:rsid w:val="00ED5DAF"/>
    <w:rsid w:val="00F02A06"/>
    <w:rsid w:val="00F208DF"/>
    <w:rsid w:val="00F20D7F"/>
    <w:rsid w:val="00F245B6"/>
    <w:rsid w:val="00F26575"/>
    <w:rsid w:val="00F37EC0"/>
    <w:rsid w:val="00F418A4"/>
    <w:rsid w:val="00F43999"/>
    <w:rsid w:val="00F65964"/>
    <w:rsid w:val="00F7219C"/>
    <w:rsid w:val="00F748DD"/>
    <w:rsid w:val="00F75866"/>
    <w:rsid w:val="00F772BE"/>
    <w:rsid w:val="00F9081F"/>
    <w:rsid w:val="00F950FD"/>
    <w:rsid w:val="00F953A9"/>
    <w:rsid w:val="00FA1AE2"/>
    <w:rsid w:val="00FA24CF"/>
    <w:rsid w:val="00FB3CCE"/>
    <w:rsid w:val="00FC043B"/>
    <w:rsid w:val="00FC6D2E"/>
    <w:rsid w:val="00FD7F73"/>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17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Times New Roman"/>
        <w:color w:val="000000"/>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0012"/>
    <w:pPr>
      <w:spacing w:after="120"/>
      <w:jc w:val="both"/>
    </w:pPr>
    <w:rPr>
      <w:rFonts w:ascii="Arial" w:hAnsi="Arial"/>
      <w:color w:val="auto"/>
      <w:sz w:val="20"/>
      <w:szCs w:val="20"/>
    </w:rPr>
  </w:style>
  <w:style w:type="paragraph" w:styleId="Heading1">
    <w:name w:val="heading 1"/>
    <w:basedOn w:val="H1"/>
    <w:next w:val="Normal"/>
    <w:link w:val="Heading1Char"/>
    <w:uiPriority w:val="9"/>
    <w:rsid w:val="00110012"/>
  </w:style>
  <w:style w:type="paragraph" w:styleId="Heading2">
    <w:name w:val="heading 2"/>
    <w:basedOn w:val="Normal"/>
    <w:next w:val="Normal"/>
    <w:link w:val="Heading2Char"/>
    <w:autoRedefine/>
    <w:uiPriority w:val="9"/>
    <w:unhideWhenUsed/>
    <w:qFormat/>
    <w:rsid w:val="00110012"/>
    <w:pPr>
      <w:keepNext/>
      <w:pBdr>
        <w:top w:val="single" w:sz="4" w:space="11" w:color="auto"/>
      </w:pBdr>
      <w:spacing w:before="240" w:after="240"/>
      <w:jc w:val="left"/>
      <w:outlineLvl w:val="1"/>
    </w:pPr>
    <w:rPr>
      <w:b/>
      <w:caps/>
      <w:sz w:val="24"/>
      <w:szCs w:val="26"/>
    </w:rPr>
  </w:style>
  <w:style w:type="paragraph" w:styleId="Heading3">
    <w:name w:val="heading 3"/>
    <w:basedOn w:val="Normal"/>
    <w:next w:val="Normal"/>
    <w:link w:val="Heading3Char"/>
    <w:uiPriority w:val="9"/>
    <w:unhideWhenUsed/>
    <w:qFormat/>
    <w:rsid w:val="00110012"/>
    <w:pPr>
      <w:keepNext/>
      <w:spacing w:before="240"/>
      <w:jc w:val="left"/>
      <w:outlineLvl w:val="2"/>
    </w:pPr>
    <w:rPr>
      <w:b/>
      <w:sz w:val="22"/>
      <w:szCs w:val="24"/>
    </w:rPr>
  </w:style>
  <w:style w:type="paragraph" w:styleId="Heading4">
    <w:name w:val="heading 4"/>
    <w:basedOn w:val="Normal"/>
    <w:next w:val="Normal"/>
    <w:link w:val="Heading4Char"/>
    <w:uiPriority w:val="9"/>
    <w:unhideWhenUsed/>
    <w:qFormat/>
    <w:rsid w:val="005774AB"/>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5774AB"/>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675158"/>
    <w:pPr>
      <w:spacing w:line="480" w:lineRule="auto"/>
    </w:pPr>
    <w:rPr>
      <w:rFonts w:ascii="Times New Roman" w:eastAsia="Times New Roman" w:hAnsi="Times New Roman"/>
    </w:rPr>
  </w:style>
  <w:style w:type="character" w:customStyle="1" w:styleId="BodyText2Char">
    <w:name w:val="Body Text 2 Char"/>
    <w:basedOn w:val="DefaultParagraphFont"/>
    <w:link w:val="BodyText2"/>
    <w:rsid w:val="00675158"/>
    <w:rPr>
      <w:rFonts w:ascii="Times New Roman" w:eastAsia="Times New Roman" w:hAnsi="Times New Roman"/>
      <w:color w:val="auto"/>
      <w:sz w:val="20"/>
      <w:szCs w:val="20"/>
    </w:rPr>
  </w:style>
  <w:style w:type="paragraph" w:styleId="ListParagraph">
    <w:name w:val="List Paragraph"/>
    <w:basedOn w:val="Normal"/>
    <w:link w:val="ListParagraphChar"/>
    <w:uiPriority w:val="34"/>
    <w:qFormat/>
    <w:rsid w:val="00110012"/>
    <w:pPr>
      <w:spacing w:after="240"/>
      <w:ind w:left="720"/>
      <w:contextualSpacing/>
    </w:pPr>
    <w:rPr>
      <w:rFonts w:eastAsiaTheme="minorHAnsi" w:cstheme="minorBidi"/>
      <w:szCs w:val="22"/>
    </w:rPr>
  </w:style>
  <w:style w:type="character" w:customStyle="1" w:styleId="ListParagraphChar">
    <w:name w:val="List Paragraph Char"/>
    <w:basedOn w:val="DefaultParagraphFont"/>
    <w:link w:val="ListParagraph"/>
    <w:uiPriority w:val="34"/>
    <w:rsid w:val="00110012"/>
    <w:rPr>
      <w:rFonts w:ascii="Arial" w:eastAsiaTheme="minorHAnsi" w:hAnsi="Arial" w:cstheme="minorBidi"/>
      <w:color w:val="auto"/>
      <w:sz w:val="20"/>
    </w:rPr>
  </w:style>
  <w:style w:type="table" w:styleId="TableGrid">
    <w:name w:val="Table Grid"/>
    <w:basedOn w:val="TableNormal"/>
    <w:uiPriority w:val="59"/>
    <w:rsid w:val="00110012"/>
    <w:rPr>
      <w:rFonts w:ascii="Cambria" w:hAnsi="Cambria"/>
      <w:color w:val="aut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1550A8"/>
    <w:pPr>
      <w:spacing w:before="120"/>
    </w:pPr>
    <w:rPr>
      <w:rFonts w:asciiTheme="minorHAnsi" w:eastAsiaTheme="minorHAnsi" w:hAnsiTheme="minorHAnsi" w:cstheme="minorBidi"/>
      <w:b/>
      <w:bCs/>
      <w:color w:val="943634" w:themeColor="accent2" w:themeShade="BF"/>
      <w:sz w:val="18"/>
      <w:szCs w:val="18"/>
    </w:rPr>
  </w:style>
  <w:style w:type="paragraph" w:styleId="FootnoteText">
    <w:name w:val="footnote text"/>
    <w:basedOn w:val="Normal"/>
    <w:link w:val="FootnoteTextChar"/>
    <w:uiPriority w:val="99"/>
    <w:unhideWhenUsed/>
    <w:rsid w:val="00110012"/>
    <w:pPr>
      <w:spacing w:after="0"/>
    </w:pPr>
    <w:rPr>
      <w:sz w:val="16"/>
      <w:szCs w:val="22"/>
    </w:rPr>
  </w:style>
  <w:style w:type="character" w:customStyle="1" w:styleId="FootnoteTextChar">
    <w:name w:val="Footnote Text Char"/>
    <w:basedOn w:val="DefaultParagraphFont"/>
    <w:link w:val="FootnoteText"/>
    <w:uiPriority w:val="99"/>
    <w:rsid w:val="00110012"/>
    <w:rPr>
      <w:rFonts w:ascii="Arial" w:hAnsi="Arial"/>
      <w:color w:val="auto"/>
      <w:sz w:val="16"/>
    </w:rPr>
  </w:style>
  <w:style w:type="character" w:styleId="FootnoteReference">
    <w:name w:val="footnote reference"/>
    <w:basedOn w:val="DefaultParagraphFont"/>
    <w:uiPriority w:val="99"/>
    <w:unhideWhenUsed/>
    <w:rsid w:val="00110012"/>
    <w:rPr>
      <w:vertAlign w:val="superscript"/>
    </w:rPr>
  </w:style>
  <w:style w:type="paragraph" w:styleId="BalloonText">
    <w:name w:val="Balloon Text"/>
    <w:basedOn w:val="Normal"/>
    <w:link w:val="BalloonTextChar"/>
    <w:uiPriority w:val="99"/>
    <w:semiHidden/>
    <w:unhideWhenUsed/>
    <w:rsid w:val="00110012"/>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10012"/>
    <w:rPr>
      <w:rFonts w:ascii="Lucida Grande" w:hAnsi="Lucida Grande" w:cs="Lucida Grande"/>
      <w:color w:val="auto"/>
      <w:sz w:val="18"/>
      <w:szCs w:val="18"/>
    </w:rPr>
  </w:style>
  <w:style w:type="paragraph" w:styleId="CommentText">
    <w:name w:val="annotation text"/>
    <w:basedOn w:val="Normal"/>
    <w:link w:val="CommentTextChar"/>
    <w:uiPriority w:val="99"/>
    <w:unhideWhenUsed/>
    <w:rsid w:val="00791C68"/>
    <w:rPr>
      <w:sz w:val="24"/>
      <w:szCs w:val="24"/>
    </w:rPr>
  </w:style>
  <w:style w:type="character" w:customStyle="1" w:styleId="CommentTextChar">
    <w:name w:val="Comment Text Char"/>
    <w:basedOn w:val="DefaultParagraphFont"/>
    <w:link w:val="CommentText"/>
    <w:uiPriority w:val="99"/>
    <w:rsid w:val="00791C68"/>
    <w:rPr>
      <w:rFonts w:ascii="Arial" w:hAnsi="Arial" w:cs="Arial"/>
      <w:color w:val="auto"/>
      <w:sz w:val="24"/>
      <w:szCs w:val="24"/>
      <w:lang w:val="en-GB"/>
    </w:rPr>
  </w:style>
  <w:style w:type="paragraph" w:styleId="Revision">
    <w:name w:val="Revision"/>
    <w:hidden/>
    <w:uiPriority w:val="99"/>
    <w:semiHidden/>
    <w:rsid w:val="00110012"/>
    <w:rPr>
      <w:rFonts w:ascii="Arial" w:hAnsi="Arial" w:cs="Arial"/>
      <w:color w:val="auto"/>
      <w:sz w:val="21"/>
      <w:szCs w:val="21"/>
    </w:rPr>
  </w:style>
  <w:style w:type="paragraph" w:styleId="Header">
    <w:name w:val="header"/>
    <w:basedOn w:val="Normal"/>
    <w:link w:val="HeaderChar"/>
    <w:uiPriority w:val="99"/>
    <w:unhideWhenUsed/>
    <w:rsid w:val="00110012"/>
    <w:pPr>
      <w:spacing w:after="0" w:line="288" w:lineRule="auto"/>
      <w:jc w:val="left"/>
    </w:pPr>
    <w:rPr>
      <w:sz w:val="16"/>
    </w:rPr>
  </w:style>
  <w:style w:type="character" w:customStyle="1" w:styleId="HeaderChar">
    <w:name w:val="Header Char"/>
    <w:basedOn w:val="DefaultParagraphFont"/>
    <w:link w:val="Header"/>
    <w:uiPriority w:val="99"/>
    <w:rsid w:val="00110012"/>
    <w:rPr>
      <w:rFonts w:ascii="Arial" w:hAnsi="Arial"/>
      <w:color w:val="auto"/>
      <w:sz w:val="16"/>
      <w:szCs w:val="20"/>
    </w:rPr>
  </w:style>
  <w:style w:type="paragraph" w:styleId="Footer">
    <w:name w:val="footer"/>
    <w:basedOn w:val="Normal"/>
    <w:link w:val="FooterChar"/>
    <w:uiPriority w:val="99"/>
    <w:unhideWhenUsed/>
    <w:rsid w:val="00110012"/>
    <w:pPr>
      <w:spacing w:after="0"/>
      <w:jc w:val="left"/>
    </w:pPr>
    <w:rPr>
      <w:sz w:val="16"/>
      <w:szCs w:val="18"/>
    </w:rPr>
  </w:style>
  <w:style w:type="character" w:customStyle="1" w:styleId="FooterChar">
    <w:name w:val="Footer Char"/>
    <w:basedOn w:val="DefaultParagraphFont"/>
    <w:link w:val="Footer"/>
    <w:uiPriority w:val="99"/>
    <w:rsid w:val="00110012"/>
    <w:rPr>
      <w:rFonts w:ascii="Arial" w:hAnsi="Arial"/>
      <w:color w:val="auto"/>
      <w:sz w:val="16"/>
      <w:szCs w:val="18"/>
    </w:rPr>
  </w:style>
  <w:style w:type="character" w:styleId="PageNumber">
    <w:name w:val="page number"/>
    <w:basedOn w:val="DefaultParagraphFont"/>
    <w:uiPriority w:val="99"/>
    <w:unhideWhenUsed/>
    <w:rsid w:val="00110012"/>
    <w:rPr>
      <w:b/>
    </w:rPr>
  </w:style>
  <w:style w:type="character" w:styleId="CommentReference">
    <w:name w:val="annotation reference"/>
    <w:basedOn w:val="DefaultParagraphFont"/>
    <w:uiPriority w:val="99"/>
    <w:semiHidden/>
    <w:unhideWhenUsed/>
    <w:rsid w:val="00110012"/>
    <w:rPr>
      <w:sz w:val="18"/>
      <w:szCs w:val="18"/>
    </w:rPr>
  </w:style>
  <w:style w:type="paragraph" w:styleId="CommentSubject">
    <w:name w:val="annotation subject"/>
    <w:basedOn w:val="Normal"/>
    <w:link w:val="CommentSubjectChar"/>
    <w:uiPriority w:val="99"/>
    <w:semiHidden/>
    <w:unhideWhenUsed/>
    <w:rsid w:val="00110012"/>
    <w:rPr>
      <w:b/>
      <w:bCs/>
    </w:rPr>
  </w:style>
  <w:style w:type="character" w:customStyle="1" w:styleId="CommentSubjectChar">
    <w:name w:val="Comment Subject Char"/>
    <w:basedOn w:val="DefaultParagraphFont"/>
    <w:link w:val="CommentSubject"/>
    <w:uiPriority w:val="99"/>
    <w:semiHidden/>
    <w:rsid w:val="00110012"/>
    <w:rPr>
      <w:rFonts w:ascii="Arial" w:hAnsi="Arial"/>
      <w:b/>
      <w:bCs/>
      <w:color w:val="auto"/>
      <w:sz w:val="20"/>
      <w:szCs w:val="20"/>
    </w:rPr>
  </w:style>
  <w:style w:type="paragraph" w:customStyle="1" w:styleId="BasicParagraph">
    <w:name w:val="[Basic Paragraph]"/>
    <w:basedOn w:val="Normal"/>
    <w:uiPriority w:val="99"/>
    <w:rsid w:val="00110012"/>
    <w:pPr>
      <w:widowControl w:val="0"/>
      <w:autoSpaceDE w:val="0"/>
      <w:autoSpaceDN w:val="0"/>
      <w:adjustRightInd w:val="0"/>
      <w:spacing w:after="0" w:line="288" w:lineRule="auto"/>
      <w:jc w:val="left"/>
      <w:textAlignment w:val="center"/>
    </w:pPr>
    <w:rPr>
      <w:rFonts w:ascii="Times-Roman" w:eastAsia="Cambria" w:hAnsi="Times-Roman" w:cs="Times-Roman"/>
      <w:color w:val="000000"/>
      <w:szCs w:val="24"/>
    </w:rPr>
  </w:style>
  <w:style w:type="paragraph" w:customStyle="1" w:styleId="Bullet1">
    <w:name w:val="Bullet 1"/>
    <w:basedOn w:val="Normal"/>
    <w:autoRedefine/>
    <w:rsid w:val="00110012"/>
    <w:pPr>
      <w:numPr>
        <w:numId w:val="1"/>
      </w:numPr>
      <w:spacing w:before="60"/>
      <w:ind w:left="714" w:hanging="357"/>
      <w:jc w:val="left"/>
    </w:pPr>
    <w:rPr>
      <w:rFonts w:eastAsia="Times New Roman"/>
      <w:color w:val="000000"/>
    </w:rPr>
  </w:style>
  <w:style w:type="paragraph" w:customStyle="1" w:styleId="Default">
    <w:name w:val="Default"/>
    <w:rsid w:val="00110012"/>
    <w:pPr>
      <w:widowControl w:val="0"/>
      <w:autoSpaceDE w:val="0"/>
      <w:autoSpaceDN w:val="0"/>
      <w:adjustRightInd w:val="0"/>
    </w:pPr>
    <w:rPr>
      <w:rFonts w:ascii="Arial" w:hAnsi="Arial" w:cs="Arial"/>
      <w:sz w:val="24"/>
      <w:szCs w:val="24"/>
    </w:rPr>
  </w:style>
  <w:style w:type="character" w:styleId="FollowedHyperlink">
    <w:name w:val="FollowedHyperlink"/>
    <w:basedOn w:val="DefaultParagraphFont"/>
    <w:uiPriority w:val="99"/>
    <w:semiHidden/>
    <w:unhideWhenUsed/>
    <w:rsid w:val="00110012"/>
    <w:rPr>
      <w:color w:val="800080" w:themeColor="followedHyperlink"/>
      <w:u w:val="single"/>
    </w:rPr>
  </w:style>
  <w:style w:type="paragraph" w:customStyle="1" w:styleId="H1">
    <w:name w:val="H1"/>
    <w:basedOn w:val="Normal"/>
    <w:link w:val="H1Char"/>
    <w:qFormat/>
    <w:rsid w:val="00110012"/>
    <w:pPr>
      <w:spacing w:before="360" w:after="240"/>
      <w:jc w:val="left"/>
      <w:outlineLvl w:val="0"/>
    </w:pPr>
    <w:rPr>
      <w:b/>
      <w:sz w:val="40"/>
      <w:szCs w:val="52"/>
    </w:rPr>
  </w:style>
  <w:style w:type="character" w:customStyle="1" w:styleId="H1Char">
    <w:name w:val="H1 Char"/>
    <w:basedOn w:val="DefaultParagraphFont"/>
    <w:link w:val="H1"/>
    <w:rsid w:val="00110012"/>
    <w:rPr>
      <w:rFonts w:ascii="Arial" w:hAnsi="Arial"/>
      <w:b/>
      <w:color w:val="auto"/>
      <w:sz w:val="40"/>
      <w:szCs w:val="52"/>
    </w:rPr>
  </w:style>
  <w:style w:type="paragraph" w:customStyle="1" w:styleId="Header1">
    <w:name w:val="Header 1"/>
    <w:basedOn w:val="Header"/>
    <w:rsid w:val="00110012"/>
    <w:rPr>
      <w:b/>
      <w:sz w:val="24"/>
      <w:szCs w:val="24"/>
    </w:rPr>
  </w:style>
  <w:style w:type="character" w:customStyle="1" w:styleId="Heading1Char">
    <w:name w:val="Heading 1 Char"/>
    <w:basedOn w:val="DefaultParagraphFont"/>
    <w:link w:val="Heading1"/>
    <w:uiPriority w:val="9"/>
    <w:rsid w:val="00110012"/>
    <w:rPr>
      <w:rFonts w:ascii="Arial" w:hAnsi="Arial"/>
      <w:b/>
      <w:color w:val="auto"/>
      <w:sz w:val="40"/>
      <w:szCs w:val="52"/>
    </w:rPr>
  </w:style>
  <w:style w:type="character" w:customStyle="1" w:styleId="Heading2Char">
    <w:name w:val="Heading 2 Char"/>
    <w:basedOn w:val="DefaultParagraphFont"/>
    <w:link w:val="Heading2"/>
    <w:uiPriority w:val="9"/>
    <w:rsid w:val="00110012"/>
    <w:rPr>
      <w:rFonts w:ascii="Arial" w:hAnsi="Arial"/>
      <w:b/>
      <w:caps/>
      <w:color w:val="auto"/>
      <w:sz w:val="24"/>
      <w:szCs w:val="26"/>
    </w:rPr>
  </w:style>
  <w:style w:type="character" w:customStyle="1" w:styleId="Heading3Char">
    <w:name w:val="Heading 3 Char"/>
    <w:basedOn w:val="DefaultParagraphFont"/>
    <w:link w:val="Heading3"/>
    <w:uiPriority w:val="9"/>
    <w:rsid w:val="00110012"/>
    <w:rPr>
      <w:rFonts w:ascii="Arial" w:hAnsi="Arial"/>
      <w:b/>
      <w:color w:val="auto"/>
      <w:szCs w:val="24"/>
    </w:rPr>
  </w:style>
  <w:style w:type="character" w:styleId="Hyperlink">
    <w:name w:val="Hyperlink"/>
    <w:basedOn w:val="DefaultParagraphFont"/>
    <w:uiPriority w:val="99"/>
    <w:unhideWhenUsed/>
    <w:rsid w:val="00110012"/>
    <w:rPr>
      <w:color w:val="0000FF" w:themeColor="hyperlink"/>
      <w:u w:val="single"/>
    </w:rPr>
  </w:style>
  <w:style w:type="character" w:customStyle="1" w:styleId="Pantone485">
    <w:name w:val="Pantone 485"/>
    <w:basedOn w:val="DefaultParagraphFont"/>
    <w:uiPriority w:val="1"/>
    <w:qFormat/>
    <w:rsid w:val="00110012"/>
    <w:rPr>
      <w:rFonts w:cs="Caecilia-Light"/>
      <w:color w:val="DC281E"/>
      <w:szCs w:val="16"/>
    </w:rPr>
  </w:style>
  <w:style w:type="paragraph" w:customStyle="1" w:styleId="RefItem1">
    <w:name w:val="Ref Item 1"/>
    <w:basedOn w:val="Normal"/>
    <w:rsid w:val="00110012"/>
    <w:pPr>
      <w:jc w:val="left"/>
    </w:pPr>
    <w:rPr>
      <w:color w:val="000000"/>
      <w:szCs w:val="24"/>
      <w:lang w:eastAsia="it-IT"/>
    </w:rPr>
  </w:style>
  <w:style w:type="paragraph" w:customStyle="1" w:styleId="RefTitre">
    <w:name w:val="Ref Titre"/>
    <w:basedOn w:val="Normal"/>
    <w:rsid w:val="00110012"/>
    <w:pPr>
      <w:jc w:val="left"/>
    </w:pPr>
    <w:rPr>
      <w:rFonts w:eastAsia="Times New Roman"/>
      <w:b/>
      <w:bCs/>
      <w:sz w:val="26"/>
      <w:szCs w:val="26"/>
    </w:rPr>
  </w:style>
  <w:style w:type="table" w:customStyle="1" w:styleId="TableGray">
    <w:name w:val="Table Gray"/>
    <w:basedOn w:val="TableNormal"/>
    <w:uiPriority w:val="99"/>
    <w:rsid w:val="00110012"/>
    <w:rPr>
      <w:rFonts w:asciiTheme="minorHAnsi" w:hAnsiTheme="minorHAnsi"/>
      <w:color w:val="auto"/>
      <w:sz w:val="20"/>
      <w:szCs w:val="20"/>
    </w:rPr>
    <w:tblPr>
      <w:tblCellMar>
        <w:top w:w="142" w:type="dxa"/>
        <w:left w:w="142" w:type="dxa"/>
        <w:bottom w:w="142" w:type="dxa"/>
        <w:right w:w="142" w:type="dxa"/>
      </w:tblCellMar>
    </w:tblPr>
    <w:tcPr>
      <w:shd w:val="clear" w:color="auto" w:fill="D9D9D9" w:themeFill="background1" w:themeFillShade="D9"/>
    </w:tcPr>
  </w:style>
  <w:style w:type="character" w:customStyle="1" w:styleId="Heading4Char">
    <w:name w:val="Heading 4 Char"/>
    <w:basedOn w:val="DefaultParagraphFont"/>
    <w:link w:val="Heading4"/>
    <w:uiPriority w:val="9"/>
    <w:rsid w:val="005774AB"/>
    <w:rPr>
      <w:rFonts w:eastAsiaTheme="majorEastAsia" w:cstheme="majorBidi"/>
      <w:b/>
      <w:bCs/>
      <w:i/>
      <w:iCs/>
      <w:color w:val="4F81BD" w:themeColor="accent1"/>
      <w:sz w:val="20"/>
      <w:szCs w:val="21"/>
      <w:lang w:val="en-GB"/>
    </w:rPr>
  </w:style>
  <w:style w:type="character" w:customStyle="1" w:styleId="Heading5Char">
    <w:name w:val="Heading 5 Char"/>
    <w:basedOn w:val="DefaultParagraphFont"/>
    <w:link w:val="Heading5"/>
    <w:uiPriority w:val="9"/>
    <w:rsid w:val="005774AB"/>
    <w:rPr>
      <w:rFonts w:eastAsiaTheme="majorEastAsia" w:cstheme="majorBidi"/>
      <w:color w:val="243F60" w:themeColor="accent1" w:themeShade="7F"/>
      <w:sz w:val="20"/>
      <w:szCs w:val="21"/>
      <w:lang w:val="en-GB"/>
    </w:rPr>
  </w:style>
  <w:style w:type="paragraph" w:customStyle="1" w:styleId="Bullet2">
    <w:name w:val="Bullet 2"/>
    <w:basedOn w:val="ListParagraph"/>
    <w:rsid w:val="00110012"/>
    <w:pPr>
      <w:numPr>
        <w:numId w:val="41"/>
      </w:numPr>
      <w:tabs>
        <w:tab w:val="left" w:pos="7230"/>
      </w:tabs>
      <w:spacing w:before="240"/>
    </w:pPr>
    <w:rPr>
      <w:rFonts w:cs="Arial"/>
    </w:rPr>
  </w:style>
  <w:style w:type="paragraph" w:customStyle="1" w:styleId="ListNumber1">
    <w:name w:val="List Number 1"/>
    <w:basedOn w:val="Normal"/>
    <w:rsid w:val="00110012"/>
    <w:pPr>
      <w:numPr>
        <w:ilvl w:val="1"/>
        <w:numId w:val="42"/>
      </w:numPr>
      <w:contextualSpacing/>
    </w:pPr>
    <w:rPr>
      <w:rFonts w:eastAsiaTheme="minorHAnsi" w:cstheme="minorHAnsi"/>
      <w:szCs w:val="22"/>
    </w:rPr>
  </w:style>
  <w:style w:type="paragraph" w:customStyle="1" w:styleId="NormalNo">
    <w:name w:val="Normal + No"/>
    <w:basedOn w:val="Normal"/>
    <w:qFormat/>
    <w:rsid w:val="00110012"/>
    <w:pPr>
      <w:numPr>
        <w:numId w:val="43"/>
      </w:numPr>
    </w:pPr>
    <w:rPr>
      <w:rFonts w:eastAsia="MS Mincho"/>
      <w:b/>
      <w:sz w:val="22"/>
    </w:rPr>
  </w:style>
  <w:style w:type="paragraph" w:customStyle="1" w:styleId="Bullet3">
    <w:name w:val="Bullet 3"/>
    <w:basedOn w:val="ListParagraph"/>
    <w:qFormat/>
    <w:rsid w:val="00110012"/>
    <w:pPr>
      <w:numPr>
        <w:numId w:val="44"/>
      </w:numPr>
      <w:spacing w:before="120" w:after="120"/>
      <w:ind w:right="425"/>
    </w:pPr>
    <w:rPr>
      <w:rFonts w:cs="Arial"/>
      <w:i/>
      <w:iCs/>
    </w:rPr>
  </w:style>
  <w:style w:type="paragraph" w:customStyle="1" w:styleId="Indent">
    <w:name w:val="Indent"/>
    <w:basedOn w:val="Normal"/>
    <w:qFormat/>
    <w:rsid w:val="00110012"/>
    <w:pPr>
      <w:ind w:left="567"/>
    </w:pPr>
    <w:rPr>
      <w:rFonts w:cs="Arial"/>
      <w:b/>
    </w:rPr>
  </w:style>
  <w:style w:type="paragraph" w:customStyle="1" w:styleId="Heading3NotBold">
    <w:name w:val="Heading 3 Not Bold"/>
    <w:basedOn w:val="Normal"/>
    <w:qFormat/>
    <w:rsid w:val="00292D5B"/>
    <w:pPr>
      <w:widowControl w:val="0"/>
      <w:spacing w:before="240"/>
    </w:pPr>
    <w:rPr>
      <w:rFonts w:cs="Arial"/>
      <w:sz w:val="22"/>
    </w:rPr>
  </w:style>
  <w:style w:type="paragraph" w:customStyle="1" w:styleId="TitreTableau">
    <w:name w:val="Titre Tableau"/>
    <w:basedOn w:val="Normal"/>
    <w:qFormat/>
    <w:rsid w:val="00110012"/>
    <w:pPr>
      <w:spacing w:before="120"/>
      <w:jc w:val="center"/>
    </w:pPr>
    <w:rPr>
      <w:rFonts w:cs="Arial"/>
      <w:b/>
      <w:bCs/>
      <w:color w:val="FFFFFF" w:themeColor="background1"/>
      <w:lang w:val="en-CA"/>
    </w:rPr>
  </w:style>
  <w:style w:type="paragraph" w:customStyle="1" w:styleId="BulletTableau">
    <w:name w:val="Bullet Tableau"/>
    <w:basedOn w:val="Bullet2"/>
    <w:qFormat/>
    <w:rsid w:val="00110012"/>
    <w:pPr>
      <w:keepNext/>
      <w:keepLines/>
      <w:framePr w:hSpace="141" w:wrap="around" w:vAnchor="text" w:hAnchor="margin" w:y="402"/>
      <w:numPr>
        <w:numId w:val="45"/>
      </w:numPr>
      <w:spacing w:beforeLines="60" w:afterLines="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085432">
      <w:bodyDiv w:val="1"/>
      <w:marLeft w:val="0"/>
      <w:marRight w:val="0"/>
      <w:marTop w:val="0"/>
      <w:marBottom w:val="0"/>
      <w:divBdr>
        <w:top w:val="none" w:sz="0" w:space="0" w:color="auto"/>
        <w:left w:val="none" w:sz="0" w:space="0" w:color="auto"/>
        <w:bottom w:val="none" w:sz="0" w:space="0" w:color="auto"/>
        <w:right w:val="none" w:sz="0" w:space="0" w:color="auto"/>
      </w:divBdr>
    </w:div>
    <w:div w:id="1059335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crc.org/eng/assets/files/publications/icrc-002-4200.pdf" TargetMode="External"/><Relationship Id="rId13" Type="http://schemas.openxmlformats.org/officeDocument/2006/relationships/header" Target="head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ifrc.org/PageFiles/94411/IFRC%20BCA%20Lesson%20Learned%20doc_final.pdf" TargetMode="Externa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Clients\Croix%20Rouge\ICRC_Template.dotx" TargetMode="External"/></Relationships>
</file>

<file path=word/theme/theme1.xml><?xml version="1.0" encoding="utf-8"?>
<a:theme xmlns:a="http://schemas.openxmlformats.org/drawingml/2006/main" name="IFRC1">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ICRC_Template.dotx</Template>
  <TotalTime>612</TotalTime>
  <Pages>3</Pages>
  <Words>1751</Words>
  <Characters>9984</Characters>
  <Application>Microsoft Office Word</Application>
  <DocSecurity>0</DocSecurity>
  <Lines>83</Lines>
  <Paragraphs>23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11712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Pantaleo Creti</dc:creator>
  <cp:lastModifiedBy>Florence MAROT</cp:lastModifiedBy>
  <cp:revision>43</cp:revision>
  <cp:lastPrinted>2016-03-09T12:50:00Z</cp:lastPrinted>
  <dcterms:created xsi:type="dcterms:W3CDTF">2015-09-16T20:35:00Z</dcterms:created>
  <dcterms:modified xsi:type="dcterms:W3CDTF">2016-03-17T16:21:00Z</dcterms:modified>
</cp:coreProperties>
</file>