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5326C" w14:textId="6FABB9A3" w:rsidR="00104FA7" w:rsidRPr="00104FA7" w:rsidRDefault="00DD62BD" w:rsidP="53F14CD4">
      <w:pPr>
        <w:pStyle w:val="H1"/>
      </w:pPr>
      <w:r>
        <w:t xml:space="preserve">Termes de </w:t>
      </w:r>
      <w:proofErr w:type="gramStart"/>
      <w:r>
        <w:t>Références</w:t>
      </w:r>
      <w:r w:rsidR="00447D73">
        <w:t xml:space="preserve">  -</w:t>
      </w:r>
      <w:proofErr w:type="gramEnd"/>
      <w:r w:rsidR="00447D73">
        <w:t xml:space="preserve"> point focal TM </w:t>
      </w:r>
    </w:p>
    <w:tbl>
      <w:tblPr>
        <w:tblW w:w="9639" w:type="dxa"/>
        <w:tblInd w:w="108" w:type="dxa"/>
        <w:tblBorders>
          <w:top w:val="nil"/>
          <w:left w:val="nil"/>
          <w:bottom w:val="nil"/>
          <w:right w:val="nil"/>
        </w:tblBorders>
        <w:tblLayout w:type="fixed"/>
        <w:tblLook w:val="0000" w:firstRow="0" w:lastRow="0" w:firstColumn="0" w:lastColumn="0" w:noHBand="0" w:noVBand="0"/>
      </w:tblPr>
      <w:tblGrid>
        <w:gridCol w:w="4820"/>
        <w:gridCol w:w="4819"/>
      </w:tblGrid>
      <w:tr w:rsidR="00E70465" w:rsidRPr="00D45B76" w14:paraId="0C382C3A" w14:textId="77777777" w:rsidTr="00D45B76">
        <w:trPr>
          <w:trHeight w:val="265"/>
        </w:trPr>
        <w:tc>
          <w:tcPr>
            <w:tcW w:w="4820" w:type="dxa"/>
            <w:tcBorders>
              <w:top w:val="single" w:sz="4" w:space="0" w:color="auto"/>
              <w:left w:val="single" w:sz="4" w:space="0" w:color="auto"/>
              <w:bottom w:val="single" w:sz="4" w:space="0" w:color="auto"/>
              <w:right w:val="single" w:sz="4" w:space="0" w:color="auto"/>
            </w:tcBorders>
            <w:shd w:val="clear" w:color="auto" w:fill="DC281E"/>
          </w:tcPr>
          <w:p w14:paraId="2F220927" w14:textId="29FDA784" w:rsidR="00495680" w:rsidRPr="00D45B76" w:rsidRDefault="00495680" w:rsidP="00760AA7">
            <w:pPr>
              <w:pStyle w:val="Default"/>
              <w:spacing w:before="60" w:after="60"/>
              <w:rPr>
                <w:b/>
                <w:color w:val="FFFFFF" w:themeColor="background1"/>
                <w:sz w:val="20"/>
                <w:szCs w:val="20"/>
              </w:rPr>
            </w:pPr>
            <w:r>
              <w:rPr>
                <w:b/>
                <w:color w:val="FFFFFF" w:themeColor="background1"/>
                <w:sz w:val="20"/>
              </w:rPr>
              <w:t xml:space="preserve">Position : </w:t>
            </w:r>
            <w:r w:rsidR="00DD62BD">
              <w:rPr>
                <w:b/>
                <w:color w:val="FFFFFF" w:themeColor="background1"/>
                <w:sz w:val="20"/>
              </w:rPr>
              <w:t>Point focal en TM</w:t>
            </w:r>
            <w:r>
              <w:rPr>
                <w:b/>
                <w:color w:val="FFFFFF" w:themeColor="background1"/>
                <w:sz w:val="20"/>
              </w:rPr>
              <w:t>.</w:t>
            </w:r>
          </w:p>
        </w:tc>
        <w:tc>
          <w:tcPr>
            <w:tcW w:w="4819" w:type="dxa"/>
            <w:tcBorders>
              <w:top w:val="single" w:sz="4" w:space="0" w:color="auto"/>
              <w:left w:val="single" w:sz="4" w:space="0" w:color="auto"/>
              <w:bottom w:val="single" w:sz="4" w:space="0" w:color="auto"/>
              <w:right w:val="single" w:sz="4" w:space="0" w:color="auto"/>
            </w:tcBorders>
            <w:shd w:val="clear" w:color="auto" w:fill="DC281E"/>
          </w:tcPr>
          <w:p w14:paraId="47C5D98F" w14:textId="77777777" w:rsidR="00495680" w:rsidRPr="00D45B76" w:rsidRDefault="00495680" w:rsidP="004F3BDE">
            <w:pPr>
              <w:pStyle w:val="Default"/>
              <w:spacing w:before="60" w:after="60"/>
              <w:rPr>
                <w:b/>
                <w:color w:val="FFFFFF" w:themeColor="background1"/>
                <w:sz w:val="20"/>
                <w:szCs w:val="20"/>
              </w:rPr>
            </w:pPr>
            <w:r>
              <w:rPr>
                <w:b/>
                <w:color w:val="FFFFFF" w:themeColor="background1"/>
                <w:sz w:val="20"/>
              </w:rPr>
              <w:t>Condition : Personnel technique</w:t>
            </w:r>
          </w:p>
        </w:tc>
      </w:tr>
      <w:tr w:rsidR="00E70465" w:rsidRPr="006A4BB9" w14:paraId="7166639F" w14:textId="77777777" w:rsidTr="53F14CD4">
        <w:trPr>
          <w:trHeight w:val="183"/>
        </w:trPr>
        <w:tc>
          <w:tcPr>
            <w:tcW w:w="4820" w:type="dxa"/>
            <w:tcBorders>
              <w:top w:val="single" w:sz="4" w:space="0" w:color="auto"/>
              <w:left w:val="single" w:sz="4" w:space="0" w:color="auto"/>
              <w:bottom w:val="single" w:sz="4" w:space="0" w:color="auto"/>
              <w:right w:val="single" w:sz="4" w:space="0" w:color="auto"/>
            </w:tcBorders>
            <w:shd w:val="clear" w:color="auto" w:fill="F3F3F3"/>
          </w:tcPr>
          <w:p w14:paraId="21CF8FC3" w14:textId="32CAE217" w:rsidR="0021700D" w:rsidRPr="006A4BB9" w:rsidRDefault="00495680" w:rsidP="004F3BDE">
            <w:pPr>
              <w:pStyle w:val="Default"/>
              <w:spacing w:before="60" w:after="60"/>
              <w:rPr>
                <w:b/>
                <w:sz w:val="20"/>
                <w:szCs w:val="20"/>
              </w:rPr>
            </w:pPr>
            <w:r>
              <w:rPr>
                <w:b/>
                <w:sz w:val="20"/>
              </w:rPr>
              <w:t>Section/département :</w:t>
            </w:r>
          </w:p>
          <w:p w14:paraId="04837EF5" w14:textId="40A951E6" w:rsidR="00495680" w:rsidRPr="0021700D" w:rsidRDefault="561EC5FA" w:rsidP="53F14CD4">
            <w:pPr>
              <w:pStyle w:val="Default"/>
              <w:spacing w:before="60" w:after="60"/>
              <w:rPr>
                <w:i/>
                <w:iCs/>
                <w:sz w:val="20"/>
                <w:szCs w:val="20"/>
              </w:rPr>
            </w:pPr>
            <w:r>
              <w:rPr>
                <w:i/>
                <w:sz w:val="20"/>
              </w:rPr>
              <w:t>En règle générale, le point focal TM se trouve avec la gestion des catastrophes, lorsque cela est adéquat et utile</w:t>
            </w:r>
            <w:r w:rsidR="00DF2052" w:rsidRPr="53F14CD4">
              <w:rPr>
                <w:rStyle w:val="FootnoteReference"/>
                <w:i/>
                <w:iCs/>
                <w:sz w:val="20"/>
                <w:szCs w:val="20"/>
                <w:lang w:eastAsia="en-GB"/>
              </w:rPr>
              <w:footnoteReference w:id="2"/>
            </w:r>
          </w:p>
        </w:tc>
        <w:tc>
          <w:tcPr>
            <w:tcW w:w="4819" w:type="dxa"/>
            <w:tcBorders>
              <w:top w:val="single" w:sz="4" w:space="0" w:color="auto"/>
              <w:left w:val="single" w:sz="4" w:space="0" w:color="auto"/>
              <w:bottom w:val="single" w:sz="4" w:space="0" w:color="auto"/>
              <w:right w:val="single" w:sz="4" w:space="0" w:color="auto"/>
            </w:tcBorders>
            <w:shd w:val="clear" w:color="auto" w:fill="F3F3F3"/>
          </w:tcPr>
          <w:p w14:paraId="43AA2551" w14:textId="77777777" w:rsidR="00495680" w:rsidRPr="006A4BB9" w:rsidRDefault="00495680" w:rsidP="004F3BDE">
            <w:pPr>
              <w:pStyle w:val="Default"/>
              <w:spacing w:before="60" w:after="60"/>
              <w:rPr>
                <w:b/>
                <w:sz w:val="20"/>
                <w:szCs w:val="20"/>
              </w:rPr>
            </w:pPr>
            <w:r>
              <w:rPr>
                <w:b/>
                <w:sz w:val="20"/>
              </w:rPr>
              <w:t>Sous la supervision de :</w:t>
            </w:r>
          </w:p>
        </w:tc>
      </w:tr>
      <w:tr w:rsidR="00E70465" w:rsidRPr="006A4BB9" w14:paraId="510A0623" w14:textId="77777777" w:rsidTr="53F14CD4">
        <w:trPr>
          <w:trHeight w:val="182"/>
        </w:trPr>
        <w:tc>
          <w:tcPr>
            <w:tcW w:w="4820" w:type="dxa"/>
            <w:tcBorders>
              <w:top w:val="single" w:sz="4" w:space="0" w:color="auto"/>
              <w:left w:val="single" w:sz="4" w:space="0" w:color="auto"/>
              <w:bottom w:val="single" w:sz="4" w:space="0" w:color="auto"/>
              <w:right w:val="single" w:sz="4" w:space="0" w:color="auto"/>
            </w:tcBorders>
            <w:shd w:val="clear" w:color="auto" w:fill="F3F3F3"/>
          </w:tcPr>
          <w:p w14:paraId="0008CABE" w14:textId="1019A5A6" w:rsidR="00495680" w:rsidRPr="006A4BB9" w:rsidRDefault="00495680" w:rsidP="00DD62BD">
            <w:pPr>
              <w:pStyle w:val="Default"/>
              <w:spacing w:before="60" w:after="60"/>
              <w:rPr>
                <w:b/>
                <w:sz w:val="20"/>
                <w:szCs w:val="20"/>
              </w:rPr>
            </w:pPr>
            <w:r>
              <w:rPr>
                <w:b/>
                <w:sz w:val="20"/>
              </w:rPr>
              <w:t xml:space="preserve">Lieu : </w:t>
            </w:r>
            <w:r w:rsidR="00DD62BD">
              <w:rPr>
                <w:sz w:val="20"/>
              </w:rPr>
              <w:t>HQ</w:t>
            </w:r>
            <w:r>
              <w:rPr>
                <w:sz w:val="20"/>
              </w:rPr>
              <w:t xml:space="preserve">, avec </w:t>
            </w:r>
            <w:proofErr w:type="gramStart"/>
            <w:r>
              <w:rPr>
                <w:sz w:val="20"/>
              </w:rPr>
              <w:t xml:space="preserve">des </w:t>
            </w:r>
            <w:r w:rsidR="00DD62BD">
              <w:rPr>
                <w:sz w:val="20"/>
              </w:rPr>
              <w:t xml:space="preserve">visites </w:t>
            </w:r>
            <w:r>
              <w:rPr>
                <w:sz w:val="20"/>
              </w:rPr>
              <w:t>fréquents</w:t>
            </w:r>
            <w:proofErr w:type="gramEnd"/>
            <w:r>
              <w:rPr>
                <w:sz w:val="20"/>
              </w:rPr>
              <w:t xml:space="preserve"> aux </w:t>
            </w:r>
            <w:r w:rsidR="00DD62BD">
              <w:rPr>
                <w:sz w:val="20"/>
              </w:rPr>
              <w:t>branches</w:t>
            </w:r>
          </w:p>
        </w:tc>
        <w:tc>
          <w:tcPr>
            <w:tcW w:w="4819" w:type="dxa"/>
            <w:tcBorders>
              <w:top w:val="single" w:sz="4" w:space="0" w:color="auto"/>
              <w:left w:val="single" w:sz="4" w:space="0" w:color="auto"/>
              <w:bottom w:val="single" w:sz="4" w:space="0" w:color="auto"/>
              <w:right w:val="single" w:sz="4" w:space="0" w:color="auto"/>
            </w:tcBorders>
            <w:shd w:val="clear" w:color="auto" w:fill="F3F3F3"/>
          </w:tcPr>
          <w:p w14:paraId="6C5697CA" w14:textId="0D928295" w:rsidR="00495680" w:rsidRPr="006A4BB9" w:rsidRDefault="00495680" w:rsidP="004F3BDE">
            <w:pPr>
              <w:pStyle w:val="Default"/>
              <w:spacing w:before="60" w:after="60"/>
              <w:rPr>
                <w:sz w:val="20"/>
                <w:szCs w:val="20"/>
              </w:rPr>
            </w:pPr>
            <w:r>
              <w:rPr>
                <w:b/>
                <w:sz w:val="20"/>
              </w:rPr>
              <w:t>Domaines d’action</w:t>
            </w:r>
            <w:r>
              <w:rPr>
                <w:sz w:val="20"/>
              </w:rPr>
              <w:t xml:space="preserve"> À l’échelle nationale</w:t>
            </w:r>
          </w:p>
        </w:tc>
      </w:tr>
      <w:tr w:rsidR="00E70465" w:rsidRPr="006A4BB9" w14:paraId="0585EF37" w14:textId="77777777" w:rsidTr="53F14CD4">
        <w:trPr>
          <w:trHeight w:val="182"/>
        </w:trPr>
        <w:tc>
          <w:tcPr>
            <w:tcW w:w="4820" w:type="dxa"/>
            <w:tcBorders>
              <w:top w:val="single" w:sz="4" w:space="0" w:color="auto"/>
              <w:left w:val="single" w:sz="4" w:space="0" w:color="auto"/>
              <w:bottom w:val="single" w:sz="4" w:space="0" w:color="auto"/>
              <w:right w:val="single" w:sz="4" w:space="0" w:color="auto"/>
            </w:tcBorders>
            <w:shd w:val="clear" w:color="auto" w:fill="F3F3F3"/>
          </w:tcPr>
          <w:p w14:paraId="21B9C573" w14:textId="286577B0" w:rsidR="00495680" w:rsidRPr="0021700D" w:rsidRDefault="00495680" w:rsidP="003A62BA">
            <w:pPr>
              <w:pStyle w:val="Default"/>
              <w:spacing w:before="60" w:after="60"/>
              <w:jc w:val="both"/>
              <w:rPr>
                <w:sz w:val="20"/>
                <w:szCs w:val="20"/>
              </w:rPr>
            </w:pPr>
            <w:r>
              <w:rPr>
                <w:b/>
                <w:sz w:val="20"/>
              </w:rPr>
              <w:t xml:space="preserve">Durée : </w:t>
            </w:r>
            <w:r>
              <w:rPr>
                <w:i/>
                <w:sz w:val="20"/>
              </w:rPr>
              <w:t>Minimum 24 mois, de préférence 36 mois</w:t>
            </w:r>
          </w:p>
        </w:tc>
        <w:tc>
          <w:tcPr>
            <w:tcW w:w="4819" w:type="dxa"/>
            <w:tcBorders>
              <w:top w:val="single" w:sz="4" w:space="0" w:color="auto"/>
              <w:left w:val="single" w:sz="4" w:space="0" w:color="auto"/>
              <w:bottom w:val="single" w:sz="4" w:space="0" w:color="auto"/>
              <w:right w:val="single" w:sz="4" w:space="0" w:color="auto"/>
            </w:tcBorders>
            <w:shd w:val="clear" w:color="auto" w:fill="F3F3F3"/>
          </w:tcPr>
          <w:p w14:paraId="6ED892D5" w14:textId="77777777" w:rsidR="00495680" w:rsidRPr="006A4BB9" w:rsidRDefault="00495680" w:rsidP="004F3BDE">
            <w:pPr>
              <w:pStyle w:val="Default"/>
              <w:spacing w:before="60" w:after="60"/>
              <w:rPr>
                <w:sz w:val="20"/>
                <w:szCs w:val="20"/>
              </w:rPr>
            </w:pPr>
            <w:r>
              <w:rPr>
                <w:b/>
                <w:sz w:val="20"/>
              </w:rPr>
              <w:t xml:space="preserve">Date de début: </w:t>
            </w:r>
          </w:p>
        </w:tc>
      </w:tr>
      <w:tr w:rsidR="0017197A" w:rsidRPr="006A4BB9" w14:paraId="67265CC5" w14:textId="77777777" w:rsidTr="53F14CD4">
        <w:trPr>
          <w:trHeight w:val="182"/>
        </w:trPr>
        <w:tc>
          <w:tcPr>
            <w:tcW w:w="9639" w:type="dxa"/>
            <w:gridSpan w:val="2"/>
            <w:tcBorders>
              <w:top w:val="single" w:sz="4" w:space="0" w:color="auto"/>
              <w:left w:val="single" w:sz="4" w:space="0" w:color="auto"/>
              <w:bottom w:val="single" w:sz="4" w:space="0" w:color="auto"/>
              <w:right w:val="single" w:sz="4" w:space="0" w:color="auto"/>
            </w:tcBorders>
            <w:shd w:val="clear" w:color="auto" w:fill="F3F3F3"/>
          </w:tcPr>
          <w:p w14:paraId="2EAE04D4" w14:textId="77777777" w:rsidR="0017197A" w:rsidRDefault="0017197A" w:rsidP="0017197A">
            <w:pPr>
              <w:pStyle w:val="Default"/>
              <w:spacing w:before="60" w:after="60"/>
              <w:rPr>
                <w:bCs/>
                <w:sz w:val="20"/>
                <w:szCs w:val="20"/>
              </w:rPr>
            </w:pPr>
            <w:r>
              <w:rPr>
                <w:b/>
                <w:sz w:val="20"/>
              </w:rPr>
              <w:t>Fréquence requise :</w:t>
            </w:r>
            <w:r>
              <w:rPr>
                <w:sz w:val="20"/>
              </w:rPr>
              <w:t xml:space="preserve"> </w:t>
            </w:r>
          </w:p>
          <w:p w14:paraId="31ECDEA6" w14:textId="3C3F6476" w:rsidR="0017197A" w:rsidRPr="0017197A" w:rsidRDefault="0017197A" w:rsidP="00B1336C">
            <w:pPr>
              <w:pStyle w:val="Default"/>
              <w:spacing w:before="60" w:after="60"/>
              <w:rPr>
                <w:bCs/>
                <w:i/>
                <w:sz w:val="20"/>
                <w:szCs w:val="20"/>
              </w:rPr>
            </w:pPr>
            <w:r>
              <w:rPr>
                <w:i/>
                <w:sz w:val="20"/>
              </w:rPr>
              <w:t>Nouveau rôle dédié ou temps partiel issu d’un rôle existant (si un rôle existe, indiquer le pourcentage de description de poste pour les TM)</w:t>
            </w:r>
          </w:p>
        </w:tc>
      </w:tr>
      <w:tr w:rsidR="00495680" w:rsidRPr="006A4BB9" w14:paraId="43ACA235" w14:textId="77777777" w:rsidTr="53F14CD4">
        <w:trPr>
          <w:trHeight w:val="182"/>
        </w:trPr>
        <w:tc>
          <w:tcPr>
            <w:tcW w:w="9639" w:type="dxa"/>
            <w:gridSpan w:val="2"/>
            <w:tcBorders>
              <w:top w:val="single" w:sz="4" w:space="0" w:color="auto"/>
              <w:left w:val="single" w:sz="4" w:space="0" w:color="auto"/>
              <w:bottom w:val="single" w:sz="4" w:space="0" w:color="auto"/>
              <w:right w:val="single" w:sz="4" w:space="0" w:color="auto"/>
            </w:tcBorders>
            <w:shd w:val="clear" w:color="auto" w:fill="F3F3F3"/>
          </w:tcPr>
          <w:p w14:paraId="7E36D1F1" w14:textId="77777777" w:rsidR="0003746D" w:rsidRPr="006A4BB9" w:rsidRDefault="00495680" w:rsidP="004F3BDE">
            <w:pPr>
              <w:pStyle w:val="Default"/>
              <w:spacing w:before="60" w:after="60"/>
              <w:rPr>
                <w:sz w:val="20"/>
                <w:szCs w:val="20"/>
                <w:shd w:val="clear" w:color="auto" w:fill="FFFFFF" w:themeFill="background1"/>
              </w:rPr>
            </w:pPr>
            <w:r>
              <w:rPr>
                <w:b/>
                <w:sz w:val="20"/>
              </w:rPr>
              <w:t>Source de financement :</w:t>
            </w:r>
            <w:r>
              <w:rPr>
                <w:sz w:val="20"/>
                <w:shd w:val="clear" w:color="auto" w:fill="FFFFFF" w:themeFill="background1"/>
              </w:rPr>
              <w:t xml:space="preserve"> </w:t>
            </w:r>
          </w:p>
          <w:p w14:paraId="1820F6E6" w14:textId="0AA68D2D" w:rsidR="00495680" w:rsidRPr="006A4BB9" w:rsidRDefault="0003746D" w:rsidP="004F3BDE">
            <w:pPr>
              <w:pStyle w:val="Default"/>
              <w:spacing w:before="60" w:after="60"/>
              <w:rPr>
                <w:b/>
                <w:bCs/>
                <w:sz w:val="20"/>
                <w:szCs w:val="20"/>
              </w:rPr>
            </w:pPr>
            <w:r>
              <w:rPr>
                <w:i/>
                <w:sz w:val="20"/>
              </w:rPr>
              <w:t>Il est important de garantir un engagement de financement pour ce rôle pendant au moins un an. Si le financement n’est pas disponible, envisagez de budgétiser dans le Plan d’action (</w:t>
            </w:r>
            <w:proofErr w:type="spellStart"/>
            <w:r>
              <w:rPr>
                <w:i/>
                <w:sz w:val="20"/>
              </w:rPr>
              <w:t>PoA</w:t>
            </w:r>
            <w:proofErr w:type="spellEnd"/>
            <w:r>
              <w:rPr>
                <w:i/>
                <w:sz w:val="20"/>
              </w:rPr>
              <w:t>) de préparation aux TM.</w:t>
            </w:r>
          </w:p>
        </w:tc>
      </w:tr>
    </w:tbl>
    <w:p w14:paraId="7ADA076A" w14:textId="018DB546" w:rsidR="00A8400E" w:rsidRPr="00D95BFB" w:rsidRDefault="00A8400E" w:rsidP="00F5688E">
      <w:pPr>
        <w:pStyle w:val="Heading3"/>
        <w:rPr>
          <w:sz w:val="24"/>
        </w:rPr>
      </w:pPr>
      <w:r>
        <w:rPr>
          <w:sz w:val="24"/>
        </w:rPr>
        <w:t>Contexte</w:t>
      </w:r>
    </w:p>
    <w:p w14:paraId="195B6CE3" w14:textId="0C528BC5" w:rsidR="00A8400E" w:rsidRPr="006A4BB9" w:rsidRDefault="00DF2052" w:rsidP="00447D73">
      <w:pPr>
        <w:rPr>
          <w:i/>
        </w:rPr>
      </w:pPr>
      <w:r>
        <w:rPr>
          <w:i/>
        </w:rPr>
        <w:t>Description du contexte humanitaire</w:t>
      </w:r>
    </w:p>
    <w:p w14:paraId="7CBEF794" w14:textId="7735766F" w:rsidR="00760AA7" w:rsidRPr="00D95BFB" w:rsidRDefault="00760AA7" w:rsidP="00F5688E">
      <w:pPr>
        <w:pStyle w:val="Heading3"/>
        <w:rPr>
          <w:iCs/>
          <w:sz w:val="24"/>
        </w:rPr>
      </w:pPr>
      <w:r>
        <w:rPr>
          <w:sz w:val="24"/>
        </w:rPr>
        <w:t>Portée et objectif</w:t>
      </w:r>
    </w:p>
    <w:p w14:paraId="34D8594F" w14:textId="42F493EB" w:rsidR="0017197A" w:rsidRPr="0021700D" w:rsidRDefault="0017197A" w:rsidP="00447D73">
      <w:pPr>
        <w:rPr>
          <w:bCs/>
          <w:i/>
        </w:rPr>
      </w:pPr>
      <w:r>
        <w:rPr>
          <w:i/>
        </w:rPr>
        <w:t>Ce rôle assure un soutien technique à l’élaboration, l’intégration, la mise en œuvre et le suivi du plan de préparation aux TM (</w:t>
      </w:r>
      <w:r w:rsidR="00DD62BD">
        <w:rPr>
          <w:i/>
        </w:rPr>
        <w:t>PTM</w:t>
      </w:r>
      <w:r>
        <w:rPr>
          <w:i/>
        </w:rPr>
        <w:t>) de la Société nationale (SN) et plus particulièrement du Plan d’action (</w:t>
      </w:r>
      <w:proofErr w:type="spellStart"/>
      <w:r>
        <w:rPr>
          <w:i/>
        </w:rPr>
        <w:t>PoA</w:t>
      </w:r>
      <w:proofErr w:type="spellEnd"/>
      <w:r>
        <w:rPr>
          <w:i/>
        </w:rPr>
        <w:t>).</w:t>
      </w:r>
    </w:p>
    <w:p w14:paraId="22B09AB9" w14:textId="234B1E85" w:rsidR="00C27B65" w:rsidRPr="0021700D" w:rsidRDefault="005C48E8" w:rsidP="00447D73">
      <w:pPr>
        <w:rPr>
          <w:bCs/>
          <w:i/>
        </w:rPr>
      </w:pPr>
      <w:r>
        <w:rPr>
          <w:i/>
        </w:rPr>
        <w:t xml:space="preserve">Ce poste est un rôle essentiel requis pour soutenir et diriger les processus de </w:t>
      </w:r>
      <w:r w:rsidR="00DD62BD">
        <w:rPr>
          <w:i/>
        </w:rPr>
        <w:t>PTM</w:t>
      </w:r>
      <w:r>
        <w:rPr>
          <w:i/>
        </w:rPr>
        <w:t xml:space="preserve">. Si un point focal </w:t>
      </w:r>
      <w:r w:rsidR="00DD62BD">
        <w:rPr>
          <w:i/>
        </w:rPr>
        <w:t>en</w:t>
      </w:r>
      <w:r>
        <w:rPr>
          <w:i/>
        </w:rPr>
        <w:t xml:space="preserve"> TM n’est pas nommé dès le début, cela peut avoir pour conséquence que le SN ne soit probablement pas en mesure ou de fournir une TM évolutive, opportune et responsable aux personnes dans le besoin. Le </w:t>
      </w:r>
      <w:r w:rsidR="00DD62BD">
        <w:rPr>
          <w:i/>
        </w:rPr>
        <w:t>point focal en TM</w:t>
      </w:r>
      <w:r>
        <w:rPr>
          <w:i/>
        </w:rPr>
        <w:t xml:space="preserve"> est également nécessaire pour guider étroitement les dirigeants dans leur gestion globale et la prise en charge du parcours de </w:t>
      </w:r>
      <w:r w:rsidR="00DD62BD">
        <w:rPr>
          <w:i/>
        </w:rPr>
        <w:t>PTM</w:t>
      </w:r>
      <w:r>
        <w:rPr>
          <w:i/>
        </w:rPr>
        <w:t>.</w:t>
      </w:r>
    </w:p>
    <w:p w14:paraId="2178D4CE" w14:textId="5BDE1EFA" w:rsidR="00295C76" w:rsidRPr="0021700D" w:rsidRDefault="00295C76" w:rsidP="00447D73">
      <w:pPr>
        <w:rPr>
          <w:bCs/>
          <w:i/>
        </w:rPr>
      </w:pPr>
      <w:r>
        <w:rPr>
          <w:i/>
        </w:rPr>
        <w:t xml:space="preserve">Le </w:t>
      </w:r>
      <w:r w:rsidR="00DD62BD">
        <w:rPr>
          <w:i/>
        </w:rPr>
        <w:t>point focal en TM</w:t>
      </w:r>
      <w:r>
        <w:rPr>
          <w:i/>
        </w:rPr>
        <w:t xml:space="preserve"> devrait être en place à temps pour appuyer l’auto-évaluation de la capacité de la SN et le processus de planification de </w:t>
      </w:r>
      <w:r w:rsidR="00DD62BD">
        <w:rPr>
          <w:i/>
        </w:rPr>
        <w:t>PTM</w:t>
      </w:r>
      <w:r>
        <w:rPr>
          <w:i/>
        </w:rPr>
        <w:t>. Si ce n’est pas le cas, au plus tard, le poste devrait être recruté ou obtenu en tant qu’action prioritaire découlant du plan d’action.</w:t>
      </w:r>
    </w:p>
    <w:p w14:paraId="7361BBE6" w14:textId="73573C47" w:rsidR="0017197A" w:rsidRPr="0021700D" w:rsidRDefault="0017197A" w:rsidP="00447D73">
      <w:pPr>
        <w:rPr>
          <w:i/>
        </w:rPr>
      </w:pPr>
      <w:r>
        <w:rPr>
          <w:i/>
        </w:rPr>
        <w:t xml:space="preserve">Le </w:t>
      </w:r>
      <w:r w:rsidR="00DD62BD">
        <w:rPr>
          <w:i/>
        </w:rPr>
        <w:t>point focal en TM</w:t>
      </w:r>
      <w:r>
        <w:rPr>
          <w:i/>
        </w:rPr>
        <w:t xml:space="preserve"> devrait idéalement être un poste dédié à plein temps. Pour certaines SN, il peut être nécessaire que la personne soit détachée d’un poste SN existant, et il peut s’agir d’un poste partagé. S’il s’agit d’un rôle existant, le temps requis doit être alloué au travail du point focal TM (p. ex. % du rôle ou minimum d’heures par semaine) et précisé ci-dessus.</w:t>
      </w:r>
    </w:p>
    <w:p w14:paraId="41AE3EF6" w14:textId="77777777" w:rsidR="00447D73" w:rsidRPr="00D95BFB" w:rsidRDefault="00447D73" w:rsidP="00F5688E">
      <w:pPr>
        <w:pStyle w:val="Heading3"/>
        <w:rPr>
          <w:iCs/>
          <w:sz w:val="24"/>
        </w:rPr>
      </w:pPr>
      <w:r>
        <w:rPr>
          <w:sz w:val="24"/>
        </w:rPr>
        <w:t>Dispositions organisationnelles</w:t>
      </w:r>
    </w:p>
    <w:p w14:paraId="54B24CB7" w14:textId="2A3EB40E" w:rsidR="00447D73" w:rsidRPr="0021700D" w:rsidRDefault="00447D73" w:rsidP="004168C9">
      <w:pPr>
        <w:rPr>
          <w:i/>
        </w:rPr>
      </w:pPr>
      <w:r>
        <w:rPr>
          <w:i/>
        </w:rPr>
        <w:t xml:space="preserve">Le </w:t>
      </w:r>
      <w:r w:rsidR="00DD62BD">
        <w:rPr>
          <w:i/>
        </w:rPr>
        <w:t>point focal en TM</w:t>
      </w:r>
      <w:r>
        <w:rPr>
          <w:i/>
        </w:rPr>
        <w:t xml:space="preserve"> devrait travailler en étroite collaboration avec les départements des</w:t>
      </w:r>
      <w:r w:rsidR="00FB3FBF">
        <w:rPr>
          <w:i/>
        </w:rPr>
        <w:t xml:space="preserve"> programmes</w:t>
      </w:r>
      <w:r>
        <w:rPr>
          <w:i/>
        </w:rPr>
        <w:t xml:space="preserve">. La liste exacte des départements dépendra de la structure de la Société nationale, mais normalement, devrait inclure la gestion des catastrophes, Santé, Finances, logistique, </w:t>
      </w:r>
      <w:r w:rsidR="00FB3FBF">
        <w:rPr>
          <w:i/>
        </w:rPr>
        <w:t xml:space="preserve">DSN </w:t>
      </w:r>
      <w:r>
        <w:rPr>
          <w:i/>
        </w:rPr>
        <w:t>et Communications, etc.).</w:t>
      </w:r>
    </w:p>
    <w:p w14:paraId="63DAE026" w14:textId="2F4C8E69" w:rsidR="00104FA7" w:rsidRPr="0021700D" w:rsidRDefault="00447D73" w:rsidP="004168C9">
      <w:pPr>
        <w:rPr>
          <w:i/>
        </w:rPr>
      </w:pPr>
      <w:r>
        <w:rPr>
          <w:i/>
        </w:rPr>
        <w:t>Le point focal TM peut être soutenu par une ou deux personnes pour des tâches administratives, financières, de rapports ou autres. Ces rôles de soutien peuvent être conçus pour offrir une occasion de coaching ou de mentorat, renforçant ainsi la capacité et les connaissances des TM.</w:t>
      </w:r>
    </w:p>
    <w:p w14:paraId="4B715BDB" w14:textId="428E501B" w:rsidR="00447D73" w:rsidRPr="0021700D" w:rsidRDefault="00447D73" w:rsidP="004168C9">
      <w:pPr>
        <w:rPr>
          <w:i/>
        </w:rPr>
      </w:pPr>
      <w:r>
        <w:rPr>
          <w:i/>
        </w:rPr>
        <w:t xml:space="preserve">Le </w:t>
      </w:r>
      <w:r w:rsidR="00DD62BD">
        <w:rPr>
          <w:i/>
        </w:rPr>
        <w:t>point focal en TM</w:t>
      </w:r>
      <w:r>
        <w:rPr>
          <w:i/>
        </w:rPr>
        <w:t xml:space="preserve"> devrait recevoir la formation et la formation de réadaptation TM appropriées, être soutenu pour avoir accès aux événements et ateliers d’apprentissage nationaux, régionaux et internationaux organisés par des organismes externes sur les TM et, dans la mesure du possible, avoir une expérience directe des TM dans les interventions d’urgence.</w:t>
      </w:r>
    </w:p>
    <w:p w14:paraId="7B68BB9E" w14:textId="77777777" w:rsidR="00D36985" w:rsidRPr="00D95BFB" w:rsidRDefault="00D36985" w:rsidP="00D36985">
      <w:pPr>
        <w:pStyle w:val="Heading3"/>
        <w:rPr>
          <w:sz w:val="24"/>
        </w:rPr>
      </w:pPr>
      <w:r>
        <w:rPr>
          <w:sz w:val="24"/>
        </w:rPr>
        <w:lastRenderedPageBreak/>
        <w:t xml:space="preserve">Tâches et responsabilités clés </w:t>
      </w:r>
    </w:p>
    <w:p w14:paraId="7BF2A1D8" w14:textId="158B323E" w:rsidR="00D36985" w:rsidRPr="00503ED9" w:rsidRDefault="00B1336C" w:rsidP="00D36985">
      <w:pPr>
        <w:rPr>
          <w:u w:val="single"/>
        </w:rPr>
      </w:pPr>
      <w:r>
        <w:rPr>
          <w:u w:val="single"/>
        </w:rPr>
        <w:t>Tâches cruciales</w:t>
      </w:r>
    </w:p>
    <w:p w14:paraId="2637C8A4" w14:textId="7D4A3EB4" w:rsidR="00D36985" w:rsidRPr="00DE785C" w:rsidRDefault="00D36985" w:rsidP="00DE785C">
      <w:pPr>
        <w:pStyle w:val="Default"/>
        <w:numPr>
          <w:ilvl w:val="0"/>
          <w:numId w:val="27"/>
        </w:numPr>
        <w:spacing w:after="120"/>
        <w:jc w:val="both"/>
        <w:rPr>
          <w:sz w:val="20"/>
          <w:szCs w:val="20"/>
        </w:rPr>
      </w:pPr>
      <w:r>
        <w:rPr>
          <w:sz w:val="20"/>
        </w:rPr>
        <w:t>Promouvoir les TM, pour renforcer l’engagement et l’appropriation, et établir une coordination et une communication efficaces au sein de la SN.</w:t>
      </w:r>
    </w:p>
    <w:p w14:paraId="33CCA456" w14:textId="68A3FF89" w:rsidR="00B1336C" w:rsidRPr="00DE785C" w:rsidRDefault="00B1336C" w:rsidP="00DE785C">
      <w:pPr>
        <w:pStyle w:val="Default"/>
        <w:numPr>
          <w:ilvl w:val="0"/>
          <w:numId w:val="27"/>
        </w:numPr>
        <w:spacing w:after="120"/>
        <w:jc w:val="both"/>
        <w:rPr>
          <w:sz w:val="20"/>
          <w:szCs w:val="20"/>
        </w:rPr>
      </w:pPr>
      <w:r>
        <w:rPr>
          <w:sz w:val="20"/>
        </w:rPr>
        <w:t xml:space="preserve">Diriger le groupe de travail technique (GTT) de la SN </w:t>
      </w:r>
      <w:r w:rsidR="00FB3FBF">
        <w:rPr>
          <w:sz w:val="20"/>
        </w:rPr>
        <w:t xml:space="preserve">sur les </w:t>
      </w:r>
      <w:r>
        <w:rPr>
          <w:sz w:val="20"/>
        </w:rPr>
        <w:t xml:space="preserve">TM </w:t>
      </w:r>
    </w:p>
    <w:p w14:paraId="45190814" w14:textId="768F21E7" w:rsidR="00D36985" w:rsidRPr="00DE785C" w:rsidRDefault="00FB3FBF" w:rsidP="00DE785C">
      <w:pPr>
        <w:pStyle w:val="Default"/>
        <w:numPr>
          <w:ilvl w:val="0"/>
          <w:numId w:val="27"/>
        </w:numPr>
        <w:spacing w:after="120"/>
        <w:jc w:val="both"/>
        <w:rPr>
          <w:sz w:val="20"/>
          <w:szCs w:val="20"/>
        </w:rPr>
      </w:pPr>
      <w:r>
        <w:rPr>
          <w:sz w:val="20"/>
        </w:rPr>
        <w:t xml:space="preserve">Plaider </w:t>
      </w:r>
      <w:r w:rsidR="00D36985">
        <w:rPr>
          <w:sz w:val="20"/>
        </w:rPr>
        <w:t>pour les TM à la fois en interne et en externe, en participant aux réunions et réseaux de la TM tels que le CALP, les groupes de travail techniques inter</w:t>
      </w:r>
      <w:r>
        <w:rPr>
          <w:sz w:val="20"/>
        </w:rPr>
        <w:t>-</w:t>
      </w:r>
      <w:r w:rsidR="00D36985">
        <w:rPr>
          <w:sz w:val="20"/>
        </w:rPr>
        <w:t xml:space="preserve">institutions et les réunions de donateurs dès que possible, et aux réunions régionales et internationales, le cas échéant.  </w:t>
      </w:r>
    </w:p>
    <w:p w14:paraId="0CD02EC4" w14:textId="37E3D0C5" w:rsidR="00ED4D8E" w:rsidRPr="00DE785C" w:rsidRDefault="009802AC" w:rsidP="00DE785C">
      <w:pPr>
        <w:pStyle w:val="Default"/>
        <w:numPr>
          <w:ilvl w:val="0"/>
          <w:numId w:val="27"/>
        </w:numPr>
        <w:spacing w:after="120"/>
        <w:jc w:val="both"/>
        <w:rPr>
          <w:sz w:val="20"/>
          <w:szCs w:val="20"/>
        </w:rPr>
      </w:pPr>
      <w:r>
        <w:rPr>
          <w:sz w:val="20"/>
        </w:rPr>
        <w:t xml:space="preserve">Soutenir le leadership dans l’élaboration et/ou la mise à jour de la vision et de la stratégie des TM de la SN. </w:t>
      </w:r>
    </w:p>
    <w:p w14:paraId="7F0ABFA7" w14:textId="41176629" w:rsidR="00B9129B" w:rsidRPr="00DE785C" w:rsidRDefault="00BC3CED" w:rsidP="00DE785C">
      <w:pPr>
        <w:pStyle w:val="Default"/>
        <w:numPr>
          <w:ilvl w:val="0"/>
          <w:numId w:val="27"/>
        </w:numPr>
        <w:spacing w:after="120"/>
        <w:jc w:val="both"/>
        <w:rPr>
          <w:sz w:val="20"/>
          <w:szCs w:val="20"/>
        </w:rPr>
      </w:pPr>
      <w:r>
        <w:rPr>
          <w:sz w:val="20"/>
        </w:rPr>
        <w:t>Animer/</w:t>
      </w:r>
      <w:proofErr w:type="spellStart"/>
      <w:r>
        <w:rPr>
          <w:sz w:val="20"/>
        </w:rPr>
        <w:t>co-animer</w:t>
      </w:r>
      <w:proofErr w:type="spellEnd"/>
      <w:r>
        <w:rPr>
          <w:sz w:val="20"/>
        </w:rPr>
        <w:t xml:space="preserve"> les ateliers d’auto-évaluation des TM de la SN et mener des discussions préalables à l’atelier avec le personnel pertinent pour recueillir des preuves de la capacité de TM de la SN. </w:t>
      </w:r>
    </w:p>
    <w:p w14:paraId="127641E2" w14:textId="6C1493C6" w:rsidR="0043694F" w:rsidRPr="00DE785C" w:rsidRDefault="007C4804" w:rsidP="00DE785C">
      <w:pPr>
        <w:pStyle w:val="Default"/>
        <w:numPr>
          <w:ilvl w:val="0"/>
          <w:numId w:val="27"/>
        </w:numPr>
        <w:spacing w:after="120"/>
        <w:jc w:val="both"/>
        <w:rPr>
          <w:sz w:val="20"/>
          <w:szCs w:val="20"/>
        </w:rPr>
      </w:pPr>
      <w:r>
        <w:rPr>
          <w:sz w:val="20"/>
        </w:rPr>
        <w:t>Animer/</w:t>
      </w:r>
      <w:proofErr w:type="spellStart"/>
      <w:r>
        <w:rPr>
          <w:sz w:val="20"/>
        </w:rPr>
        <w:t>co-animer</w:t>
      </w:r>
      <w:proofErr w:type="spellEnd"/>
      <w:r>
        <w:rPr>
          <w:sz w:val="20"/>
        </w:rPr>
        <w:t xml:space="preserve"> l’atelier de planification de </w:t>
      </w:r>
      <w:r w:rsidR="00DD62BD">
        <w:rPr>
          <w:sz w:val="20"/>
        </w:rPr>
        <w:t>PTM</w:t>
      </w:r>
      <w:r>
        <w:rPr>
          <w:sz w:val="20"/>
        </w:rPr>
        <w:t xml:space="preserve"> et veiller à ce que le plan d’action soit approuvé par la haute direction de la SN et largement diffusé dans les départements de la SN. </w:t>
      </w:r>
    </w:p>
    <w:p w14:paraId="6C57D290" w14:textId="5CE353E8" w:rsidR="00D36985" w:rsidRPr="00DE785C" w:rsidRDefault="00CB000C" w:rsidP="00DE785C">
      <w:pPr>
        <w:pStyle w:val="Default"/>
        <w:numPr>
          <w:ilvl w:val="0"/>
          <w:numId w:val="27"/>
        </w:numPr>
        <w:spacing w:after="120"/>
        <w:jc w:val="both"/>
        <w:rPr>
          <w:sz w:val="20"/>
          <w:szCs w:val="20"/>
        </w:rPr>
      </w:pPr>
      <w:r>
        <w:rPr>
          <w:sz w:val="20"/>
        </w:rPr>
        <w:t>Diriger la mise en œuvre du plan d’action et surveiller les progrès et émettre des rapports mensuels/trimestriels sur le plan d’action pour les acteurs concernés.</w:t>
      </w:r>
    </w:p>
    <w:p w14:paraId="40CDC2F2" w14:textId="06752645" w:rsidR="00503ED9" w:rsidRPr="00503ED9" w:rsidRDefault="00486E50" w:rsidP="00D36985">
      <w:pPr>
        <w:pStyle w:val="Default"/>
        <w:spacing w:after="120"/>
        <w:jc w:val="both"/>
        <w:rPr>
          <w:bCs/>
          <w:sz w:val="20"/>
          <w:szCs w:val="20"/>
          <w:u w:val="single"/>
        </w:rPr>
      </w:pPr>
      <w:r>
        <w:rPr>
          <w:sz w:val="20"/>
          <w:u w:val="single"/>
        </w:rPr>
        <w:t>Tâches spécifiques</w:t>
      </w:r>
    </w:p>
    <w:p w14:paraId="23212EE0" w14:textId="0AEAE2B2" w:rsidR="00ED4D8E" w:rsidRDefault="00DC2F6D" w:rsidP="00D36985">
      <w:pPr>
        <w:pStyle w:val="Default"/>
        <w:spacing w:after="120"/>
        <w:jc w:val="both"/>
        <w:rPr>
          <w:bCs/>
          <w:i/>
          <w:sz w:val="20"/>
          <w:szCs w:val="20"/>
        </w:rPr>
      </w:pPr>
      <w:r>
        <w:rPr>
          <w:i/>
          <w:sz w:val="20"/>
        </w:rPr>
        <w:t>Voici quelques exemples de rôles et de responsabilités spécifiques qui pourraient servir ou être adaptés au besoin. Il est prévu qu’une SN en propose également d’autres en fonction du contexte.</w:t>
      </w:r>
    </w:p>
    <w:p w14:paraId="03E1CC41" w14:textId="77777777" w:rsidR="007E6E65" w:rsidRPr="003611F7" w:rsidRDefault="007E6E65" w:rsidP="00D36985">
      <w:pPr>
        <w:pStyle w:val="Default"/>
        <w:spacing w:after="120"/>
        <w:jc w:val="both"/>
        <w:rPr>
          <w:bCs/>
          <w:i/>
          <w:sz w:val="20"/>
          <w:szCs w:val="20"/>
        </w:rPr>
      </w:pPr>
    </w:p>
    <w:p w14:paraId="3298C0CE" w14:textId="093C7616" w:rsidR="00B1336C" w:rsidRPr="007E6E65" w:rsidRDefault="007E6E65" w:rsidP="00D36985">
      <w:pPr>
        <w:pStyle w:val="Default"/>
        <w:spacing w:after="120"/>
        <w:jc w:val="both"/>
        <w:rPr>
          <w:bCs/>
          <w:sz w:val="20"/>
          <w:szCs w:val="20"/>
        </w:rPr>
      </w:pPr>
      <w:r>
        <w:rPr>
          <w:sz w:val="20"/>
        </w:rPr>
        <w:t>Ces tâches spécifiques devraient relever des trois composantes principales :</w:t>
      </w:r>
    </w:p>
    <w:p w14:paraId="6A99C4E0" w14:textId="6C7612AE" w:rsidR="0021700D" w:rsidRPr="007E6E65" w:rsidRDefault="007E6E65" w:rsidP="00D36985">
      <w:pPr>
        <w:pStyle w:val="Default"/>
        <w:spacing w:after="120"/>
        <w:jc w:val="both"/>
        <w:rPr>
          <w:b/>
          <w:bCs/>
          <w:sz w:val="20"/>
          <w:szCs w:val="20"/>
          <w:u w:val="single"/>
        </w:rPr>
      </w:pPr>
      <w:r>
        <w:rPr>
          <w:b/>
          <w:sz w:val="20"/>
          <w:u w:val="single"/>
        </w:rPr>
        <w:t xml:space="preserve">1. </w:t>
      </w:r>
      <w:r w:rsidR="00DD62BD">
        <w:rPr>
          <w:b/>
          <w:sz w:val="20"/>
          <w:u w:val="single"/>
        </w:rPr>
        <w:t>PTM</w:t>
      </w:r>
    </w:p>
    <w:p w14:paraId="583201F2" w14:textId="0564112D" w:rsidR="00FE4D5D" w:rsidRPr="00486E50" w:rsidRDefault="001D20D2" w:rsidP="00DE785C">
      <w:pPr>
        <w:pStyle w:val="Default"/>
        <w:numPr>
          <w:ilvl w:val="0"/>
          <w:numId w:val="28"/>
        </w:numPr>
        <w:spacing w:after="120"/>
        <w:jc w:val="both"/>
        <w:rPr>
          <w:rFonts w:cstheme="minorHAnsi"/>
          <w:bCs/>
          <w:color w:val="auto"/>
          <w:sz w:val="20"/>
          <w:szCs w:val="20"/>
        </w:rPr>
      </w:pPr>
      <w:r>
        <w:rPr>
          <w:sz w:val="20"/>
        </w:rPr>
        <w:t xml:space="preserve">Rédiger, réviser et mettre à jour les </w:t>
      </w:r>
      <w:r w:rsidRPr="00EF5F4C">
        <w:rPr>
          <w:b/>
          <w:bCs/>
          <w:sz w:val="20"/>
        </w:rPr>
        <w:t>procédures opérationnelles normalisées (PON</w:t>
      </w:r>
      <w:r w:rsidR="00FB3FBF">
        <w:rPr>
          <w:b/>
          <w:bCs/>
          <w:sz w:val="20"/>
        </w:rPr>
        <w:t xml:space="preserve"> ou SOPs pour Standard </w:t>
      </w:r>
      <w:proofErr w:type="spellStart"/>
      <w:r w:rsidR="00FB3FBF">
        <w:rPr>
          <w:b/>
          <w:bCs/>
          <w:sz w:val="20"/>
        </w:rPr>
        <w:t>Operational</w:t>
      </w:r>
      <w:proofErr w:type="spellEnd"/>
      <w:r w:rsidR="00FB3FBF">
        <w:rPr>
          <w:b/>
          <w:bCs/>
          <w:sz w:val="20"/>
        </w:rPr>
        <w:t xml:space="preserve"> </w:t>
      </w:r>
      <w:proofErr w:type="spellStart"/>
      <w:r w:rsidR="00FB3FBF">
        <w:rPr>
          <w:b/>
          <w:bCs/>
          <w:sz w:val="20"/>
        </w:rPr>
        <w:t>Procedures</w:t>
      </w:r>
      <w:proofErr w:type="spellEnd"/>
      <w:r w:rsidRPr="00EF5F4C">
        <w:rPr>
          <w:b/>
          <w:bCs/>
          <w:sz w:val="20"/>
        </w:rPr>
        <w:t>)</w:t>
      </w:r>
      <w:r>
        <w:rPr>
          <w:sz w:val="20"/>
        </w:rPr>
        <w:t xml:space="preserve"> internes de TM en collaboration avec le GTT </w:t>
      </w:r>
      <w:r w:rsidR="00FB3FBF">
        <w:rPr>
          <w:sz w:val="20"/>
        </w:rPr>
        <w:t xml:space="preserve">en </w:t>
      </w:r>
      <w:r>
        <w:rPr>
          <w:sz w:val="20"/>
        </w:rPr>
        <w:t xml:space="preserve">TM et d’autres membres du personnel concernés. Former le personnel en question dans l’ensemble de la SN et assurer le déploiement et la mise en œuvre appropriés des PON au siège social et à travers les </w:t>
      </w:r>
      <w:r w:rsidR="00DD62BD">
        <w:rPr>
          <w:sz w:val="20"/>
        </w:rPr>
        <w:t>branches</w:t>
      </w:r>
      <w:r>
        <w:rPr>
          <w:sz w:val="20"/>
        </w:rPr>
        <w:t>.</w:t>
      </w:r>
    </w:p>
    <w:p w14:paraId="3DD63387" w14:textId="77C873DB" w:rsidR="00486E50" w:rsidRDefault="00486E50" w:rsidP="00DE785C">
      <w:pPr>
        <w:pStyle w:val="Default"/>
        <w:numPr>
          <w:ilvl w:val="0"/>
          <w:numId w:val="28"/>
        </w:numPr>
        <w:spacing w:after="120"/>
        <w:jc w:val="both"/>
        <w:rPr>
          <w:rFonts w:cstheme="minorHAnsi"/>
          <w:bCs/>
          <w:color w:val="auto"/>
          <w:sz w:val="20"/>
          <w:szCs w:val="20"/>
        </w:rPr>
      </w:pPr>
      <w:r>
        <w:rPr>
          <w:color w:val="auto"/>
          <w:sz w:val="20"/>
        </w:rPr>
        <w:t xml:space="preserve">Se familiariser avec </w:t>
      </w:r>
      <w:r>
        <w:rPr>
          <w:b/>
          <w:color w:val="auto"/>
          <w:sz w:val="20"/>
        </w:rPr>
        <w:t xml:space="preserve">les outils de </w:t>
      </w:r>
      <w:r w:rsidR="00FB3FBF">
        <w:rPr>
          <w:b/>
          <w:color w:val="auto"/>
          <w:sz w:val="20"/>
        </w:rPr>
        <w:t xml:space="preserve">la boîte à outils </w:t>
      </w:r>
      <w:proofErr w:type="spellStart"/>
      <w:r>
        <w:rPr>
          <w:b/>
          <w:color w:val="auto"/>
          <w:sz w:val="20"/>
        </w:rPr>
        <w:t>C</w:t>
      </w:r>
      <w:r w:rsidR="00A62BD9">
        <w:rPr>
          <w:b/>
          <w:color w:val="auto"/>
          <w:sz w:val="20"/>
        </w:rPr>
        <w:t>i</w:t>
      </w:r>
      <w:r>
        <w:rPr>
          <w:b/>
          <w:color w:val="auto"/>
          <w:sz w:val="20"/>
        </w:rPr>
        <w:t>E</w:t>
      </w:r>
      <w:proofErr w:type="spellEnd"/>
      <w:r>
        <w:rPr>
          <w:color w:val="auto"/>
          <w:sz w:val="20"/>
        </w:rPr>
        <w:t xml:space="preserve"> et, en consultation avec le GTT des TM, décider des besoins </w:t>
      </w:r>
      <w:r>
        <w:rPr>
          <w:b/>
          <w:color w:val="auto"/>
          <w:sz w:val="20"/>
        </w:rPr>
        <w:t>d’adaptation au contexte</w:t>
      </w:r>
      <w:r>
        <w:rPr>
          <w:color w:val="auto"/>
          <w:sz w:val="20"/>
        </w:rPr>
        <w:t xml:space="preserve"> et encadrer le développement d’outils contextualisés (par exemple, évaluation des TM, évaluation du marché, sélection des modalités, analyse des risques, ciblage et sélection des bénéficiaires, CEA, suivi post-distribution (PDM), etc.)</w:t>
      </w:r>
    </w:p>
    <w:p w14:paraId="45630E0F" w14:textId="6AF393CF" w:rsidR="000B0DC6" w:rsidRDefault="000B0DC6" w:rsidP="00DE785C">
      <w:pPr>
        <w:pStyle w:val="Default"/>
        <w:numPr>
          <w:ilvl w:val="0"/>
          <w:numId w:val="28"/>
        </w:numPr>
        <w:spacing w:after="120"/>
        <w:jc w:val="both"/>
        <w:rPr>
          <w:rFonts w:cstheme="minorHAnsi"/>
          <w:bCs/>
          <w:color w:val="auto"/>
          <w:sz w:val="20"/>
          <w:szCs w:val="20"/>
        </w:rPr>
      </w:pPr>
      <w:r>
        <w:rPr>
          <w:color w:val="auto"/>
          <w:sz w:val="20"/>
        </w:rPr>
        <w:t xml:space="preserve">Mobiliser des outils </w:t>
      </w:r>
      <w:proofErr w:type="spellStart"/>
      <w:r>
        <w:rPr>
          <w:color w:val="auto"/>
          <w:sz w:val="20"/>
        </w:rPr>
        <w:t>CiE</w:t>
      </w:r>
      <w:proofErr w:type="spellEnd"/>
      <w:r>
        <w:rPr>
          <w:color w:val="auto"/>
          <w:sz w:val="20"/>
        </w:rPr>
        <w:t xml:space="preserve"> adaptés, en formant et en soutenant le personnel en question à travers la SN et les </w:t>
      </w:r>
      <w:r w:rsidR="00DD62BD">
        <w:rPr>
          <w:color w:val="auto"/>
          <w:sz w:val="20"/>
        </w:rPr>
        <w:t>branches</w:t>
      </w:r>
      <w:r>
        <w:rPr>
          <w:color w:val="auto"/>
          <w:sz w:val="20"/>
        </w:rPr>
        <w:t xml:space="preserve"> à leur utilisation appropriée.</w:t>
      </w:r>
    </w:p>
    <w:p w14:paraId="00AECBC6" w14:textId="350FC418" w:rsidR="000B0DC6" w:rsidRPr="000B0DC6" w:rsidRDefault="000B0DC6" w:rsidP="00DE785C">
      <w:pPr>
        <w:pStyle w:val="Default"/>
        <w:numPr>
          <w:ilvl w:val="0"/>
          <w:numId w:val="28"/>
        </w:numPr>
        <w:spacing w:after="120"/>
        <w:jc w:val="both"/>
        <w:rPr>
          <w:rFonts w:cstheme="minorBidi"/>
          <w:color w:val="auto"/>
          <w:sz w:val="20"/>
          <w:szCs w:val="20"/>
        </w:rPr>
      </w:pPr>
      <w:r>
        <w:rPr>
          <w:color w:val="auto"/>
          <w:sz w:val="20"/>
        </w:rPr>
        <w:t>Soutenir et superviser l’ensemble du processus d’approvisionnement, de l’identification des PSF à la passation de marchés, en établissant des liens avec les procédures d’approvisionnement SN et FICR, et assurer l’approbation appropriée de la logistique régionale d la FICR.</w:t>
      </w:r>
    </w:p>
    <w:p w14:paraId="066FECC9" w14:textId="1D7A4956" w:rsidR="001D20D2" w:rsidRPr="00FE4D5D" w:rsidRDefault="001D20D2" w:rsidP="00DE785C">
      <w:pPr>
        <w:pStyle w:val="Default"/>
        <w:numPr>
          <w:ilvl w:val="0"/>
          <w:numId w:val="28"/>
        </w:numPr>
        <w:spacing w:after="120"/>
        <w:jc w:val="both"/>
        <w:rPr>
          <w:rFonts w:cstheme="minorHAnsi"/>
          <w:bCs/>
          <w:color w:val="auto"/>
          <w:sz w:val="20"/>
          <w:szCs w:val="20"/>
        </w:rPr>
      </w:pPr>
      <w:r>
        <w:rPr>
          <w:sz w:val="20"/>
        </w:rPr>
        <w:t xml:space="preserve">Élaborer et mettre en œuvre un plan de renforcement des capacités de </w:t>
      </w:r>
      <w:r w:rsidR="00DD62BD">
        <w:rPr>
          <w:sz w:val="20"/>
        </w:rPr>
        <w:t>PTM</w:t>
      </w:r>
      <w:r>
        <w:rPr>
          <w:sz w:val="20"/>
        </w:rPr>
        <w:t xml:space="preserve"> pour s’assurer que tout le personnel des programmes, des opérations, des finances et de la logistique et tout autre </w:t>
      </w:r>
      <w:proofErr w:type="gramStart"/>
      <w:r>
        <w:rPr>
          <w:sz w:val="20"/>
        </w:rPr>
        <w:t>personnel</w:t>
      </w:r>
      <w:proofErr w:type="gramEnd"/>
      <w:r>
        <w:rPr>
          <w:sz w:val="20"/>
        </w:rPr>
        <w:t xml:space="preserve"> impliqué dans les TM ont les connaissances et les compétences appropriées liées aux TM et à la programmation fondée sur le marché. </w:t>
      </w:r>
    </w:p>
    <w:p w14:paraId="0EDB87FB" w14:textId="77C8FCEC" w:rsidR="001D20D2" w:rsidRPr="00FE7AC9" w:rsidRDefault="001D20D2" w:rsidP="00DE785C">
      <w:pPr>
        <w:pStyle w:val="Default"/>
        <w:numPr>
          <w:ilvl w:val="0"/>
          <w:numId w:val="28"/>
        </w:numPr>
        <w:spacing w:after="120"/>
        <w:jc w:val="both"/>
        <w:rPr>
          <w:rFonts w:cstheme="minorHAnsi"/>
          <w:bCs/>
          <w:color w:val="auto"/>
          <w:sz w:val="20"/>
          <w:szCs w:val="20"/>
        </w:rPr>
      </w:pPr>
      <w:r>
        <w:rPr>
          <w:sz w:val="20"/>
        </w:rPr>
        <w:t xml:space="preserve">Offrir des initiatives de formation et de renforcement des capacités (p. ex. ateliers, mentorat régulier) aux collègues sur le terrain afin de développer la capacité des SN à entreprendre des évaluations de TM, une analyse des réponses, une conception, une mise en œuvre et un </w:t>
      </w:r>
      <w:r w:rsidR="00A62BD9">
        <w:rPr>
          <w:sz w:val="20"/>
        </w:rPr>
        <w:t>S&amp;E</w:t>
      </w:r>
      <w:r>
        <w:rPr>
          <w:sz w:val="20"/>
        </w:rPr>
        <w:t xml:space="preserve">, grâce à l’utilisation d’outils </w:t>
      </w:r>
      <w:proofErr w:type="spellStart"/>
      <w:r>
        <w:rPr>
          <w:sz w:val="20"/>
        </w:rPr>
        <w:t>CiE</w:t>
      </w:r>
      <w:proofErr w:type="spellEnd"/>
      <w:r>
        <w:rPr>
          <w:sz w:val="20"/>
        </w:rPr>
        <w:t xml:space="preserve"> contextualisés.</w:t>
      </w:r>
    </w:p>
    <w:p w14:paraId="5E520BBE" w14:textId="775C39B0" w:rsidR="001D20D2" w:rsidRDefault="001D20D2" w:rsidP="00DE785C">
      <w:pPr>
        <w:pStyle w:val="Default"/>
        <w:numPr>
          <w:ilvl w:val="0"/>
          <w:numId w:val="28"/>
        </w:numPr>
        <w:spacing w:after="120"/>
        <w:jc w:val="both"/>
        <w:rPr>
          <w:sz w:val="20"/>
          <w:szCs w:val="20"/>
        </w:rPr>
      </w:pPr>
      <w:r>
        <w:rPr>
          <w:sz w:val="20"/>
        </w:rPr>
        <w:t xml:space="preserve">Recueillir des mises à jour sur les indicateurs/niveaux opérationnels de TM au niveau de la ligne de base, du milieu de gamme et de la ligne finale du </w:t>
      </w:r>
      <w:r w:rsidR="00DD62BD">
        <w:rPr>
          <w:sz w:val="20"/>
        </w:rPr>
        <w:t>PTM</w:t>
      </w:r>
      <w:r>
        <w:rPr>
          <w:sz w:val="20"/>
        </w:rPr>
        <w:t xml:space="preserve">, ou après chaque réponse, pour alimenter le processus d’auto-évaluation de la SN et mesurer la réussite de la SN à fournir des TM aux </w:t>
      </w:r>
      <w:proofErr w:type="gramStart"/>
      <w:r>
        <w:rPr>
          <w:sz w:val="20"/>
        </w:rPr>
        <w:t>personnes  dans</w:t>
      </w:r>
      <w:proofErr w:type="gramEnd"/>
      <w:r>
        <w:rPr>
          <w:sz w:val="20"/>
        </w:rPr>
        <w:t xml:space="preserve"> le besoin.</w:t>
      </w:r>
    </w:p>
    <w:p w14:paraId="031CB12E" w14:textId="77777777" w:rsidR="0021700D" w:rsidRPr="003611F7" w:rsidRDefault="0021700D" w:rsidP="00D36985">
      <w:pPr>
        <w:pStyle w:val="Default"/>
        <w:spacing w:after="120"/>
        <w:jc w:val="both"/>
        <w:rPr>
          <w:b/>
          <w:bCs/>
          <w:sz w:val="20"/>
          <w:szCs w:val="20"/>
        </w:rPr>
      </w:pPr>
    </w:p>
    <w:p w14:paraId="0874D9EF" w14:textId="3C9B9F0F" w:rsidR="0021700D" w:rsidRPr="007E6E65" w:rsidRDefault="007E6E65" w:rsidP="00D36985">
      <w:pPr>
        <w:pStyle w:val="Default"/>
        <w:spacing w:after="120"/>
        <w:jc w:val="both"/>
        <w:rPr>
          <w:b/>
          <w:bCs/>
          <w:sz w:val="20"/>
          <w:szCs w:val="20"/>
          <w:u w:val="single"/>
        </w:rPr>
      </w:pPr>
      <w:r>
        <w:rPr>
          <w:b/>
          <w:sz w:val="20"/>
          <w:u w:val="single"/>
        </w:rPr>
        <w:t>2. Cash in Emergencies (</w:t>
      </w:r>
      <w:proofErr w:type="spellStart"/>
      <w:r>
        <w:rPr>
          <w:b/>
          <w:sz w:val="20"/>
          <w:u w:val="single"/>
        </w:rPr>
        <w:t>CiE</w:t>
      </w:r>
      <w:proofErr w:type="spellEnd"/>
      <w:r>
        <w:rPr>
          <w:b/>
          <w:sz w:val="20"/>
          <w:u w:val="single"/>
        </w:rPr>
        <w:t xml:space="preserve"> ou transfert monétaires en situation d’urgence)</w:t>
      </w:r>
    </w:p>
    <w:p w14:paraId="47664C64" w14:textId="281DFFC9" w:rsidR="00CF69F5" w:rsidRDefault="00CF69F5" w:rsidP="00DF2052">
      <w:pPr>
        <w:pStyle w:val="Default"/>
        <w:spacing w:after="120"/>
        <w:jc w:val="both"/>
        <w:rPr>
          <w:rFonts w:cstheme="minorHAnsi"/>
          <w:sz w:val="20"/>
          <w:szCs w:val="20"/>
        </w:rPr>
      </w:pPr>
      <w:r>
        <w:rPr>
          <w:sz w:val="20"/>
        </w:rPr>
        <w:lastRenderedPageBreak/>
        <w:t xml:space="preserve">Toute réponse par TM doit utiliser les outils </w:t>
      </w:r>
      <w:proofErr w:type="spellStart"/>
      <w:r>
        <w:rPr>
          <w:sz w:val="20"/>
        </w:rPr>
        <w:t>CiE</w:t>
      </w:r>
      <w:proofErr w:type="spellEnd"/>
      <w:r>
        <w:rPr>
          <w:sz w:val="20"/>
        </w:rPr>
        <w:t xml:space="preserve"> contextualisés, développés dans le cadre de la </w:t>
      </w:r>
      <w:r w:rsidR="00DD62BD">
        <w:rPr>
          <w:sz w:val="20"/>
        </w:rPr>
        <w:t>PTM</w:t>
      </w:r>
      <w:r>
        <w:rPr>
          <w:sz w:val="20"/>
        </w:rPr>
        <w:t xml:space="preserve">. Le point focal TM doit donner des conseils sur les étapes suivantes du cycle du projet, lors de toute intervention de réponse : </w:t>
      </w:r>
    </w:p>
    <w:p w14:paraId="19A57984" w14:textId="77777777" w:rsidR="00DF2052" w:rsidRDefault="00DF2052" w:rsidP="00DF2052">
      <w:pPr>
        <w:pStyle w:val="Default"/>
        <w:spacing w:after="120"/>
        <w:jc w:val="both"/>
        <w:rPr>
          <w:rFonts w:cstheme="minorHAnsi"/>
          <w:bCs/>
          <w:color w:val="auto"/>
          <w:sz w:val="20"/>
          <w:szCs w:val="20"/>
        </w:rPr>
      </w:pPr>
      <w:r>
        <w:rPr>
          <w:sz w:val="20"/>
        </w:rPr>
        <w:t>Évaluation et analyse des réponses</w:t>
      </w:r>
    </w:p>
    <w:p w14:paraId="7C336E67" w14:textId="01CB3C1A" w:rsidR="00DF2052" w:rsidRPr="00D95BFB" w:rsidRDefault="00DF2052" w:rsidP="00D95BFB">
      <w:pPr>
        <w:pStyle w:val="Default"/>
        <w:numPr>
          <w:ilvl w:val="0"/>
          <w:numId w:val="26"/>
        </w:numPr>
        <w:spacing w:after="120"/>
        <w:jc w:val="both"/>
        <w:rPr>
          <w:rFonts w:cstheme="minorHAnsi"/>
          <w:sz w:val="20"/>
          <w:szCs w:val="20"/>
        </w:rPr>
      </w:pPr>
      <w:r>
        <w:rPr>
          <w:sz w:val="20"/>
        </w:rPr>
        <w:t>Conseiller le siège de la SN</w:t>
      </w:r>
      <w:r w:rsidR="002A6A20">
        <w:rPr>
          <w:sz w:val="20"/>
        </w:rPr>
        <w:t xml:space="preserve"> (QGN)</w:t>
      </w:r>
      <w:r>
        <w:rPr>
          <w:sz w:val="20"/>
        </w:rPr>
        <w:t xml:space="preserve"> et sa direction sur la mise en œuvre appropriée et faisable des TM, en fonction des résultats des évaluations des TM et de l’analyse des réponses.</w:t>
      </w:r>
    </w:p>
    <w:p w14:paraId="5C1F6120" w14:textId="77777777" w:rsidR="00DF2052" w:rsidRPr="00D95BFB" w:rsidRDefault="00DF2052" w:rsidP="00D95BFB">
      <w:pPr>
        <w:pStyle w:val="Default"/>
        <w:numPr>
          <w:ilvl w:val="0"/>
          <w:numId w:val="26"/>
        </w:numPr>
        <w:spacing w:after="120"/>
        <w:jc w:val="both"/>
        <w:rPr>
          <w:rFonts w:cstheme="minorHAnsi"/>
          <w:sz w:val="20"/>
          <w:szCs w:val="20"/>
        </w:rPr>
      </w:pPr>
      <w:r>
        <w:rPr>
          <w:sz w:val="20"/>
        </w:rPr>
        <w:t>Formuler des recommandations pour quels secteurs et selon quelles modalités les TM peuvent être mis en œuvre, sur une base continue en réponse à l’évolution des besoins/du contexte ou aux nouvelles urgences.</w:t>
      </w:r>
    </w:p>
    <w:p w14:paraId="4B022441" w14:textId="77777777" w:rsidR="00DE785C" w:rsidRPr="003611F7" w:rsidRDefault="00DE785C" w:rsidP="00FE4D5D">
      <w:pPr>
        <w:pStyle w:val="Default"/>
        <w:spacing w:after="120"/>
        <w:jc w:val="both"/>
        <w:rPr>
          <w:rFonts w:cstheme="minorBidi"/>
          <w:color w:val="auto"/>
          <w:sz w:val="20"/>
          <w:szCs w:val="20"/>
        </w:rPr>
      </w:pPr>
    </w:p>
    <w:p w14:paraId="21081DF0" w14:textId="77777777" w:rsidR="00DE785C" w:rsidRPr="003611F7" w:rsidRDefault="00DE785C" w:rsidP="00FE4D5D">
      <w:pPr>
        <w:pStyle w:val="Default"/>
        <w:spacing w:after="120"/>
        <w:jc w:val="both"/>
        <w:rPr>
          <w:rFonts w:cstheme="minorBidi"/>
          <w:color w:val="auto"/>
          <w:sz w:val="20"/>
          <w:szCs w:val="20"/>
        </w:rPr>
      </w:pPr>
    </w:p>
    <w:p w14:paraId="3709E1C3" w14:textId="2C35A503" w:rsidR="00FE4D5D" w:rsidRPr="00371FE9" w:rsidRDefault="00FE4D5D" w:rsidP="00FE4D5D">
      <w:pPr>
        <w:pStyle w:val="Default"/>
        <w:spacing w:after="120"/>
        <w:jc w:val="both"/>
        <w:rPr>
          <w:rFonts w:cstheme="minorBidi"/>
          <w:color w:val="auto"/>
          <w:sz w:val="20"/>
          <w:szCs w:val="20"/>
        </w:rPr>
      </w:pPr>
      <w:r>
        <w:rPr>
          <w:color w:val="auto"/>
          <w:sz w:val="20"/>
        </w:rPr>
        <w:t>Conception et mise en œuvre</w:t>
      </w:r>
    </w:p>
    <w:p w14:paraId="6A16108C" w14:textId="6C8B4F4B" w:rsidR="007B1CEA" w:rsidRPr="00D95BFB" w:rsidRDefault="00FE4D5D" w:rsidP="00D95BFB">
      <w:pPr>
        <w:pStyle w:val="Default"/>
        <w:numPr>
          <w:ilvl w:val="0"/>
          <w:numId w:val="26"/>
        </w:numPr>
        <w:spacing w:after="120"/>
        <w:jc w:val="both"/>
        <w:rPr>
          <w:rFonts w:cstheme="minorHAnsi"/>
          <w:sz w:val="20"/>
          <w:szCs w:val="20"/>
        </w:rPr>
      </w:pPr>
      <w:r>
        <w:rPr>
          <w:sz w:val="20"/>
        </w:rPr>
        <w:t>Travailler en étroite collaboration avec le gestionnaire des catastrophes dans les réponses où les TM sont jugés appropriés.</w:t>
      </w:r>
    </w:p>
    <w:p w14:paraId="13EFB99C" w14:textId="7D97DCAA" w:rsidR="007B1CEA" w:rsidRPr="00D95BFB" w:rsidRDefault="00DF2052" w:rsidP="00D95BFB">
      <w:pPr>
        <w:pStyle w:val="Default"/>
        <w:numPr>
          <w:ilvl w:val="0"/>
          <w:numId w:val="26"/>
        </w:numPr>
        <w:spacing w:after="120"/>
        <w:jc w:val="both"/>
        <w:rPr>
          <w:rFonts w:cstheme="minorHAnsi"/>
          <w:sz w:val="20"/>
          <w:szCs w:val="20"/>
        </w:rPr>
      </w:pPr>
      <w:r>
        <w:rPr>
          <w:sz w:val="20"/>
        </w:rPr>
        <w:t>Harmoniser et généraliser les outils, directives et procédures appropriés pour les TM dans les processus plus larges de gestion des catastrophes de la SN (par exemple, appels d’urgence, planification, évaluation et rapportage</w:t>
      </w:r>
      <w:r w:rsidR="00820CAE">
        <w:rPr>
          <w:sz w:val="20"/>
        </w:rPr>
        <w:t xml:space="preserve"> (PMER)</w:t>
      </w:r>
      <w:r>
        <w:rPr>
          <w:sz w:val="20"/>
        </w:rPr>
        <w:t>, planification stratégique), afin d’assurer une prestation efficace et efficiente de l’aide.</w:t>
      </w:r>
    </w:p>
    <w:p w14:paraId="5C17B6DA" w14:textId="5E706E9C" w:rsidR="001D20D2" w:rsidRDefault="001D20D2" w:rsidP="001D20D2">
      <w:pPr>
        <w:pStyle w:val="Default"/>
        <w:spacing w:after="120"/>
        <w:jc w:val="both"/>
        <w:rPr>
          <w:rFonts w:cstheme="minorBidi"/>
          <w:color w:val="auto"/>
          <w:sz w:val="20"/>
          <w:szCs w:val="20"/>
        </w:rPr>
      </w:pPr>
      <w:r>
        <w:rPr>
          <w:color w:val="auto"/>
          <w:sz w:val="20"/>
        </w:rPr>
        <w:t>Suivi et évaluation</w:t>
      </w:r>
    </w:p>
    <w:p w14:paraId="47D8F3DF" w14:textId="0E9D29BD" w:rsidR="00486E50" w:rsidRPr="00D95BFB" w:rsidRDefault="00486E50" w:rsidP="00D95BFB">
      <w:pPr>
        <w:pStyle w:val="Default"/>
        <w:numPr>
          <w:ilvl w:val="0"/>
          <w:numId w:val="26"/>
        </w:numPr>
        <w:spacing w:after="120"/>
        <w:jc w:val="both"/>
        <w:rPr>
          <w:rFonts w:cstheme="minorHAnsi"/>
          <w:sz w:val="20"/>
          <w:szCs w:val="20"/>
        </w:rPr>
      </w:pPr>
      <w:r>
        <w:rPr>
          <w:sz w:val="20"/>
        </w:rPr>
        <w:t xml:space="preserve">Travailler en étroite collaboration avec le responsable S&amp;E pour s’assurer que les processus, systèmes et outils de S&amp;E appropriés sont en place pour les TM et généralisés dans d’autres outils SN. Mener une formation clé du personnel clé, y compris les </w:t>
      </w:r>
      <w:r w:rsidR="00DD62BD">
        <w:rPr>
          <w:sz w:val="20"/>
        </w:rPr>
        <w:t>branches</w:t>
      </w:r>
      <w:r>
        <w:rPr>
          <w:sz w:val="20"/>
        </w:rPr>
        <w:t xml:space="preserve"> en question, pour s’assurer que les données de suivi et évaluation</w:t>
      </w:r>
      <w:r w:rsidR="00B571C3">
        <w:rPr>
          <w:sz w:val="20"/>
        </w:rPr>
        <w:t xml:space="preserve"> (S&amp;E)</w:t>
      </w:r>
      <w:r>
        <w:rPr>
          <w:sz w:val="20"/>
        </w:rPr>
        <w:t xml:space="preserve"> so</w:t>
      </w:r>
      <w:r w:rsidR="00FB3FBF">
        <w:rPr>
          <w:sz w:val="20"/>
        </w:rPr>
        <w:t>ien</w:t>
      </w:r>
      <w:r>
        <w:rPr>
          <w:sz w:val="20"/>
        </w:rPr>
        <w:t>t correctement recueillies, centralisées, analysées et utilisées comme leçons apprises pour éclairer les futurs programmes.</w:t>
      </w:r>
    </w:p>
    <w:p w14:paraId="582E8C79" w14:textId="77777777" w:rsidR="001D20D2" w:rsidRPr="00D95BFB" w:rsidRDefault="001D20D2" w:rsidP="00D95BFB">
      <w:pPr>
        <w:pStyle w:val="Default"/>
        <w:numPr>
          <w:ilvl w:val="0"/>
          <w:numId w:val="26"/>
        </w:numPr>
        <w:spacing w:after="120"/>
        <w:jc w:val="both"/>
        <w:rPr>
          <w:rFonts w:cstheme="minorHAnsi"/>
          <w:sz w:val="20"/>
          <w:szCs w:val="20"/>
        </w:rPr>
      </w:pPr>
      <w:r>
        <w:rPr>
          <w:sz w:val="20"/>
        </w:rPr>
        <w:t>Évaluer l’effet sur les bénéficiaires et documenter les résultats, les leçons apprises et les meilleures pratiques dans les programmes avec TM.</w:t>
      </w:r>
    </w:p>
    <w:p w14:paraId="3F1A0590" w14:textId="77777777" w:rsidR="00EE626C" w:rsidRPr="003611F7" w:rsidRDefault="00EE626C" w:rsidP="00EE626C">
      <w:pPr>
        <w:pStyle w:val="Default"/>
        <w:spacing w:after="120"/>
        <w:jc w:val="both"/>
        <w:rPr>
          <w:bCs/>
          <w:color w:val="auto"/>
          <w:sz w:val="20"/>
          <w:szCs w:val="20"/>
        </w:rPr>
      </w:pPr>
    </w:p>
    <w:p w14:paraId="39129537" w14:textId="3931E7AE" w:rsidR="001D20D2" w:rsidRPr="007E6E65" w:rsidRDefault="007E6E65" w:rsidP="001D20D2">
      <w:pPr>
        <w:pStyle w:val="Default"/>
        <w:spacing w:after="120"/>
        <w:jc w:val="both"/>
        <w:rPr>
          <w:b/>
          <w:bCs/>
          <w:sz w:val="20"/>
          <w:szCs w:val="20"/>
          <w:u w:val="single"/>
        </w:rPr>
      </w:pPr>
      <w:r>
        <w:rPr>
          <w:b/>
          <w:sz w:val="20"/>
          <w:u w:val="single"/>
        </w:rPr>
        <w:t>3. coordination</w:t>
      </w:r>
    </w:p>
    <w:p w14:paraId="72F7647E" w14:textId="1AF0782A" w:rsidR="00C95D42" w:rsidRPr="00D95BFB" w:rsidRDefault="001D20D2" w:rsidP="00D95BFB">
      <w:pPr>
        <w:pStyle w:val="Default"/>
        <w:numPr>
          <w:ilvl w:val="0"/>
          <w:numId w:val="26"/>
        </w:numPr>
        <w:spacing w:after="120"/>
        <w:jc w:val="both"/>
        <w:rPr>
          <w:rFonts w:cstheme="minorHAnsi"/>
          <w:sz w:val="20"/>
          <w:szCs w:val="20"/>
        </w:rPr>
      </w:pPr>
      <w:r>
        <w:rPr>
          <w:sz w:val="20"/>
        </w:rPr>
        <w:t>Plaider pour la création d’un GTT TM s’il n’est pas déjà en place. Convoquer des réunions régulières du GTT T avec les membres concernés au sein de la SN et du mouvement, au besoin.</w:t>
      </w:r>
    </w:p>
    <w:p w14:paraId="659A5B3B" w14:textId="553AFB28" w:rsidR="009F0396" w:rsidRPr="00D95BFB" w:rsidRDefault="7F81B8E0" w:rsidP="00D95BFB">
      <w:pPr>
        <w:pStyle w:val="Default"/>
        <w:numPr>
          <w:ilvl w:val="0"/>
          <w:numId w:val="26"/>
        </w:numPr>
        <w:spacing w:after="120"/>
        <w:jc w:val="both"/>
        <w:rPr>
          <w:rFonts w:cstheme="minorHAnsi"/>
          <w:sz w:val="20"/>
          <w:szCs w:val="20"/>
        </w:rPr>
      </w:pPr>
      <w:r>
        <w:rPr>
          <w:sz w:val="20"/>
        </w:rPr>
        <w:t xml:space="preserve">Participer régulièrement à des réunions de coordination externes TM (GTC et/ou groupes), représenter la position des SN sur les TM et participer à l’élaboration d’outils et d’approches communes du GTC. </w:t>
      </w:r>
    </w:p>
    <w:p w14:paraId="2E07FCFF" w14:textId="2F0479DD" w:rsidR="00EE626C" w:rsidRPr="00D95BFB" w:rsidRDefault="00C95D42" w:rsidP="00D95BFB">
      <w:pPr>
        <w:pStyle w:val="Default"/>
        <w:numPr>
          <w:ilvl w:val="0"/>
          <w:numId w:val="26"/>
        </w:numPr>
        <w:spacing w:after="120"/>
        <w:jc w:val="both"/>
        <w:rPr>
          <w:rFonts w:cstheme="minorHAnsi"/>
          <w:sz w:val="20"/>
          <w:szCs w:val="20"/>
        </w:rPr>
      </w:pPr>
      <w:r>
        <w:rPr>
          <w:sz w:val="20"/>
        </w:rPr>
        <w:t>Partager et diffuser toute information clé sur la réponse humanitaire et le paysage plus larges de TM en interne au besoin, en particulier avec la haute direction.</w:t>
      </w:r>
    </w:p>
    <w:p w14:paraId="7F39BE5B" w14:textId="693C47EF" w:rsidR="00B9129B" w:rsidRPr="00D95BFB" w:rsidRDefault="00C95D42" w:rsidP="00D95BFB">
      <w:pPr>
        <w:pStyle w:val="Default"/>
        <w:numPr>
          <w:ilvl w:val="0"/>
          <w:numId w:val="26"/>
        </w:numPr>
        <w:spacing w:after="120"/>
        <w:jc w:val="both"/>
        <w:rPr>
          <w:rFonts w:cstheme="minorHAnsi"/>
          <w:sz w:val="20"/>
          <w:szCs w:val="20"/>
        </w:rPr>
      </w:pPr>
      <w:r>
        <w:rPr>
          <w:sz w:val="20"/>
        </w:rPr>
        <w:t>Coordonner et représenter la position des SN sur les TM au besoin lors de réunions avec les partenaires du mouvement dans le pays, les Nations Unies, les donateurs, les agences internationales et les acteurs du secteur privé.</w:t>
      </w:r>
    </w:p>
    <w:p w14:paraId="7B234500" w14:textId="3E56F28E" w:rsidR="00C95D42" w:rsidRPr="00D95BFB" w:rsidRDefault="00C95D42" w:rsidP="00D95BFB">
      <w:pPr>
        <w:pStyle w:val="Default"/>
        <w:numPr>
          <w:ilvl w:val="0"/>
          <w:numId w:val="26"/>
        </w:numPr>
        <w:spacing w:after="120"/>
        <w:jc w:val="both"/>
        <w:rPr>
          <w:rFonts w:cstheme="minorHAnsi"/>
          <w:sz w:val="20"/>
          <w:szCs w:val="20"/>
        </w:rPr>
      </w:pPr>
      <w:r>
        <w:rPr>
          <w:sz w:val="20"/>
        </w:rPr>
        <w:t xml:space="preserve">Accompagner </w:t>
      </w:r>
      <w:r w:rsidR="00FB3FBF">
        <w:rPr>
          <w:sz w:val="20"/>
        </w:rPr>
        <w:t>le management</w:t>
      </w:r>
      <w:r>
        <w:rPr>
          <w:sz w:val="20"/>
        </w:rPr>
        <w:t xml:space="preserve"> à des réunions clés de TM de haut niveau, par exemple avec des représentants du gouvernement concernant les TM et la protection sociale, au besoin.</w:t>
      </w:r>
    </w:p>
    <w:p w14:paraId="20C20084" w14:textId="76C38849" w:rsidR="00FD54BB" w:rsidRPr="00D95BFB" w:rsidRDefault="00FD54BB" w:rsidP="00D95BFB">
      <w:pPr>
        <w:pStyle w:val="Default"/>
        <w:numPr>
          <w:ilvl w:val="0"/>
          <w:numId w:val="26"/>
        </w:numPr>
        <w:spacing w:after="120"/>
        <w:jc w:val="both"/>
        <w:rPr>
          <w:rFonts w:cstheme="minorHAnsi"/>
          <w:sz w:val="20"/>
          <w:szCs w:val="20"/>
        </w:rPr>
      </w:pPr>
      <w:r>
        <w:rPr>
          <w:sz w:val="20"/>
        </w:rPr>
        <w:t>Participer aux forums régionaux du mouvement TM si nécessaire, en particulier si le P</w:t>
      </w:r>
      <w:r w:rsidR="0097376F">
        <w:rPr>
          <w:sz w:val="20"/>
        </w:rPr>
        <w:t>F</w:t>
      </w:r>
      <w:r>
        <w:rPr>
          <w:sz w:val="20"/>
        </w:rPr>
        <w:t xml:space="preserve"> TM n’a qu’une expérience limitée sur le terrain</w:t>
      </w:r>
    </w:p>
    <w:p w14:paraId="4F1C2BF8" w14:textId="77777777" w:rsidR="00635516" w:rsidRPr="003611F7" w:rsidRDefault="00635516" w:rsidP="00FD54BB">
      <w:pPr>
        <w:pStyle w:val="Default"/>
        <w:spacing w:after="120"/>
        <w:jc w:val="both"/>
        <w:rPr>
          <w:rFonts w:cstheme="minorHAnsi"/>
          <w:bCs/>
          <w:color w:val="auto"/>
          <w:sz w:val="20"/>
          <w:szCs w:val="20"/>
        </w:rPr>
      </w:pPr>
    </w:p>
    <w:p w14:paraId="11A6BF5A" w14:textId="13C1614B" w:rsidR="00A8400E" w:rsidRPr="00D95BFB" w:rsidRDefault="003C25E0" w:rsidP="00F5688E">
      <w:pPr>
        <w:pStyle w:val="Heading3"/>
        <w:rPr>
          <w:sz w:val="24"/>
        </w:rPr>
      </w:pPr>
      <w:r>
        <w:rPr>
          <w:sz w:val="24"/>
        </w:rPr>
        <w:t>Compétences et expérience</w:t>
      </w:r>
    </w:p>
    <w:p w14:paraId="1D1A235E" w14:textId="6547EE43" w:rsidR="00973800" w:rsidRPr="00DE785C" w:rsidRDefault="00DF100C" w:rsidP="00DE785C">
      <w:pPr>
        <w:pStyle w:val="Default"/>
        <w:numPr>
          <w:ilvl w:val="0"/>
          <w:numId w:val="29"/>
        </w:numPr>
        <w:spacing w:after="120"/>
        <w:jc w:val="both"/>
        <w:rPr>
          <w:sz w:val="20"/>
          <w:szCs w:val="20"/>
        </w:rPr>
      </w:pPr>
      <w:r>
        <w:rPr>
          <w:sz w:val="20"/>
        </w:rPr>
        <w:t>Un minimum de trois ans d’expérience de travail avec les TM dans le secteur humanitaire/développement, y compris une expérience de programme sur le terrain.</w:t>
      </w:r>
    </w:p>
    <w:p w14:paraId="51467265" w14:textId="734E8BBE" w:rsidR="00A8400E" w:rsidRPr="00DE785C" w:rsidRDefault="00DC2F6D" w:rsidP="00DE785C">
      <w:pPr>
        <w:pStyle w:val="Default"/>
        <w:numPr>
          <w:ilvl w:val="0"/>
          <w:numId w:val="29"/>
        </w:numPr>
        <w:spacing w:after="120"/>
        <w:jc w:val="both"/>
        <w:rPr>
          <w:sz w:val="20"/>
          <w:szCs w:val="20"/>
        </w:rPr>
      </w:pPr>
      <w:r>
        <w:rPr>
          <w:sz w:val="20"/>
        </w:rPr>
        <w:t xml:space="preserve">Excellentes compétences analytiques et capacité à influencer les décisionnaires. </w:t>
      </w:r>
    </w:p>
    <w:p w14:paraId="169F60D7" w14:textId="019EBD41" w:rsidR="00A8400E" w:rsidRPr="00DE785C" w:rsidRDefault="00A8400E" w:rsidP="00DE785C">
      <w:pPr>
        <w:pStyle w:val="Default"/>
        <w:numPr>
          <w:ilvl w:val="0"/>
          <w:numId w:val="29"/>
        </w:numPr>
        <w:spacing w:after="120"/>
        <w:jc w:val="both"/>
        <w:rPr>
          <w:sz w:val="20"/>
          <w:szCs w:val="20"/>
        </w:rPr>
      </w:pPr>
      <w:r>
        <w:rPr>
          <w:sz w:val="20"/>
        </w:rPr>
        <w:t xml:space="preserve">Expérience dans le recueil, l’analyse et la communication de données. </w:t>
      </w:r>
    </w:p>
    <w:p w14:paraId="323F05F7" w14:textId="18187D0E" w:rsidR="00E70465" w:rsidRPr="00DE785C" w:rsidRDefault="00BE131C" w:rsidP="00DE785C">
      <w:pPr>
        <w:pStyle w:val="Default"/>
        <w:numPr>
          <w:ilvl w:val="0"/>
          <w:numId w:val="29"/>
        </w:numPr>
        <w:spacing w:after="120"/>
        <w:jc w:val="both"/>
        <w:rPr>
          <w:sz w:val="20"/>
          <w:szCs w:val="20"/>
        </w:rPr>
      </w:pPr>
      <w:r>
        <w:rPr>
          <w:sz w:val="20"/>
        </w:rPr>
        <w:t xml:space="preserve">Expérience en tant que présentateur auprès de publics externes et en tant que formateur. </w:t>
      </w:r>
    </w:p>
    <w:p w14:paraId="3C2CA5C7" w14:textId="7A2E1E6D" w:rsidR="00973800" w:rsidRPr="00DE785C" w:rsidRDefault="00973800" w:rsidP="00DE785C">
      <w:pPr>
        <w:pStyle w:val="Default"/>
        <w:numPr>
          <w:ilvl w:val="0"/>
          <w:numId w:val="29"/>
        </w:numPr>
        <w:spacing w:after="120"/>
        <w:jc w:val="both"/>
        <w:rPr>
          <w:sz w:val="20"/>
          <w:szCs w:val="20"/>
        </w:rPr>
      </w:pPr>
      <w:r>
        <w:rPr>
          <w:sz w:val="20"/>
        </w:rPr>
        <w:lastRenderedPageBreak/>
        <w:t>Bonne compréhension de la préparation/planification d’urgence et de la réponse aux catastrophes au sein de la Société nationale</w:t>
      </w:r>
    </w:p>
    <w:p w14:paraId="17FAAB8F" w14:textId="14836579" w:rsidR="00A8400E" w:rsidRPr="00DE785C" w:rsidRDefault="00695B45" w:rsidP="00DE785C">
      <w:pPr>
        <w:pStyle w:val="Default"/>
        <w:numPr>
          <w:ilvl w:val="0"/>
          <w:numId w:val="29"/>
        </w:numPr>
        <w:spacing w:after="120"/>
        <w:jc w:val="both"/>
        <w:rPr>
          <w:sz w:val="20"/>
          <w:szCs w:val="20"/>
        </w:rPr>
      </w:pPr>
      <w:r>
        <w:rPr>
          <w:sz w:val="20"/>
        </w:rPr>
        <w:t xml:space="preserve">Excellentes compétences en coordination, notamment la capacité d’assurer la liaison avec divers organismes et individus, d’organiser des manifestations, de hiérarchiser les travaux et d’assurer une circulation harmonieuse de l’information et un environnement de coopération et de divulgation d’information. </w:t>
      </w:r>
    </w:p>
    <w:p w14:paraId="06944DEA" w14:textId="77777777" w:rsidR="00695B45" w:rsidRPr="00DE785C" w:rsidRDefault="00A8400E" w:rsidP="00DE785C">
      <w:pPr>
        <w:pStyle w:val="Default"/>
        <w:numPr>
          <w:ilvl w:val="0"/>
          <w:numId w:val="29"/>
        </w:numPr>
        <w:spacing w:after="120"/>
        <w:jc w:val="both"/>
        <w:rPr>
          <w:sz w:val="20"/>
          <w:szCs w:val="20"/>
        </w:rPr>
      </w:pPr>
      <w:r>
        <w:rPr>
          <w:sz w:val="20"/>
        </w:rPr>
        <w:t>Diplomatie et bonnes aptitudes interpersonnelles.</w:t>
      </w:r>
    </w:p>
    <w:p w14:paraId="027DCFFF" w14:textId="77777777" w:rsidR="00A8400E" w:rsidRPr="00DE785C" w:rsidRDefault="00695B45" w:rsidP="00DE785C">
      <w:pPr>
        <w:pStyle w:val="Default"/>
        <w:numPr>
          <w:ilvl w:val="0"/>
          <w:numId w:val="29"/>
        </w:numPr>
        <w:spacing w:after="120"/>
        <w:jc w:val="both"/>
        <w:rPr>
          <w:sz w:val="20"/>
          <w:szCs w:val="20"/>
        </w:rPr>
      </w:pPr>
      <w:r>
        <w:rPr>
          <w:sz w:val="20"/>
        </w:rPr>
        <w:t xml:space="preserve">Capacité de rester calme sous pression et de ne pas perdre de vue les priorités stratégiques. </w:t>
      </w:r>
    </w:p>
    <w:p w14:paraId="1211E342" w14:textId="77777777" w:rsidR="005F5926" w:rsidRPr="00DE785C" w:rsidRDefault="00A8400E" w:rsidP="00DE785C">
      <w:pPr>
        <w:pStyle w:val="Default"/>
        <w:numPr>
          <w:ilvl w:val="0"/>
          <w:numId w:val="29"/>
        </w:numPr>
        <w:spacing w:after="120"/>
        <w:jc w:val="both"/>
        <w:rPr>
          <w:sz w:val="20"/>
          <w:szCs w:val="20"/>
        </w:rPr>
      </w:pPr>
      <w:r>
        <w:rPr>
          <w:sz w:val="20"/>
        </w:rPr>
        <w:t>Capacité à travailler de manière autonome et avec personnes situées dans des lieux géographiques différents et dans d’autres organismes.</w:t>
      </w:r>
    </w:p>
    <w:p w14:paraId="2FA10FC7" w14:textId="138C5D7B" w:rsidR="00BE131C" w:rsidRPr="00DE785C" w:rsidRDefault="007E6E65" w:rsidP="00DE785C">
      <w:pPr>
        <w:pStyle w:val="Default"/>
        <w:numPr>
          <w:ilvl w:val="0"/>
          <w:numId w:val="29"/>
        </w:numPr>
        <w:spacing w:after="120"/>
        <w:jc w:val="both"/>
        <w:rPr>
          <w:sz w:val="20"/>
          <w:szCs w:val="20"/>
        </w:rPr>
      </w:pPr>
      <w:r>
        <w:rPr>
          <w:sz w:val="20"/>
        </w:rPr>
        <w:t>En fonction de son expérience, la personne doit également avoir la volonté de s’engager à suivre une formation technique correspondante avant ou au moment de prendre ses fonctions</w:t>
      </w:r>
    </w:p>
    <w:sectPr w:rsidR="00BE131C" w:rsidRPr="00DE785C" w:rsidSect="00FB0E0E">
      <w:headerReference w:type="default" r:id="rId10"/>
      <w:footerReference w:type="even" r:id="rId11"/>
      <w:footerReference w:type="default" r:id="rId12"/>
      <w:footerReference w:type="first" r:id="rId13"/>
      <w:pgSz w:w="11900" w:h="16840"/>
      <w:pgMar w:top="1134" w:right="1134" w:bottom="851"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CE558" w14:textId="77777777" w:rsidR="001C7A5D" w:rsidRDefault="001C7A5D" w:rsidP="00AF5FEA">
      <w:r>
        <w:separator/>
      </w:r>
    </w:p>
  </w:endnote>
  <w:endnote w:type="continuationSeparator" w:id="0">
    <w:p w14:paraId="0FE6844B" w14:textId="77777777" w:rsidR="001C7A5D" w:rsidRDefault="001C7A5D" w:rsidP="00AF5FEA">
      <w:r>
        <w:continuationSeparator/>
      </w:r>
    </w:p>
  </w:endnote>
  <w:endnote w:type="continuationNotice" w:id="1">
    <w:p w14:paraId="268DAEA9" w14:textId="77777777" w:rsidR="001C7A5D" w:rsidRDefault="001C7A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16A1" w14:textId="7E2089AA" w:rsidR="000B0DC6" w:rsidRDefault="000B0DC6" w:rsidP="00B57B50">
    <w:pPr>
      <w:pStyle w:val="Footer"/>
      <w:framePr w:wrap="around" w:vAnchor="text" w:hAnchor="margin" w:xAlign="right" w:y="1"/>
      <w:rPr>
        <w:rStyle w:val="PageNumber"/>
      </w:rPr>
    </w:pPr>
    <w:r>
      <w:rPr>
        <w:b/>
        <w:noProof/>
        <w:lang w:val="en-US"/>
      </w:rPr>
      <mc:AlternateContent>
        <mc:Choice Requires="wps">
          <w:drawing>
            <wp:anchor distT="0" distB="0" distL="0" distR="0" simplePos="0" relativeHeight="251658241" behindDoc="0" locked="0" layoutInCell="1" allowOverlap="1" wp14:anchorId="414E3692" wp14:editId="41B68C9C">
              <wp:simplePos x="635" y="635"/>
              <wp:positionH relativeFrom="leftMargin">
                <wp:align>left</wp:align>
              </wp:positionH>
              <wp:positionV relativeFrom="paragraph">
                <wp:posOffset>635</wp:posOffset>
              </wp:positionV>
              <wp:extent cx="442595" cy="231140"/>
              <wp:effectExtent l="0" t="0" r="6985" b="1651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2595" cy="231140"/>
                      </a:xfrm>
                      <a:prstGeom prst="rect">
                        <a:avLst/>
                      </a:prstGeom>
                      <a:noFill/>
                      <a:ln>
                        <a:noFill/>
                      </a:ln>
                    </wps:spPr>
                    <wps:txbx>
                      <w:txbxContent>
                        <w:p w14:paraId="2789F9BD" w14:textId="733E8626" w:rsidR="000B0DC6" w:rsidRPr="008F6E02" w:rsidRDefault="000B0DC6">
                          <w:pPr>
                            <w:rPr>
                              <w:rFonts w:ascii="Calibri" w:eastAsia="Calibri" w:hAnsi="Calibri" w:cs="Calibri"/>
                              <w:color w:val="000000"/>
                            </w:rPr>
                          </w:pPr>
                          <w:r>
                            <w:rPr>
                              <w:rFonts w:ascii="Calibri" w:hAnsi="Calibri"/>
                              <w:color w:val="000000"/>
                            </w:rPr>
                            <w:t>Interne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4E3692" id="_x0000_t202" coordsize="21600,21600" o:spt="202" path="m,l,21600r21600,l21600,xe">
              <v:stroke joinstyle="miter"/>
              <v:path gradientshapeok="t" o:connecttype="rect"/>
            </v:shapetype>
            <v:shape id="Text Box 2" o:spid="_x0000_s1026" type="#_x0000_t202" alt="Internal" style="position:absolute;margin-left:0;margin-top:.05pt;width:34.85pt;height:18.2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" filled="f" stroked="f">
              <v:textbox style="mso-fit-shape-to-text:t" inset="5pt,0,0,0">
                <w:txbxContent>
                  <w:p w14:paraId="2789F9BD" w14:textId="733E8626" w:rsidR="000B0DC6" w:rsidRPr="008F6E02" w:rsidRDefault="000B0DC6">
                    <w:pPr>
                      <w:rPr>
                        <w:rFonts w:ascii="Calibri" w:eastAsia="Calibri" w:hAnsi="Calibri" w:cs="Calibri"/>
                        <w:color w:val="000000"/>
                      </w:rPr>
                    </w:pPr>
                    <w:r>
                      <w:rPr>
                        <w:rFonts w:ascii="Calibri" w:hAnsi="Calibri"/>
                        <w:color w:val="000000"/>
                      </w:rPr>
                      <w:t>Interne</w:t>
                    </w:r>
                  </w:p>
                </w:txbxContent>
              </v:textbox>
              <w10:wrap type="square" anchorx="margin"/>
            </v:shape>
          </w:pict>
        </mc:Fallback>
      </mc:AlternateContent>
    </w:r>
    <w:r>
      <w:rPr>
        <w:rStyle w:val="PageNumber"/>
      </w:rPr>
      <w:fldChar w:fldCharType="begin"/>
    </w:r>
    <w:r>
      <w:rPr>
        <w:rStyle w:val="PageNumber"/>
      </w:rPr>
      <w:instrText xml:space="preserve">PAGE  </w:instrText>
    </w:r>
    <w:r>
      <w:rPr>
        <w:rStyle w:val="PageNumber"/>
      </w:rPr>
      <w:fldChar w:fldCharType="separate"/>
    </w:r>
    <w:r w:rsidR="005F5926">
      <w:rPr>
        <w:rStyle w:val="PageNumber"/>
      </w:rPr>
      <w:t>3</w:t>
    </w:r>
    <w:r>
      <w:rPr>
        <w:rStyle w:val="PageNumber"/>
      </w:rPr>
      <w:fldChar w:fldCharType="end"/>
    </w:r>
  </w:p>
  <w:p w14:paraId="02B71A33" w14:textId="77777777" w:rsidR="000B0DC6" w:rsidRDefault="000B0DC6" w:rsidP="00B57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43EF" w14:textId="07346A6F" w:rsidR="00DE785C" w:rsidRPr="00D95BFB" w:rsidRDefault="006F7C5E" w:rsidP="003A62BA">
    <w:pPr>
      <w:pStyle w:val="Footer"/>
      <w:rPr>
        <w:b/>
        <w:bCs/>
      </w:rPr>
    </w:pPr>
    <w:r>
      <w:rPr>
        <w:color w:val="FF0000"/>
      </w:rPr>
      <w:t xml:space="preserve">Composante 1.2 structure organisationnelle </w:t>
    </w:r>
    <w:r>
      <w:rPr>
        <w:rStyle w:val="PageNumber"/>
      </w:rPr>
      <w:t>I</w:t>
    </w:r>
    <w:r>
      <w:t xml:space="preserve"> </w:t>
    </w:r>
    <w:r w:rsidR="00197169">
      <w:rPr>
        <w:b/>
      </w:rPr>
      <w:t>M</w:t>
    </w:r>
    <w:r>
      <w:rPr>
        <w:b/>
      </w:rPr>
      <w:t>andat</w:t>
    </w:r>
    <w:r w:rsidR="00197169">
      <w:rPr>
        <w:b/>
      </w:rPr>
      <w:t xml:space="preserve"> </w:t>
    </w:r>
    <w:r w:rsidR="00197169" w:rsidRPr="00197169">
      <w:rPr>
        <w:b/>
        <w:bCs/>
      </w:rPr>
      <w:t>écrit</w:t>
    </w:r>
    <w:r w:rsidR="00197169">
      <w:rPr>
        <w:b/>
      </w:rPr>
      <w:t xml:space="preserve"> (</w:t>
    </w:r>
    <w:proofErr w:type="spellStart"/>
    <w:r w:rsidR="00197169">
      <w:rPr>
        <w:b/>
      </w:rPr>
      <w:t>ToR</w:t>
    </w:r>
    <w:proofErr w:type="spellEnd"/>
    <w:r w:rsidR="00197169">
      <w:rPr>
        <w:b/>
      </w:rPr>
      <w:t>)</w:t>
    </w:r>
    <w:r>
      <w:rPr>
        <w:b/>
      </w:rPr>
      <w:t xml:space="preserve"> - point focal 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5868" w14:textId="2D71F0F0" w:rsidR="000B0DC6" w:rsidRDefault="000B0DC6">
    <w:pPr>
      <w:pStyle w:val="Footer"/>
    </w:pPr>
    <w:r>
      <w:rPr>
        <w:noProof/>
        <w:lang w:val="en-US"/>
      </w:rPr>
      <mc:AlternateContent>
        <mc:Choice Requires="wps">
          <w:drawing>
            <wp:anchor distT="0" distB="0" distL="0" distR="0" simplePos="0" relativeHeight="251658240" behindDoc="0" locked="0" layoutInCell="1" allowOverlap="1" wp14:anchorId="0734E648" wp14:editId="2B4C62CF">
              <wp:simplePos x="635" y="635"/>
              <wp:positionH relativeFrom="leftMargin">
                <wp:align>left</wp:align>
              </wp:positionH>
              <wp:positionV relativeFrom="paragraph">
                <wp:posOffset>635</wp:posOffset>
              </wp:positionV>
              <wp:extent cx="442595" cy="231140"/>
              <wp:effectExtent l="0" t="0" r="6985" b="1651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2595" cy="231140"/>
                      </a:xfrm>
                      <a:prstGeom prst="rect">
                        <a:avLst/>
                      </a:prstGeom>
                      <a:noFill/>
                      <a:ln>
                        <a:noFill/>
                      </a:ln>
                    </wps:spPr>
                    <wps:txbx>
                      <w:txbxContent>
                        <w:p w14:paraId="765CE059" w14:textId="64179FAE" w:rsidR="000B0DC6" w:rsidRPr="008F6E02" w:rsidRDefault="000B0DC6">
                          <w:pPr>
                            <w:rPr>
                              <w:rFonts w:ascii="Calibri" w:eastAsia="Calibri" w:hAnsi="Calibri" w:cs="Calibri"/>
                              <w:color w:val="000000"/>
                            </w:rPr>
                          </w:pPr>
                          <w:r>
                            <w:rPr>
                              <w:rFonts w:ascii="Calibri" w:hAnsi="Calibri"/>
                              <w:color w:val="000000"/>
                            </w:rPr>
                            <w:t>Interne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34E648" id="_x0000_t202" coordsize="21600,21600" o:spt="202" path="m,l,21600r21600,l21600,xe">
              <v:stroke joinstyle="miter"/>
              <v:path gradientshapeok="t" o:connecttype="rect"/>
            </v:shapetype>
            <v:shape id="Text Box 1" o:spid="_x0000_s1027" type="#_x0000_t202" alt="Internal" style="position:absolute;margin-left:0;margin-top:.05pt;width:34.85pt;height:18.2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" filled="f" stroked="f">
              <v:textbox style="mso-fit-shape-to-text:t" inset="5pt,0,0,0">
                <w:txbxContent>
                  <w:p w14:paraId="765CE059" w14:textId="64179FAE" w:rsidR="000B0DC6" w:rsidRPr="008F6E02" w:rsidRDefault="000B0DC6">
                    <w:pPr>
                      <w:rPr>
                        <w:rFonts w:ascii="Calibri" w:eastAsia="Calibri" w:hAnsi="Calibri" w:cs="Calibri"/>
                        <w:color w:val="000000"/>
                      </w:rPr>
                    </w:pPr>
                    <w:r>
                      <w:rPr>
                        <w:rFonts w:ascii="Calibri" w:hAnsi="Calibri"/>
                        <w:color w:val="000000"/>
                      </w:rPr>
                      <w:t>Interne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D7FDC" w14:textId="77777777" w:rsidR="001C7A5D" w:rsidRDefault="001C7A5D" w:rsidP="00AF5FEA">
      <w:r>
        <w:separator/>
      </w:r>
    </w:p>
  </w:footnote>
  <w:footnote w:type="continuationSeparator" w:id="0">
    <w:p w14:paraId="4C7F5A7B" w14:textId="77777777" w:rsidR="001C7A5D" w:rsidRDefault="001C7A5D" w:rsidP="00AF5FEA">
      <w:r>
        <w:continuationSeparator/>
      </w:r>
    </w:p>
  </w:footnote>
  <w:footnote w:type="continuationNotice" w:id="1">
    <w:p w14:paraId="588ED678" w14:textId="77777777" w:rsidR="001C7A5D" w:rsidRDefault="001C7A5D">
      <w:pPr>
        <w:spacing w:after="0"/>
      </w:pPr>
    </w:p>
  </w:footnote>
  <w:footnote w:id="2">
    <w:p w14:paraId="7ED5AFB3" w14:textId="418945BF" w:rsidR="000B0DC6" w:rsidRDefault="000B0DC6">
      <w:pPr>
        <w:pStyle w:val="FootnoteText"/>
      </w:pPr>
      <w:r>
        <w:rPr>
          <w:rStyle w:val="FootnoteReference"/>
        </w:rPr>
        <w:footnoteRef/>
      </w:r>
      <w:r>
        <w:t xml:space="preserve"> Le texte en </w:t>
      </w:r>
      <w:r>
        <w:rPr>
          <w:i/>
        </w:rPr>
        <w:t xml:space="preserve">italique </w:t>
      </w:r>
      <w:r>
        <w:t>est à titre indicatif et devrait être adapté (ou supprimé) au moment de l’élaboration du modèle de mandat écrit, si nécessaire.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357B" w14:textId="568DADC5" w:rsidR="000B0DC6" w:rsidRPr="00074036" w:rsidRDefault="000B0DC6" w:rsidP="003A62BA">
    <w:pPr>
      <w:pStyle w:val="Header"/>
      <w:rPr>
        <w:szCs w:val="16"/>
      </w:rPr>
    </w:pPr>
    <w:r>
      <w:rPr>
        <w:rStyle w:val="Pantone485"/>
      </w:rPr>
      <w:t>Mouvement international de la Croix-Rouge et du Croissant-Rouge</w:t>
    </w:r>
    <w:r w:rsidR="003611F7">
      <w:rPr>
        <w:rStyle w:val="Pantone485"/>
      </w:rPr>
      <w:t xml:space="preserve"> </w:t>
    </w:r>
    <w:r>
      <w:rPr>
        <w:rStyle w:val="PageNumber"/>
      </w:rPr>
      <w:t>Boîte à outils transfert monétaires en situation d’urgence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450"/>
    <w:multiLevelType w:val="hybridMultilevel"/>
    <w:tmpl w:val="475C07EA"/>
    <w:lvl w:ilvl="0" w:tplc="AD9A87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2B3"/>
    <w:multiLevelType w:val="hybridMultilevel"/>
    <w:tmpl w:val="895875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37DA2"/>
    <w:multiLevelType w:val="hybridMultilevel"/>
    <w:tmpl w:val="E842EAEA"/>
    <w:lvl w:ilvl="0" w:tplc="237C97A4">
      <w:start w:val="1"/>
      <w:numFmt w:val="bullet"/>
      <w:lvlText w:val=""/>
      <w:lvlJc w:val="left"/>
      <w:pPr>
        <w:ind w:left="720" w:hanging="360"/>
      </w:pPr>
      <w:rPr>
        <w:rFonts w:ascii="Symbol" w:hAnsi="Symbol" w:hint="default"/>
        <w:color w:val="DC28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F55C7"/>
    <w:multiLevelType w:val="hybridMultilevel"/>
    <w:tmpl w:val="FC18D4C0"/>
    <w:lvl w:ilvl="0" w:tplc="252E9816">
      <w:start w:val="1"/>
      <w:numFmt w:val="decimal"/>
      <w:lvlText w:val="%1."/>
      <w:lvlJc w:val="left"/>
      <w:pPr>
        <w:ind w:left="720" w:hanging="360"/>
      </w:pPr>
      <w:rPr>
        <w:rFonts w:hint="default"/>
        <w:color w:val="DC281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DC3E1F"/>
    <w:multiLevelType w:val="multilevel"/>
    <w:tmpl w:val="D3DAE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E5B46"/>
    <w:multiLevelType w:val="hybridMultilevel"/>
    <w:tmpl w:val="475C07EA"/>
    <w:lvl w:ilvl="0" w:tplc="AD9A87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D222D"/>
    <w:multiLevelType w:val="hybridMultilevel"/>
    <w:tmpl w:val="917A6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D11C8"/>
    <w:multiLevelType w:val="hybridMultilevel"/>
    <w:tmpl w:val="BFA46E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B54AC"/>
    <w:multiLevelType w:val="hybridMultilevel"/>
    <w:tmpl w:val="3710C78C"/>
    <w:lvl w:ilvl="0" w:tplc="5C8A9D78">
      <w:start w:val="1"/>
      <w:numFmt w:val="bullet"/>
      <w:lvlText w:val=""/>
      <w:lvlJc w:val="left"/>
      <w:pPr>
        <w:ind w:left="720" w:hanging="360"/>
      </w:pPr>
      <w:rPr>
        <w:rFonts w:ascii="Symbol" w:hAnsi="Symbol" w:hint="default"/>
        <w:color w:val="DC28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400A0"/>
    <w:multiLevelType w:val="hybridMultilevel"/>
    <w:tmpl w:val="5070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B44DB"/>
    <w:multiLevelType w:val="hybridMultilevel"/>
    <w:tmpl w:val="6B40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95013"/>
    <w:multiLevelType w:val="hybridMultilevel"/>
    <w:tmpl w:val="475C07EA"/>
    <w:lvl w:ilvl="0" w:tplc="AD9A87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E3759"/>
    <w:multiLevelType w:val="hybridMultilevel"/>
    <w:tmpl w:val="1F94C5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B6BD0"/>
    <w:multiLevelType w:val="hybridMultilevel"/>
    <w:tmpl w:val="B9360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F438E"/>
    <w:multiLevelType w:val="hybridMultilevel"/>
    <w:tmpl w:val="B9360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A0CDA"/>
    <w:multiLevelType w:val="hybridMultilevel"/>
    <w:tmpl w:val="81A644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02CD3"/>
    <w:multiLevelType w:val="hybridMultilevel"/>
    <w:tmpl w:val="CB864EEA"/>
    <w:lvl w:ilvl="0" w:tplc="DBE80BB6">
      <w:start w:val="1"/>
      <w:numFmt w:val="decimal"/>
      <w:lvlText w:val="%1."/>
      <w:lvlJc w:val="left"/>
      <w:pPr>
        <w:ind w:left="720" w:hanging="360"/>
      </w:pPr>
      <w:rPr>
        <w:rFonts w:hint="default"/>
        <w:color w:val="DC281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A733A61"/>
    <w:multiLevelType w:val="hybridMultilevel"/>
    <w:tmpl w:val="B9360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C36E9"/>
    <w:multiLevelType w:val="hybridMultilevel"/>
    <w:tmpl w:val="8A1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27ECF"/>
    <w:multiLevelType w:val="hybridMultilevel"/>
    <w:tmpl w:val="4B8EF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3610F"/>
    <w:multiLevelType w:val="hybridMultilevel"/>
    <w:tmpl w:val="F29604A2"/>
    <w:lvl w:ilvl="0" w:tplc="60CAAFD4">
      <w:start w:val="1"/>
      <w:numFmt w:val="decimal"/>
      <w:lvlText w:val="%1."/>
      <w:lvlJc w:val="left"/>
      <w:pPr>
        <w:ind w:left="720" w:hanging="360"/>
      </w:pPr>
      <w:rPr>
        <w:rFonts w:hint="default"/>
        <w:color w:val="DC281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70E2B3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C278C0"/>
    <w:multiLevelType w:val="hybridMultilevel"/>
    <w:tmpl w:val="8102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824554">
    <w:abstractNumId w:val="7"/>
  </w:num>
  <w:num w:numId="2" w16cid:durableId="1997411077">
    <w:abstractNumId w:val="8"/>
  </w:num>
  <w:num w:numId="3" w16cid:durableId="543760155">
    <w:abstractNumId w:val="21"/>
  </w:num>
  <w:num w:numId="4" w16cid:durableId="1847403802">
    <w:abstractNumId w:val="2"/>
  </w:num>
  <w:num w:numId="5" w16cid:durableId="2085687571">
    <w:abstractNumId w:val="19"/>
  </w:num>
  <w:num w:numId="6" w16cid:durableId="1007094812">
    <w:abstractNumId w:val="23"/>
  </w:num>
  <w:num w:numId="7" w16cid:durableId="1075860377">
    <w:abstractNumId w:val="26"/>
  </w:num>
  <w:num w:numId="8" w16cid:durableId="298732710">
    <w:abstractNumId w:val="22"/>
  </w:num>
  <w:num w:numId="9" w16cid:durableId="2056856198">
    <w:abstractNumId w:val="0"/>
  </w:num>
  <w:num w:numId="10" w16cid:durableId="45378575">
    <w:abstractNumId w:val="13"/>
  </w:num>
  <w:num w:numId="11" w16cid:durableId="688676632">
    <w:abstractNumId w:val="6"/>
  </w:num>
  <w:num w:numId="12" w16cid:durableId="312107382">
    <w:abstractNumId w:val="16"/>
  </w:num>
  <w:num w:numId="13" w16cid:durableId="1725061614">
    <w:abstractNumId w:val="11"/>
  </w:num>
  <w:num w:numId="14" w16cid:durableId="2009822086">
    <w:abstractNumId w:val="12"/>
  </w:num>
  <w:num w:numId="15" w16cid:durableId="770400120">
    <w:abstractNumId w:val="24"/>
  </w:num>
  <w:num w:numId="16" w16cid:durableId="1592200842">
    <w:abstractNumId w:val="20"/>
  </w:num>
  <w:num w:numId="17" w16cid:durableId="1608341787">
    <w:abstractNumId w:val="5"/>
  </w:num>
  <w:num w:numId="18" w16cid:durableId="1825389228">
    <w:abstractNumId w:val="27"/>
  </w:num>
  <w:num w:numId="19" w16cid:durableId="1103963610">
    <w:abstractNumId w:val="15"/>
  </w:num>
  <w:num w:numId="20" w16cid:durableId="1259484984">
    <w:abstractNumId w:val="17"/>
  </w:num>
  <w:num w:numId="21" w16cid:durableId="1590650290">
    <w:abstractNumId w:val="14"/>
  </w:num>
  <w:num w:numId="22" w16cid:durableId="1844012217">
    <w:abstractNumId w:val="1"/>
  </w:num>
  <w:num w:numId="23" w16cid:durableId="689836195">
    <w:abstractNumId w:val="28"/>
  </w:num>
  <w:num w:numId="24" w16cid:durableId="1264919810">
    <w:abstractNumId w:val="25"/>
  </w:num>
  <w:num w:numId="25" w16cid:durableId="222107092">
    <w:abstractNumId w:val="9"/>
  </w:num>
  <w:num w:numId="26" w16cid:durableId="1976107934">
    <w:abstractNumId w:val="10"/>
  </w:num>
  <w:num w:numId="27" w16cid:durableId="1241867425">
    <w:abstractNumId w:val="4"/>
  </w:num>
  <w:num w:numId="28" w16cid:durableId="1885753281">
    <w:abstractNumId w:val="3"/>
  </w:num>
  <w:num w:numId="29" w16cid:durableId="91763641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00E"/>
    <w:rsid w:val="0001271E"/>
    <w:rsid w:val="00025B66"/>
    <w:rsid w:val="00030A13"/>
    <w:rsid w:val="0003746D"/>
    <w:rsid w:val="00044EF5"/>
    <w:rsid w:val="0007567F"/>
    <w:rsid w:val="00090864"/>
    <w:rsid w:val="000A16B2"/>
    <w:rsid w:val="000A4542"/>
    <w:rsid w:val="000A5CCB"/>
    <w:rsid w:val="000B0DC6"/>
    <w:rsid w:val="000D2AB6"/>
    <w:rsid w:val="000E2B10"/>
    <w:rsid w:val="000E7014"/>
    <w:rsid w:val="000F2D7E"/>
    <w:rsid w:val="00104FA7"/>
    <w:rsid w:val="00155EFC"/>
    <w:rsid w:val="00164252"/>
    <w:rsid w:val="0017197A"/>
    <w:rsid w:val="00172DF0"/>
    <w:rsid w:val="001968EB"/>
    <w:rsid w:val="00197169"/>
    <w:rsid w:val="001B75AC"/>
    <w:rsid w:val="001C6BC7"/>
    <w:rsid w:val="001C7A5D"/>
    <w:rsid w:val="001D20D2"/>
    <w:rsid w:val="001D4252"/>
    <w:rsid w:val="001E15EE"/>
    <w:rsid w:val="0020422A"/>
    <w:rsid w:val="0021700D"/>
    <w:rsid w:val="002262CA"/>
    <w:rsid w:val="0024010B"/>
    <w:rsid w:val="002426D0"/>
    <w:rsid w:val="0024D508"/>
    <w:rsid w:val="00251867"/>
    <w:rsid w:val="00252182"/>
    <w:rsid w:val="00274321"/>
    <w:rsid w:val="00295C76"/>
    <w:rsid w:val="002A45C0"/>
    <w:rsid w:val="002A6A20"/>
    <w:rsid w:val="00310C9C"/>
    <w:rsid w:val="00345637"/>
    <w:rsid w:val="003611F7"/>
    <w:rsid w:val="003665E0"/>
    <w:rsid w:val="00367A76"/>
    <w:rsid w:val="00371286"/>
    <w:rsid w:val="00371FE9"/>
    <w:rsid w:val="003826F8"/>
    <w:rsid w:val="003A62BA"/>
    <w:rsid w:val="003C0BFC"/>
    <w:rsid w:val="003C25E0"/>
    <w:rsid w:val="003C72F2"/>
    <w:rsid w:val="003D1505"/>
    <w:rsid w:val="003D1E7B"/>
    <w:rsid w:val="00403C18"/>
    <w:rsid w:val="004062D1"/>
    <w:rsid w:val="00413A1A"/>
    <w:rsid w:val="004155F2"/>
    <w:rsid w:val="004168C9"/>
    <w:rsid w:val="0042721D"/>
    <w:rsid w:val="0043694F"/>
    <w:rsid w:val="00447D73"/>
    <w:rsid w:val="00463715"/>
    <w:rsid w:val="004643A3"/>
    <w:rsid w:val="004828CA"/>
    <w:rsid w:val="00486E50"/>
    <w:rsid w:val="00495680"/>
    <w:rsid w:val="004C0205"/>
    <w:rsid w:val="004F3BDE"/>
    <w:rsid w:val="00503ED9"/>
    <w:rsid w:val="00512D81"/>
    <w:rsid w:val="005322A8"/>
    <w:rsid w:val="00537006"/>
    <w:rsid w:val="00585075"/>
    <w:rsid w:val="005958F7"/>
    <w:rsid w:val="005A429D"/>
    <w:rsid w:val="005A468C"/>
    <w:rsid w:val="005C48E8"/>
    <w:rsid w:val="005D43A0"/>
    <w:rsid w:val="005F5926"/>
    <w:rsid w:val="005F6B17"/>
    <w:rsid w:val="005F6C4C"/>
    <w:rsid w:val="00635516"/>
    <w:rsid w:val="00640122"/>
    <w:rsid w:val="0065264D"/>
    <w:rsid w:val="00657440"/>
    <w:rsid w:val="00666029"/>
    <w:rsid w:val="00695B45"/>
    <w:rsid w:val="006A4BB9"/>
    <w:rsid w:val="006B1A0F"/>
    <w:rsid w:val="006D1BFF"/>
    <w:rsid w:val="006F3798"/>
    <w:rsid w:val="006F4B7E"/>
    <w:rsid w:val="006F7C5E"/>
    <w:rsid w:val="007003DC"/>
    <w:rsid w:val="00706435"/>
    <w:rsid w:val="00732A81"/>
    <w:rsid w:val="00743974"/>
    <w:rsid w:val="00751C69"/>
    <w:rsid w:val="00753E7B"/>
    <w:rsid w:val="00760AA7"/>
    <w:rsid w:val="00777471"/>
    <w:rsid w:val="007918B1"/>
    <w:rsid w:val="00793D6B"/>
    <w:rsid w:val="00795511"/>
    <w:rsid w:val="007B1CEA"/>
    <w:rsid w:val="007B3811"/>
    <w:rsid w:val="007C4804"/>
    <w:rsid w:val="007E6E65"/>
    <w:rsid w:val="008155F0"/>
    <w:rsid w:val="00820CAE"/>
    <w:rsid w:val="0082740C"/>
    <w:rsid w:val="008331FE"/>
    <w:rsid w:val="008A731C"/>
    <w:rsid w:val="008C0DF8"/>
    <w:rsid w:val="008D0CB8"/>
    <w:rsid w:val="008D7657"/>
    <w:rsid w:val="008F6E02"/>
    <w:rsid w:val="0091598E"/>
    <w:rsid w:val="00917FAC"/>
    <w:rsid w:val="00927BA6"/>
    <w:rsid w:val="00936FEF"/>
    <w:rsid w:val="0095213D"/>
    <w:rsid w:val="00962964"/>
    <w:rsid w:val="00964893"/>
    <w:rsid w:val="0097376F"/>
    <w:rsid w:val="00973800"/>
    <w:rsid w:val="009802AC"/>
    <w:rsid w:val="009847A3"/>
    <w:rsid w:val="0099496B"/>
    <w:rsid w:val="009B5758"/>
    <w:rsid w:val="009E2B90"/>
    <w:rsid w:val="009F0396"/>
    <w:rsid w:val="00A11E2C"/>
    <w:rsid w:val="00A62BD9"/>
    <w:rsid w:val="00A73D53"/>
    <w:rsid w:val="00A8400E"/>
    <w:rsid w:val="00A9238A"/>
    <w:rsid w:val="00AB7CCD"/>
    <w:rsid w:val="00AC68EC"/>
    <w:rsid w:val="00AC7F83"/>
    <w:rsid w:val="00AE3D42"/>
    <w:rsid w:val="00AF1F47"/>
    <w:rsid w:val="00AF5FEA"/>
    <w:rsid w:val="00AF6F1E"/>
    <w:rsid w:val="00B03F50"/>
    <w:rsid w:val="00B1336C"/>
    <w:rsid w:val="00B571C3"/>
    <w:rsid w:val="00B57B50"/>
    <w:rsid w:val="00B63A43"/>
    <w:rsid w:val="00B6734A"/>
    <w:rsid w:val="00B75347"/>
    <w:rsid w:val="00B77C61"/>
    <w:rsid w:val="00B9129B"/>
    <w:rsid w:val="00BC3CED"/>
    <w:rsid w:val="00BC4595"/>
    <w:rsid w:val="00BE131C"/>
    <w:rsid w:val="00BE6B99"/>
    <w:rsid w:val="00C1631D"/>
    <w:rsid w:val="00C27B65"/>
    <w:rsid w:val="00C34ECD"/>
    <w:rsid w:val="00C35710"/>
    <w:rsid w:val="00C465EB"/>
    <w:rsid w:val="00C54D14"/>
    <w:rsid w:val="00C62B57"/>
    <w:rsid w:val="00C95D42"/>
    <w:rsid w:val="00CA1023"/>
    <w:rsid w:val="00CA19EC"/>
    <w:rsid w:val="00CA4812"/>
    <w:rsid w:val="00CA5C30"/>
    <w:rsid w:val="00CB000C"/>
    <w:rsid w:val="00CB7A6D"/>
    <w:rsid w:val="00CE3977"/>
    <w:rsid w:val="00CE540A"/>
    <w:rsid w:val="00CF69F5"/>
    <w:rsid w:val="00D03F5B"/>
    <w:rsid w:val="00D15340"/>
    <w:rsid w:val="00D25A78"/>
    <w:rsid w:val="00D3454C"/>
    <w:rsid w:val="00D36985"/>
    <w:rsid w:val="00D36ADB"/>
    <w:rsid w:val="00D45B76"/>
    <w:rsid w:val="00D95BFB"/>
    <w:rsid w:val="00DA7F0A"/>
    <w:rsid w:val="00DB2FC7"/>
    <w:rsid w:val="00DC2E4B"/>
    <w:rsid w:val="00DC2F6D"/>
    <w:rsid w:val="00DD00E1"/>
    <w:rsid w:val="00DD62BD"/>
    <w:rsid w:val="00DE785C"/>
    <w:rsid w:val="00DF0D23"/>
    <w:rsid w:val="00DF100C"/>
    <w:rsid w:val="00DF15C8"/>
    <w:rsid w:val="00DF2052"/>
    <w:rsid w:val="00DF392F"/>
    <w:rsid w:val="00DF7E2C"/>
    <w:rsid w:val="00E14967"/>
    <w:rsid w:val="00E1716A"/>
    <w:rsid w:val="00E67787"/>
    <w:rsid w:val="00E70465"/>
    <w:rsid w:val="00E94E00"/>
    <w:rsid w:val="00EA2C24"/>
    <w:rsid w:val="00EA621C"/>
    <w:rsid w:val="00EB1759"/>
    <w:rsid w:val="00EC0A36"/>
    <w:rsid w:val="00ED4D8E"/>
    <w:rsid w:val="00ED6228"/>
    <w:rsid w:val="00EE626C"/>
    <w:rsid w:val="00EF5F4C"/>
    <w:rsid w:val="00F055DE"/>
    <w:rsid w:val="00F23F8A"/>
    <w:rsid w:val="00F24FDE"/>
    <w:rsid w:val="00F3211B"/>
    <w:rsid w:val="00F34DDA"/>
    <w:rsid w:val="00F51306"/>
    <w:rsid w:val="00F5688E"/>
    <w:rsid w:val="00F64498"/>
    <w:rsid w:val="00F90880"/>
    <w:rsid w:val="00FB0E0E"/>
    <w:rsid w:val="00FB3FBF"/>
    <w:rsid w:val="00FB7628"/>
    <w:rsid w:val="00FD54BB"/>
    <w:rsid w:val="00FE4D5D"/>
    <w:rsid w:val="00FE7AC9"/>
    <w:rsid w:val="00FF2814"/>
    <w:rsid w:val="13AFEA8E"/>
    <w:rsid w:val="1422F1E8"/>
    <w:rsid w:val="16817F79"/>
    <w:rsid w:val="16B92D08"/>
    <w:rsid w:val="1C1C4D85"/>
    <w:rsid w:val="1C2482B0"/>
    <w:rsid w:val="1C71CBCC"/>
    <w:rsid w:val="1E84232A"/>
    <w:rsid w:val="21984787"/>
    <w:rsid w:val="224D4634"/>
    <w:rsid w:val="27388E6F"/>
    <w:rsid w:val="2F70065E"/>
    <w:rsid w:val="39D39580"/>
    <w:rsid w:val="3A0B430F"/>
    <w:rsid w:val="3BAD6C64"/>
    <w:rsid w:val="3BC47F81"/>
    <w:rsid w:val="3DCBB88E"/>
    <w:rsid w:val="3DCC3A37"/>
    <w:rsid w:val="3FA1A542"/>
    <w:rsid w:val="430D0ECC"/>
    <w:rsid w:val="447F8C5A"/>
    <w:rsid w:val="4A6F98B8"/>
    <w:rsid w:val="52B0CB1D"/>
    <w:rsid w:val="53F14CD4"/>
    <w:rsid w:val="546445BA"/>
    <w:rsid w:val="552BB872"/>
    <w:rsid w:val="561EC5FA"/>
    <w:rsid w:val="5B0D3753"/>
    <w:rsid w:val="5EFF826B"/>
    <w:rsid w:val="6AB2FA93"/>
    <w:rsid w:val="6AEAA822"/>
    <w:rsid w:val="6C8CD177"/>
    <w:rsid w:val="6FD4F991"/>
    <w:rsid w:val="73671700"/>
    <w:rsid w:val="776620C5"/>
    <w:rsid w:val="7D40B844"/>
    <w:rsid w:val="7F81B8E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AEBFF"/>
  <w15:docId w15:val="{4835C362-3E27-42E3-ABB9-EFE9EA93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ArialMT"/>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06"/>
    <w:pPr>
      <w:spacing w:after="120"/>
      <w:jc w:val="both"/>
    </w:pPr>
    <w:rPr>
      <w:rFonts w:ascii="Arial" w:hAnsi="Arial" w:cs="Times New Roman"/>
    </w:rPr>
  </w:style>
  <w:style w:type="paragraph" w:styleId="Heading1">
    <w:name w:val="heading 1"/>
    <w:basedOn w:val="H1"/>
    <w:next w:val="Normal"/>
    <w:link w:val="Heading1Char"/>
    <w:uiPriority w:val="9"/>
    <w:rsid w:val="00537006"/>
  </w:style>
  <w:style w:type="paragraph" w:styleId="Heading2">
    <w:name w:val="heading 2"/>
    <w:basedOn w:val="Normal"/>
    <w:next w:val="Normal"/>
    <w:link w:val="Heading2Char"/>
    <w:uiPriority w:val="9"/>
    <w:unhideWhenUsed/>
    <w:qFormat/>
    <w:rsid w:val="00537006"/>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53700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7006"/>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537006"/>
    <w:pPr>
      <w:spacing w:after="0"/>
    </w:pPr>
    <w:rPr>
      <w:sz w:val="16"/>
      <w:szCs w:val="22"/>
    </w:rPr>
  </w:style>
  <w:style w:type="character" w:customStyle="1" w:styleId="FootnoteTextChar">
    <w:name w:val="Footnote Text Char"/>
    <w:basedOn w:val="DefaultParagraphFont"/>
    <w:link w:val="FootnoteText"/>
    <w:uiPriority w:val="99"/>
    <w:rsid w:val="00537006"/>
    <w:rPr>
      <w:rFonts w:ascii="Arial" w:hAnsi="Arial" w:cs="Times New Roman"/>
      <w:sz w:val="16"/>
      <w:szCs w:val="22"/>
    </w:rPr>
  </w:style>
  <w:style w:type="character" w:styleId="FootnoteReference">
    <w:name w:val="footnote reference"/>
    <w:basedOn w:val="DefaultParagraphFont"/>
    <w:uiPriority w:val="99"/>
    <w:unhideWhenUsed/>
    <w:rsid w:val="00537006"/>
    <w:rPr>
      <w:vertAlign w:val="superscript"/>
    </w:rPr>
  </w:style>
  <w:style w:type="paragraph" w:styleId="Footer">
    <w:name w:val="footer"/>
    <w:basedOn w:val="Normal"/>
    <w:link w:val="FooterChar"/>
    <w:uiPriority w:val="99"/>
    <w:unhideWhenUsed/>
    <w:rsid w:val="00537006"/>
    <w:pPr>
      <w:spacing w:after="0"/>
      <w:jc w:val="left"/>
    </w:pPr>
    <w:rPr>
      <w:sz w:val="16"/>
      <w:szCs w:val="18"/>
    </w:rPr>
  </w:style>
  <w:style w:type="character" w:customStyle="1" w:styleId="FooterChar">
    <w:name w:val="Footer Char"/>
    <w:basedOn w:val="DefaultParagraphFont"/>
    <w:link w:val="Footer"/>
    <w:uiPriority w:val="99"/>
    <w:rsid w:val="00537006"/>
    <w:rPr>
      <w:rFonts w:ascii="Arial" w:hAnsi="Arial" w:cs="Times New Roman"/>
      <w:sz w:val="16"/>
      <w:szCs w:val="18"/>
    </w:rPr>
  </w:style>
  <w:style w:type="character" w:styleId="PageNumber">
    <w:name w:val="page number"/>
    <w:basedOn w:val="DefaultParagraphFont"/>
    <w:uiPriority w:val="99"/>
    <w:unhideWhenUsed/>
    <w:rsid w:val="00537006"/>
    <w:rPr>
      <w:b/>
    </w:rPr>
  </w:style>
  <w:style w:type="paragraph" w:styleId="Header">
    <w:name w:val="header"/>
    <w:basedOn w:val="Normal"/>
    <w:link w:val="HeaderChar"/>
    <w:uiPriority w:val="99"/>
    <w:unhideWhenUsed/>
    <w:rsid w:val="00537006"/>
    <w:pPr>
      <w:spacing w:after="0" w:line="288" w:lineRule="auto"/>
      <w:jc w:val="left"/>
    </w:pPr>
    <w:rPr>
      <w:sz w:val="16"/>
    </w:rPr>
  </w:style>
  <w:style w:type="character" w:customStyle="1" w:styleId="HeaderChar">
    <w:name w:val="Header Char"/>
    <w:basedOn w:val="DefaultParagraphFont"/>
    <w:link w:val="Header"/>
    <w:uiPriority w:val="99"/>
    <w:rsid w:val="00537006"/>
    <w:rPr>
      <w:rFonts w:ascii="Arial" w:hAnsi="Arial" w:cs="Times New Roman"/>
      <w:sz w:val="16"/>
    </w:rPr>
  </w:style>
  <w:style w:type="paragraph" w:styleId="NoSpacing">
    <w:name w:val="No Spacing"/>
    <w:uiPriority w:val="1"/>
    <w:qFormat/>
    <w:rsid w:val="00495680"/>
    <w:rPr>
      <w:rFonts w:ascii="Calibri" w:eastAsia="Times New Roman" w:hAnsi="Calibri" w:cs="Times New Roman"/>
      <w:sz w:val="22"/>
      <w:szCs w:val="22"/>
    </w:rPr>
  </w:style>
  <w:style w:type="paragraph" w:styleId="ListParagraph">
    <w:name w:val="List Paragraph"/>
    <w:basedOn w:val="Normal"/>
    <w:link w:val="ListParagraphChar"/>
    <w:uiPriority w:val="34"/>
    <w:qFormat/>
    <w:rsid w:val="00537006"/>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537006"/>
    <w:rPr>
      <w:rFonts w:ascii="Arial" w:eastAsiaTheme="minorHAnsi" w:hAnsi="Arial" w:cstheme="minorBidi"/>
      <w:szCs w:val="22"/>
    </w:rPr>
  </w:style>
  <w:style w:type="character" w:customStyle="1" w:styleId="Heading1Char">
    <w:name w:val="Heading 1 Char"/>
    <w:basedOn w:val="DefaultParagraphFont"/>
    <w:link w:val="Heading1"/>
    <w:uiPriority w:val="9"/>
    <w:rsid w:val="00537006"/>
    <w:rPr>
      <w:rFonts w:ascii="Arial" w:hAnsi="Arial" w:cs="Times New Roman"/>
      <w:b/>
      <w:sz w:val="40"/>
      <w:szCs w:val="52"/>
    </w:rPr>
  </w:style>
  <w:style w:type="character" w:customStyle="1" w:styleId="Heading2Char">
    <w:name w:val="Heading 2 Char"/>
    <w:basedOn w:val="DefaultParagraphFont"/>
    <w:link w:val="Heading2"/>
    <w:uiPriority w:val="9"/>
    <w:rsid w:val="00537006"/>
    <w:rPr>
      <w:rFonts w:ascii="Arial" w:hAnsi="Arial" w:cs="Times New Roman"/>
      <w:b/>
      <w:caps/>
      <w:sz w:val="24"/>
      <w:szCs w:val="26"/>
    </w:rPr>
  </w:style>
  <w:style w:type="character" w:customStyle="1" w:styleId="Heading3Char">
    <w:name w:val="Heading 3 Char"/>
    <w:basedOn w:val="DefaultParagraphFont"/>
    <w:link w:val="Heading3"/>
    <w:uiPriority w:val="9"/>
    <w:rsid w:val="00537006"/>
    <w:rPr>
      <w:rFonts w:ascii="Arial" w:hAnsi="Arial" w:cs="Times New Roman"/>
      <w:b/>
      <w:sz w:val="22"/>
      <w:szCs w:val="24"/>
    </w:rPr>
  </w:style>
  <w:style w:type="table" w:styleId="TableGrid">
    <w:name w:val="Table Grid"/>
    <w:basedOn w:val="TableNormal"/>
    <w:uiPriority w:val="59"/>
    <w:rsid w:val="00537006"/>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7006"/>
    <w:rPr>
      <w:sz w:val="18"/>
      <w:szCs w:val="18"/>
    </w:rPr>
  </w:style>
  <w:style w:type="paragraph" w:styleId="CommentText">
    <w:name w:val="annotation text"/>
    <w:basedOn w:val="Normal"/>
    <w:link w:val="CommentTextChar"/>
    <w:uiPriority w:val="99"/>
    <w:unhideWhenUsed/>
    <w:rsid w:val="00732A81"/>
  </w:style>
  <w:style w:type="character" w:customStyle="1" w:styleId="CommentTextChar">
    <w:name w:val="Comment Text Char"/>
    <w:basedOn w:val="DefaultParagraphFont"/>
    <w:link w:val="CommentText"/>
    <w:uiPriority w:val="99"/>
    <w:rsid w:val="00732A81"/>
    <w:rPr>
      <w:rFonts w:ascii="Arial" w:hAnsi="Arial" w:cs="Arial"/>
      <w:lang w:val="fr-FR"/>
    </w:rPr>
  </w:style>
  <w:style w:type="paragraph" w:styleId="CommentSubject">
    <w:name w:val="annotation subject"/>
    <w:basedOn w:val="Normal"/>
    <w:link w:val="CommentSubjectChar"/>
    <w:uiPriority w:val="99"/>
    <w:semiHidden/>
    <w:unhideWhenUsed/>
    <w:rsid w:val="00537006"/>
    <w:rPr>
      <w:b/>
      <w:bCs/>
    </w:rPr>
  </w:style>
  <w:style w:type="character" w:customStyle="1" w:styleId="CommentSubjectChar">
    <w:name w:val="Comment Subject Char"/>
    <w:basedOn w:val="DefaultParagraphFont"/>
    <w:link w:val="CommentSubject"/>
    <w:uiPriority w:val="99"/>
    <w:semiHidden/>
    <w:rsid w:val="00537006"/>
    <w:rPr>
      <w:rFonts w:ascii="Arial" w:hAnsi="Arial" w:cs="Times New Roman"/>
      <w:b/>
      <w:bCs/>
    </w:rPr>
  </w:style>
  <w:style w:type="paragraph" w:styleId="BalloonText">
    <w:name w:val="Balloon Text"/>
    <w:basedOn w:val="Normal"/>
    <w:link w:val="BalloonTextChar"/>
    <w:uiPriority w:val="99"/>
    <w:semiHidden/>
    <w:unhideWhenUsed/>
    <w:rsid w:val="005370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006"/>
    <w:rPr>
      <w:rFonts w:ascii="Lucida Grande" w:hAnsi="Lucida Grande" w:cs="Lucida Grande"/>
      <w:sz w:val="18"/>
      <w:szCs w:val="18"/>
    </w:rPr>
  </w:style>
  <w:style w:type="character" w:styleId="Hyperlink">
    <w:name w:val="Hyperlink"/>
    <w:basedOn w:val="DefaultParagraphFont"/>
    <w:uiPriority w:val="99"/>
    <w:unhideWhenUsed/>
    <w:rsid w:val="00537006"/>
    <w:rPr>
      <w:color w:val="0000FF" w:themeColor="hyperlink"/>
      <w:u w:val="single"/>
    </w:rPr>
  </w:style>
  <w:style w:type="character" w:styleId="FollowedHyperlink">
    <w:name w:val="FollowedHyperlink"/>
    <w:basedOn w:val="DefaultParagraphFont"/>
    <w:uiPriority w:val="99"/>
    <w:semiHidden/>
    <w:unhideWhenUsed/>
    <w:rsid w:val="00537006"/>
    <w:rPr>
      <w:color w:val="800080" w:themeColor="followedHyperlink"/>
      <w:u w:val="single"/>
    </w:rPr>
  </w:style>
  <w:style w:type="paragraph" w:styleId="Revision">
    <w:name w:val="Revision"/>
    <w:hidden/>
    <w:uiPriority w:val="99"/>
    <w:semiHidden/>
    <w:rsid w:val="00537006"/>
    <w:rPr>
      <w:rFonts w:ascii="Arial" w:hAnsi="Arial" w:cs="Arial"/>
      <w:sz w:val="21"/>
      <w:szCs w:val="21"/>
    </w:rPr>
  </w:style>
  <w:style w:type="paragraph" w:customStyle="1" w:styleId="BasicParagraph">
    <w:name w:val="[Basic Paragraph]"/>
    <w:basedOn w:val="Normal"/>
    <w:uiPriority w:val="99"/>
    <w:rsid w:val="0053700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537006"/>
    <w:pPr>
      <w:spacing w:before="360" w:after="240"/>
      <w:jc w:val="left"/>
      <w:outlineLvl w:val="0"/>
    </w:pPr>
    <w:rPr>
      <w:b/>
      <w:sz w:val="40"/>
      <w:szCs w:val="52"/>
    </w:rPr>
  </w:style>
  <w:style w:type="paragraph" w:customStyle="1" w:styleId="Bullet1">
    <w:name w:val="Bullet 1"/>
    <w:basedOn w:val="Normal"/>
    <w:rsid w:val="00537006"/>
    <w:pPr>
      <w:numPr>
        <w:numId w:val="2"/>
      </w:numPr>
      <w:spacing w:before="60"/>
    </w:pPr>
    <w:rPr>
      <w:rFonts w:eastAsia="Times New Roman"/>
      <w:color w:val="000000"/>
    </w:rPr>
  </w:style>
  <w:style w:type="paragraph" w:customStyle="1" w:styleId="RefItem1">
    <w:name w:val="Ref Item 1"/>
    <w:basedOn w:val="Normal"/>
    <w:rsid w:val="00537006"/>
    <w:pPr>
      <w:jc w:val="left"/>
    </w:pPr>
    <w:rPr>
      <w:color w:val="000000"/>
      <w:szCs w:val="24"/>
      <w:lang w:eastAsia="it-IT"/>
    </w:rPr>
  </w:style>
  <w:style w:type="paragraph" w:customStyle="1" w:styleId="RefTitre">
    <w:name w:val="Ref Titre"/>
    <w:basedOn w:val="Normal"/>
    <w:rsid w:val="00537006"/>
    <w:pPr>
      <w:jc w:val="left"/>
    </w:pPr>
    <w:rPr>
      <w:rFonts w:eastAsia="Times New Roman"/>
      <w:b/>
      <w:bCs/>
      <w:sz w:val="26"/>
      <w:szCs w:val="26"/>
    </w:rPr>
  </w:style>
  <w:style w:type="paragraph" w:customStyle="1" w:styleId="Header1">
    <w:name w:val="Header 1"/>
    <w:basedOn w:val="Header"/>
    <w:rsid w:val="00537006"/>
    <w:rPr>
      <w:b/>
      <w:sz w:val="24"/>
      <w:szCs w:val="24"/>
    </w:rPr>
  </w:style>
  <w:style w:type="character" w:customStyle="1" w:styleId="Pantone485">
    <w:name w:val="Pantone 485"/>
    <w:basedOn w:val="DefaultParagraphFont"/>
    <w:uiPriority w:val="1"/>
    <w:qFormat/>
    <w:rsid w:val="00537006"/>
    <w:rPr>
      <w:rFonts w:cs="Caecilia-Light"/>
      <w:color w:val="DC281E"/>
      <w:szCs w:val="16"/>
    </w:rPr>
  </w:style>
  <w:style w:type="character" w:customStyle="1" w:styleId="H1Char">
    <w:name w:val="H1 Char"/>
    <w:basedOn w:val="DefaultParagraphFont"/>
    <w:link w:val="H1"/>
    <w:rsid w:val="00537006"/>
    <w:rPr>
      <w:rFonts w:ascii="Arial" w:hAnsi="Arial" w:cs="Times New Roman"/>
      <w:b/>
      <w:sz w:val="40"/>
      <w:szCs w:val="52"/>
    </w:rPr>
  </w:style>
  <w:style w:type="table" w:customStyle="1" w:styleId="TableGray">
    <w:name w:val="Table Gray"/>
    <w:basedOn w:val="TableNormal"/>
    <w:uiPriority w:val="99"/>
    <w:rsid w:val="00537006"/>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537006"/>
    <w:pPr>
      <w:numPr>
        <w:numId w:val="3"/>
      </w:numPr>
      <w:tabs>
        <w:tab w:val="left" w:pos="7230"/>
      </w:tabs>
      <w:spacing w:before="240"/>
    </w:pPr>
    <w:rPr>
      <w:rFonts w:cs="Arial"/>
    </w:rPr>
  </w:style>
  <w:style w:type="paragraph" w:customStyle="1" w:styleId="ListNumber1">
    <w:name w:val="List Number 1"/>
    <w:basedOn w:val="Normal"/>
    <w:rsid w:val="00537006"/>
    <w:pPr>
      <w:numPr>
        <w:ilvl w:val="1"/>
        <w:numId w:val="4"/>
      </w:numPr>
      <w:contextualSpacing/>
    </w:pPr>
    <w:rPr>
      <w:rFonts w:eastAsiaTheme="minorHAnsi" w:cstheme="minorHAnsi"/>
      <w:szCs w:val="22"/>
    </w:rPr>
  </w:style>
  <w:style w:type="paragraph" w:customStyle="1" w:styleId="NormalNo">
    <w:name w:val="Normal + No"/>
    <w:basedOn w:val="Normal"/>
    <w:qFormat/>
    <w:rsid w:val="00537006"/>
    <w:pPr>
      <w:numPr>
        <w:numId w:val="5"/>
      </w:numPr>
    </w:pPr>
    <w:rPr>
      <w:rFonts w:eastAsia="MS Mincho"/>
      <w:b/>
      <w:sz w:val="22"/>
    </w:rPr>
  </w:style>
  <w:style w:type="paragraph" w:customStyle="1" w:styleId="Bullet3">
    <w:name w:val="Bullet 3"/>
    <w:basedOn w:val="ListParagraph"/>
    <w:qFormat/>
    <w:rsid w:val="00537006"/>
    <w:pPr>
      <w:numPr>
        <w:numId w:val="6"/>
      </w:numPr>
      <w:spacing w:before="120" w:after="120"/>
      <w:ind w:right="425"/>
    </w:pPr>
    <w:rPr>
      <w:rFonts w:cs="Arial"/>
      <w:i/>
      <w:iCs/>
    </w:rPr>
  </w:style>
  <w:style w:type="paragraph" w:customStyle="1" w:styleId="Indent">
    <w:name w:val="Indent"/>
    <w:basedOn w:val="Normal"/>
    <w:qFormat/>
    <w:rsid w:val="00537006"/>
    <w:pPr>
      <w:ind w:left="567"/>
    </w:pPr>
    <w:rPr>
      <w:rFonts w:cs="Arial"/>
      <w:b/>
    </w:rPr>
  </w:style>
  <w:style w:type="paragraph" w:customStyle="1" w:styleId="TitreTableau">
    <w:name w:val="Titre Tableau"/>
    <w:basedOn w:val="Normal"/>
    <w:qFormat/>
    <w:rsid w:val="00537006"/>
    <w:pPr>
      <w:spacing w:before="120"/>
      <w:jc w:val="center"/>
    </w:pPr>
    <w:rPr>
      <w:rFonts w:cs="Arial"/>
      <w:b/>
      <w:bCs/>
      <w:color w:val="FFFFFF" w:themeColor="background1"/>
    </w:rPr>
  </w:style>
  <w:style w:type="paragraph" w:customStyle="1" w:styleId="BulletTableau">
    <w:name w:val="Bullet Tableau"/>
    <w:basedOn w:val="Bullet2"/>
    <w:qFormat/>
    <w:rsid w:val="00537006"/>
    <w:pPr>
      <w:keepNext/>
      <w:keepLines/>
      <w:framePr w:hSpace="141" w:wrap="around" w:vAnchor="text" w:hAnchor="margin" w:y="402"/>
      <w:numPr>
        <w:numId w:val="8"/>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0e0d46-bfc3-4fcf-89a2-869473193083">
      <Terms xmlns="http://schemas.microsoft.com/office/infopath/2007/PartnerControls"/>
    </lcf76f155ced4ddcb4097134ff3c332f>
    <TaxCatchAll xmlns="2022f264-a01a-479c-9a1f-db50914a6761" xsi:nil="true"/>
  </documentManagement>
</p:properties>
</file>

<file path=customXml/itemProps1.xml><?xml version="1.0" encoding="utf-8"?>
<ds:datastoreItem xmlns:ds="http://schemas.openxmlformats.org/officeDocument/2006/customXml" ds:itemID="{4087CB59-9928-4375-BBDF-DB01DF421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55717-8D24-4EE3-B5E2-02532A1C51F7}">
  <ds:schemaRefs>
    <ds:schemaRef ds:uri="http://schemas.microsoft.com/sharepoint/v3/contenttype/forms"/>
  </ds:schemaRefs>
</ds:datastoreItem>
</file>

<file path=customXml/itemProps3.xml><?xml version="1.0" encoding="utf-8"?>
<ds:datastoreItem xmlns:ds="http://schemas.openxmlformats.org/officeDocument/2006/customXml" ds:itemID="{E8FAD1B2-B069-44BD-AB35-47D0CAAC70C7}">
  <ds:schemaRefs>
    <ds:schemaRef ds:uri="http://www.w3.org/XML/1998/namespace"/>
    <ds:schemaRef ds:uri="b938eb28-7cbf-463f-95d0-cb37a2d17a6d"/>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ee978fd-d2ca-467a-a30e-4f5782c7aa0a"/>
    <ds:schemaRef ds:uri="http://schemas.microsoft.com/sharepoint/v3"/>
    <ds:schemaRef ds:uri="http://schemas.microsoft.com/office/2006/metadata/properties"/>
    <ds:schemaRef ds:uri="http://purl.org/dc/terms/"/>
    <ds:schemaRef ds:uri="1f0e0d46-bfc3-4fcf-89a2-869473193083"/>
    <ds:schemaRef ds:uri="2022f264-a01a-479c-9a1f-db50914a6761"/>
  </ds:schemaRefs>
</ds:datastoreItem>
</file>

<file path=docProps/app.xml><?xml version="1.0" encoding="utf-8"?>
<Properties xmlns="http://schemas.openxmlformats.org/officeDocument/2006/extended-properties" xmlns:vt="http://schemas.openxmlformats.org/officeDocument/2006/docPropsVTypes">
  <Template>ICRC_Template</Template>
  <TotalTime>45</TotalTime>
  <Pages>4</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19</cp:revision>
  <cp:lastPrinted>2015-09-11T01:49:00Z</cp:lastPrinted>
  <dcterms:created xsi:type="dcterms:W3CDTF">2022-10-31T14:35:00Z</dcterms:created>
  <dcterms:modified xsi:type="dcterms:W3CDTF">2024-09-30T13:19:00Z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2021-06-29T13:48:45Z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33d36a02-0d38-452b-9f79-f4feea0518a3</vt:lpwstr>
  </property>
  <property fmtid="{D5CDD505-2E9C-101B-9397-08002B2CF9AE}" pid="12" name="MSIP_Label_6627b15a-80ec-4ef7-8353-f32e3c89bf3e_ContentBits">
    <vt:lpwstr>2</vt:lpwstr>
  </property>
  <property fmtid="{D5CDD505-2E9C-101B-9397-08002B2CF9AE}" pid="13" name="MediaServiceImageTags">
    <vt:lpwstr/>
  </property>
</Properties>
</file>