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1197" w14:textId="7C29605B" w:rsidR="0040432A" w:rsidRDefault="3C01D970" w:rsidP="54CB88FE">
      <w:pPr>
        <w:pStyle w:val="H1"/>
        <w:spacing w:before="240"/>
        <w:jc w:val="center"/>
        <w:rPr>
          <w:rFonts w:ascii="Verdana" w:hAnsi="Verdana"/>
          <w:sz w:val="18"/>
          <w:szCs w:val="18"/>
        </w:rPr>
      </w:pPr>
      <w:r>
        <w:rPr>
          <w:rFonts w:ascii="Verdana" w:hAnsi="Verdana"/>
          <w:sz w:val="32"/>
        </w:rPr>
        <w:t>Base</w:t>
      </w:r>
      <w:r w:rsidR="006C0BCD">
        <w:rPr>
          <w:rFonts w:ascii="Verdana" w:hAnsi="Verdana"/>
          <w:sz w:val="32"/>
        </w:rPr>
        <w:t>line</w:t>
      </w:r>
      <w:r>
        <w:rPr>
          <w:rFonts w:ascii="Verdana" w:hAnsi="Verdana"/>
          <w:sz w:val="32"/>
        </w:rPr>
        <w:t xml:space="preserve"> interne </w:t>
      </w:r>
      <w:r w:rsidR="006C0BCD">
        <w:rPr>
          <w:rFonts w:ascii="Verdana" w:hAnsi="Verdana"/>
          <w:sz w:val="32"/>
        </w:rPr>
        <w:t>pour la capacité organisationnelle en TM</w:t>
      </w:r>
      <w:r w:rsidR="00B55A2C">
        <w:rPr>
          <w:rFonts w:ascii="Verdana" w:hAnsi="Verdana"/>
          <w:sz w:val="32"/>
        </w:rPr>
        <w:t xml:space="preserve"> - Format de Rapport des ateliers de vision et de planification</w:t>
      </w:r>
    </w:p>
    <w:p w14:paraId="3CA7BFCF" w14:textId="47C10018" w:rsidR="00644F43" w:rsidRPr="008805E1" w:rsidRDefault="008805E1" w:rsidP="344A445F">
      <w:pPr>
        <w:pStyle w:val="H1"/>
        <w:spacing w:before="240"/>
        <w:jc w:val="both"/>
        <w:rPr>
          <w:rFonts w:ascii="Verdana" w:hAnsi="Verdana"/>
          <w:sz w:val="18"/>
          <w:szCs w:val="18"/>
        </w:rPr>
      </w:pPr>
      <w:r>
        <w:rPr>
          <w:rFonts w:ascii="Verdana" w:hAnsi="Verdana"/>
          <w:b w:val="0"/>
          <w:sz w:val="18"/>
        </w:rPr>
        <w:t xml:space="preserve">La </w:t>
      </w:r>
      <w:proofErr w:type="spellStart"/>
      <w:r>
        <w:rPr>
          <w:rFonts w:ascii="Verdana" w:hAnsi="Verdana"/>
          <w:b w:val="0"/>
          <w:sz w:val="18"/>
        </w:rPr>
        <w:t>base</w:t>
      </w:r>
      <w:r w:rsidR="006C0BCD">
        <w:rPr>
          <w:rFonts w:ascii="Verdana" w:hAnsi="Verdana"/>
          <w:b w:val="0"/>
          <w:sz w:val="18"/>
        </w:rPr>
        <w:t>line</w:t>
      </w:r>
      <w:proofErr w:type="spellEnd"/>
      <w:r>
        <w:rPr>
          <w:rFonts w:ascii="Verdana" w:hAnsi="Verdana"/>
          <w:b w:val="0"/>
          <w:sz w:val="18"/>
        </w:rPr>
        <w:t xml:space="preserve"> de référence interne de TM pour la capacité de préparation organisationnelle examine la capacité organisationnelle et l’expérience en TM de la SN à ce jour. L’accent est principalement mis sur le visage interne, regardant au sein de la Société nationale (SN) et le mouvement, mais aussi cartographié dans le contexte de ce que d’autres font en termes de TM. Un niveau de référence interne des TM devrait être complété avant le </w:t>
      </w:r>
      <w:r>
        <w:rPr>
          <w:rFonts w:ascii="Verdana" w:hAnsi="Verdana"/>
          <w:b w:val="0"/>
          <w:i/>
          <w:color w:val="C00000"/>
          <w:sz w:val="18"/>
        </w:rPr>
        <w:t xml:space="preserve">niveau de référence externe des TM pour l’analyse pré-crise </w:t>
      </w:r>
      <w:r>
        <w:rPr>
          <w:rFonts w:ascii="Verdana" w:hAnsi="Verdana"/>
          <w:b w:val="0"/>
          <w:sz w:val="18"/>
        </w:rPr>
        <w:t xml:space="preserve">et se pencher sur le niveau programmatique, tandis que le niveau de référence externe est plus technique et se penche sur l’environnement propice aux TM. </w:t>
      </w:r>
    </w:p>
    <w:p w14:paraId="079E14BA" w14:textId="5A628941" w:rsidR="00644F43" w:rsidRPr="008805E1" w:rsidRDefault="006C0BCD" w:rsidP="344A445F">
      <w:pPr>
        <w:pStyle w:val="H1"/>
        <w:spacing w:before="240"/>
        <w:jc w:val="both"/>
        <w:rPr>
          <w:rFonts w:ascii="Verdana" w:hAnsi="Verdana"/>
          <w:b w:val="0"/>
          <w:sz w:val="18"/>
          <w:szCs w:val="18"/>
        </w:rPr>
      </w:pPr>
      <w:r>
        <w:rPr>
          <w:rFonts w:ascii="Verdana" w:hAnsi="Verdana"/>
          <w:b w:val="0"/>
          <w:sz w:val="18"/>
        </w:rPr>
        <w:t xml:space="preserve">La </w:t>
      </w:r>
      <w:proofErr w:type="spellStart"/>
      <w:r>
        <w:rPr>
          <w:rFonts w:ascii="Verdana" w:hAnsi="Verdana"/>
          <w:b w:val="0"/>
          <w:sz w:val="18"/>
        </w:rPr>
        <w:t>baseline</w:t>
      </w:r>
      <w:proofErr w:type="spellEnd"/>
      <w:r>
        <w:rPr>
          <w:rFonts w:ascii="Verdana" w:hAnsi="Verdana"/>
          <w:b w:val="0"/>
          <w:sz w:val="18"/>
        </w:rPr>
        <w:t xml:space="preserve"> </w:t>
      </w:r>
      <w:r w:rsidR="0040432A">
        <w:rPr>
          <w:rFonts w:ascii="Verdana" w:hAnsi="Verdana"/>
          <w:b w:val="0"/>
          <w:sz w:val="18"/>
        </w:rPr>
        <w:t xml:space="preserve">de référence interne des TM est un outil d’accompagnement des ateliers d’initiation et de vision et de planification </w:t>
      </w:r>
      <w:r w:rsidR="00113C26">
        <w:rPr>
          <w:rFonts w:ascii="Verdana" w:hAnsi="Verdana"/>
          <w:b w:val="0"/>
          <w:sz w:val="18"/>
        </w:rPr>
        <w:t>de la PAEC</w:t>
      </w:r>
      <w:r w:rsidR="0040432A">
        <w:rPr>
          <w:rFonts w:ascii="Verdana" w:hAnsi="Verdana"/>
          <w:b w:val="0"/>
          <w:sz w:val="18"/>
        </w:rPr>
        <w:t xml:space="preserve"> et le modèle devrait inclure les conclusions de l’auto-évaluation de la capacité des TM et les niveaux de préparation opérationnelle des TM à la base. Ce modèle peut également être un guide utile lors de la préparation des ateliers de vision et de planification, car la plupart des informations saisies ici seront présentées dans ces ateliers. Le rapport de base interne de TM servira de point de référence à la fois à mi-parcours et à l’étape finale de l’examen, pour aider à mesurer les progrès de SN tout au long du parcours TM.</w:t>
      </w:r>
    </w:p>
    <w:p w14:paraId="5416F89B" w14:textId="113868BE" w:rsidR="00A33F1F" w:rsidRPr="008805E1" w:rsidRDefault="002F5A84" w:rsidP="5A7DB135">
      <w:pPr>
        <w:rPr>
          <w:rFonts w:ascii="Verdana" w:hAnsi="Verdana"/>
          <w:b/>
          <w:bCs/>
          <w:sz w:val="18"/>
          <w:szCs w:val="18"/>
        </w:rPr>
      </w:pPr>
      <w:r>
        <w:rPr>
          <w:rFonts w:ascii="Verdana" w:hAnsi="Verdana"/>
          <w:sz w:val="18"/>
        </w:rPr>
        <w:t>Le modèle est divisé en sept sections. I) expérience du mouvement</w:t>
      </w:r>
      <w:r w:rsidR="006C0BCD">
        <w:rPr>
          <w:rFonts w:ascii="Verdana" w:hAnsi="Verdana"/>
          <w:sz w:val="18"/>
        </w:rPr>
        <w:t xml:space="preserve"> </w:t>
      </w:r>
      <w:r>
        <w:rPr>
          <w:rFonts w:ascii="Verdana" w:hAnsi="Verdana"/>
          <w:sz w:val="18"/>
        </w:rPr>
        <w:t>dans le pays </w:t>
      </w:r>
      <w:r w:rsidR="006C0BCD">
        <w:rPr>
          <w:rFonts w:ascii="Verdana" w:hAnsi="Verdana"/>
          <w:sz w:val="18"/>
        </w:rPr>
        <w:t>en TM</w:t>
      </w:r>
      <w:r>
        <w:rPr>
          <w:rFonts w:ascii="Verdana" w:hAnsi="Verdana"/>
          <w:sz w:val="18"/>
        </w:rPr>
        <w:t>; II) plans stratégiques SN ; III) Vision TM de la SN ; IV) évaluation de l’</w:t>
      </w:r>
      <w:proofErr w:type="spellStart"/>
      <w:r>
        <w:rPr>
          <w:rFonts w:ascii="Verdana" w:hAnsi="Verdana"/>
          <w:sz w:val="18"/>
        </w:rPr>
        <w:t>autocapacité</w:t>
      </w:r>
      <w:proofErr w:type="spellEnd"/>
      <w:r>
        <w:rPr>
          <w:rFonts w:ascii="Verdana" w:hAnsi="Verdana"/>
          <w:sz w:val="18"/>
        </w:rPr>
        <w:t xml:space="preserve"> TM et capacité de préparation organisationnelle ; V) niveaux de préparation opérationnelle des TM de la SN ; VI) apprentissage des TM ; VII) conclusions générales.  </w:t>
      </w:r>
    </w:p>
    <w:p w14:paraId="4C389A9A" w14:textId="15AB1195" w:rsidR="00F10808" w:rsidRPr="008805E1" w:rsidRDefault="00F10808" w:rsidP="00CC6667">
      <w:pPr>
        <w:pStyle w:val="Heading3"/>
        <w:rPr>
          <w:rFonts w:ascii="Verdana" w:hAnsi="Verdana"/>
          <w:szCs w:val="22"/>
        </w:rPr>
      </w:pPr>
      <w:r>
        <w:rPr>
          <w:rFonts w:ascii="Verdana" w:hAnsi="Verdana"/>
        </w:rPr>
        <w:t>Informations récapitulatives</w:t>
      </w:r>
    </w:p>
    <w:p w14:paraId="328FDF90" w14:textId="7F51F71A" w:rsidR="00F10808" w:rsidRPr="008805E1" w:rsidRDefault="00F10808" w:rsidP="00D04A15">
      <w:pPr>
        <w:pStyle w:val="NormalBold"/>
      </w:pPr>
      <w:r>
        <w:t xml:space="preserve">Date, lieu, personne à contacter :  </w:t>
      </w:r>
    </w:p>
    <w:p w14:paraId="54805414" w14:textId="3C170A9B" w:rsidR="00F10808" w:rsidRPr="008805E1" w:rsidRDefault="00F10808" w:rsidP="00D04A15">
      <w:pPr>
        <w:pStyle w:val="NormalBold"/>
      </w:pPr>
      <w:r>
        <w:t xml:space="preserve">Objectif de </w:t>
      </w:r>
      <w:r w:rsidR="006C0BCD">
        <w:t xml:space="preserve">la </w:t>
      </w:r>
      <w:proofErr w:type="spellStart"/>
      <w:r w:rsidR="006C0BCD">
        <w:t>baseline</w:t>
      </w:r>
      <w:proofErr w:type="spellEnd"/>
      <w:r w:rsidR="006C0BCD">
        <w:t xml:space="preserve"> </w:t>
      </w:r>
      <w:r>
        <w:t>de référence interne TM pour la capacité organisationnelle</w:t>
      </w:r>
    </w:p>
    <w:tbl>
      <w:tblPr>
        <w:tblStyle w:val="TableGray"/>
        <w:tblW w:w="0" w:type="auto"/>
        <w:tblLook w:val="04A0" w:firstRow="1" w:lastRow="0" w:firstColumn="1" w:lastColumn="0" w:noHBand="0" w:noVBand="1"/>
      </w:tblPr>
      <w:tblGrid>
        <w:gridCol w:w="9854"/>
      </w:tblGrid>
      <w:tr w:rsidR="00103BBA" w:rsidRPr="008805E1" w14:paraId="3B62FA26" w14:textId="77777777" w:rsidTr="344A445F">
        <w:trPr>
          <w:trHeight w:val="1592"/>
        </w:trPr>
        <w:tc>
          <w:tcPr>
            <w:tcW w:w="9854" w:type="dxa"/>
          </w:tcPr>
          <w:p w14:paraId="600DEED5" w14:textId="703485F3" w:rsidR="00EB61CC" w:rsidRPr="00FB20DC" w:rsidRDefault="00EB61CC" w:rsidP="587F0693">
            <w:pPr>
              <w:pStyle w:val="Bullet2"/>
              <w:rPr>
                <w:rFonts w:ascii="Verdana" w:hAnsi="Verdana"/>
                <w:b/>
                <w:bCs/>
                <w:sz w:val="18"/>
                <w:szCs w:val="18"/>
              </w:rPr>
            </w:pPr>
            <w:r w:rsidRPr="00FB20DC">
              <w:rPr>
                <w:rFonts w:ascii="Verdana" w:hAnsi="Verdana"/>
                <w:sz w:val="18"/>
              </w:rPr>
              <w:t>Fournir des renseignements de base sur la capacité de préparation organisationnelle, l’expérience et l’apprentissage de la SN et du mouvement TM à ce jour</w:t>
            </w:r>
          </w:p>
          <w:p w14:paraId="035DACBD" w14:textId="52AB2A4A" w:rsidR="00103BBA" w:rsidRPr="00024A09" w:rsidRDefault="00EB61CC" w:rsidP="00147030">
            <w:pPr>
              <w:jc w:val="both"/>
              <w:rPr>
                <w:rFonts w:ascii="Verdana" w:hAnsi="Verdana"/>
                <w:sz w:val="18"/>
                <w:szCs w:val="18"/>
              </w:rPr>
            </w:pPr>
            <w:r>
              <w:rPr>
                <w:rFonts w:ascii="Verdana" w:hAnsi="Verdana"/>
                <w:sz w:val="18"/>
              </w:rPr>
              <w:t>Spécifiquement :</w:t>
            </w:r>
          </w:p>
          <w:p w14:paraId="5C9BDFC4" w14:textId="06EFDDBF" w:rsidR="3D130922" w:rsidRDefault="3D130922" w:rsidP="344A445F">
            <w:pPr>
              <w:pStyle w:val="Bullet2"/>
              <w:jc w:val="both"/>
              <w:rPr>
                <w:rFonts w:ascii="Verdana" w:eastAsia="Verdana" w:hAnsi="Verdana" w:cs="Verdana"/>
                <w:sz w:val="18"/>
                <w:szCs w:val="18"/>
              </w:rPr>
            </w:pPr>
            <w:r>
              <w:rPr>
                <w:rFonts w:ascii="Verdana" w:hAnsi="Verdana"/>
                <w:sz w:val="18"/>
              </w:rPr>
              <w:t>Pour résumer la vision des TM de la SN</w:t>
            </w:r>
          </w:p>
          <w:p w14:paraId="08991E9F" w14:textId="4E64875C" w:rsidR="6FFE95CF" w:rsidRDefault="6FFE95CF" w:rsidP="344A445F">
            <w:pPr>
              <w:pStyle w:val="Bullet2"/>
              <w:jc w:val="both"/>
              <w:rPr>
                <w:rFonts w:ascii="Verdana" w:hAnsi="Verdana"/>
                <w:sz w:val="18"/>
                <w:szCs w:val="18"/>
              </w:rPr>
            </w:pPr>
            <w:r>
              <w:rPr>
                <w:rFonts w:ascii="Verdana" w:hAnsi="Verdana"/>
                <w:sz w:val="18"/>
              </w:rPr>
              <w:t>Évaluer dans quelle mesure les TM sont actuellement intégrés dans les documents stratégiques de la SN, notamment en mettant l’accent sur la DSN/PRE</w:t>
            </w:r>
          </w:p>
          <w:p w14:paraId="17A73DC0" w14:textId="599A6348" w:rsidR="380D4733" w:rsidRDefault="380D4733" w:rsidP="00113C26">
            <w:pPr>
              <w:pStyle w:val="Bullet2"/>
              <w:rPr>
                <w:szCs w:val="18"/>
              </w:rPr>
            </w:pPr>
            <w:r>
              <w:t>Pour saisir les niveaux de préparation opérationnelle de base de la SN TM, liés à l’évaluation de l’</w:t>
            </w:r>
            <w:proofErr w:type="spellStart"/>
            <w:r>
              <w:t>autocapacité</w:t>
            </w:r>
            <w:proofErr w:type="spellEnd"/>
            <w:r>
              <w:t xml:space="preserve"> des TM et à l’exercice annuel de comptage de trésorerie, qui peuvent être utilisés pour mesurer les progrès </w:t>
            </w:r>
            <w:r w:rsidR="00113C26" w:rsidRPr="00113C26">
              <w:rPr>
                <w:rFonts w:ascii="Verdana" w:hAnsi="Verdana"/>
                <w:sz w:val="18"/>
              </w:rPr>
              <w:t>tout au long de la PAEC</w:t>
            </w:r>
          </w:p>
          <w:p w14:paraId="706059D3" w14:textId="4849AC4A" w:rsidR="00743263" w:rsidRPr="00D65F86" w:rsidRDefault="28D86E80" w:rsidP="00D65F86">
            <w:pPr>
              <w:pStyle w:val="Bullet2"/>
              <w:rPr>
                <w:rFonts w:ascii="Verdana" w:hAnsi="Verdana"/>
                <w:sz w:val="18"/>
                <w:szCs w:val="18"/>
              </w:rPr>
            </w:pPr>
            <w:r>
              <w:rPr>
                <w:rFonts w:ascii="Verdana" w:hAnsi="Verdana"/>
                <w:sz w:val="18"/>
              </w:rPr>
              <w:t>Capturer l’apprentissage organisationnel de la SN à ce jour dans les TM</w:t>
            </w:r>
          </w:p>
        </w:tc>
      </w:tr>
    </w:tbl>
    <w:p w14:paraId="54905303" w14:textId="5AFE9E05" w:rsidR="00103BBA" w:rsidRPr="008805E1" w:rsidRDefault="00F10808" w:rsidP="003E7688">
      <w:pPr>
        <w:pStyle w:val="Heading3"/>
      </w:pPr>
      <w:r>
        <w:rPr>
          <w:rFonts w:ascii="Verdana" w:hAnsi="Verdana"/>
        </w:rPr>
        <w:t xml:space="preserve">I. Expérience </w:t>
      </w:r>
      <w:r w:rsidR="006C0BCD">
        <w:rPr>
          <w:rFonts w:ascii="Verdana" w:hAnsi="Verdana"/>
        </w:rPr>
        <w:t>du Mouvement en  TM dans le pays</w:t>
      </w:r>
    </w:p>
    <w:p w14:paraId="50AFBF7E" w14:textId="15789A56" w:rsidR="00F10808" w:rsidRPr="008805E1" w:rsidRDefault="00F10808" w:rsidP="00D04A15">
      <w:pPr>
        <w:pStyle w:val="NormalBold"/>
      </w:pPr>
      <w:r>
        <w:t>Récapitulatif de l’expérience actuelle du mouvement TM dans le pays</w:t>
      </w:r>
    </w:p>
    <w:p w14:paraId="74A61FCF" w14:textId="7A5A6E0D" w:rsidR="008E36E0" w:rsidRPr="00590063" w:rsidRDefault="00F10808" w:rsidP="008E36E0">
      <w:pPr>
        <w:pStyle w:val="Explanation"/>
        <w:shd w:val="clear" w:color="auto" w:fill="auto"/>
        <w:ind w:left="0"/>
        <w:rPr>
          <w:rFonts w:ascii="Verdana" w:hAnsi="Verdana"/>
          <w:sz w:val="18"/>
          <w:szCs w:val="18"/>
        </w:rPr>
      </w:pPr>
      <w:r>
        <w:rPr>
          <w:rFonts w:ascii="Verdana" w:hAnsi="Verdana"/>
          <w:sz w:val="18"/>
        </w:rPr>
        <w:t>Résumez toutes les expériences de TM dans le pays avec les lieux et les types de TM et les dates mises en œuvre par la Société nationale et tous les autres acteurs du mouvement. Ces informations proviendront d’un examen secondaire des données des documents de la Société nationale et du mouvement et d’une réunion d’équipe avec les principales parties prenantes pour discuter de la meilleure façon de résumer le niveau d’expérience passée dans le pays.</w:t>
      </w:r>
    </w:p>
    <w:p w14:paraId="5CC04B9F" w14:textId="65F52501" w:rsidR="00590063" w:rsidRPr="003E7688" w:rsidRDefault="00590063" w:rsidP="00D04A15">
      <w:pPr>
        <w:pStyle w:val="NormalBold"/>
        <w:rPr>
          <w:rFonts w:ascii="Verdana" w:hAnsi="Verdana"/>
          <w:b w:val="0"/>
          <w:bCs/>
          <w:sz w:val="17"/>
          <w:szCs w:val="17"/>
        </w:rPr>
      </w:pPr>
      <w:r>
        <w:rPr>
          <w:rFonts w:ascii="Verdana" w:hAnsi="Verdana"/>
          <w:b w:val="0"/>
          <w:sz w:val="17"/>
        </w:rPr>
        <w:t>Résumez les résultats dans un tableau :</w:t>
      </w:r>
    </w:p>
    <w:tbl>
      <w:tblPr>
        <w:tblStyle w:val="TableGrid"/>
        <w:tblW w:w="9639" w:type="dxa"/>
        <w:tblInd w:w="-5" w:type="dxa"/>
        <w:tblLayout w:type="fixed"/>
        <w:tblLook w:val="04A0" w:firstRow="1" w:lastRow="0" w:firstColumn="1" w:lastColumn="0" w:noHBand="0" w:noVBand="1"/>
      </w:tblPr>
      <w:tblGrid>
        <w:gridCol w:w="851"/>
        <w:gridCol w:w="1701"/>
        <w:gridCol w:w="3260"/>
        <w:gridCol w:w="1985"/>
        <w:gridCol w:w="1842"/>
      </w:tblGrid>
      <w:tr w:rsidR="00590063" w:rsidRPr="00113337" w14:paraId="6234B310" w14:textId="77777777" w:rsidTr="00525337">
        <w:tc>
          <w:tcPr>
            <w:tcW w:w="851" w:type="dxa"/>
          </w:tcPr>
          <w:p w14:paraId="6A484460" w14:textId="77777777" w:rsidR="00590063" w:rsidRPr="00166CEC" w:rsidRDefault="00590063" w:rsidP="006C0BCD">
            <w:pPr>
              <w:jc w:val="both"/>
              <w:rPr>
                <w:rFonts w:ascii="Verdana" w:hAnsi="Verdana" w:cstheme="minorHAnsi"/>
                <w:sz w:val="16"/>
                <w:szCs w:val="16"/>
              </w:rPr>
            </w:pPr>
            <w:r>
              <w:rPr>
                <w:rFonts w:ascii="Verdana" w:hAnsi="Verdana"/>
                <w:sz w:val="16"/>
              </w:rPr>
              <w:t>Année</w:t>
            </w:r>
          </w:p>
        </w:tc>
        <w:tc>
          <w:tcPr>
            <w:tcW w:w="1701" w:type="dxa"/>
          </w:tcPr>
          <w:p w14:paraId="7173FAE7" w14:textId="77777777" w:rsidR="00590063" w:rsidRPr="00166CEC" w:rsidRDefault="00590063" w:rsidP="006C0BCD">
            <w:pPr>
              <w:jc w:val="center"/>
              <w:rPr>
                <w:rFonts w:ascii="Verdana" w:hAnsi="Verdana" w:cstheme="minorHAnsi"/>
                <w:sz w:val="16"/>
                <w:szCs w:val="16"/>
              </w:rPr>
            </w:pPr>
            <w:r>
              <w:rPr>
                <w:rFonts w:ascii="Verdana" w:hAnsi="Verdana"/>
                <w:sz w:val="16"/>
              </w:rPr>
              <w:t>Réponse</w:t>
            </w:r>
          </w:p>
        </w:tc>
        <w:tc>
          <w:tcPr>
            <w:tcW w:w="3260" w:type="dxa"/>
          </w:tcPr>
          <w:p w14:paraId="096D5C91" w14:textId="77777777" w:rsidR="00590063" w:rsidRPr="00166CEC" w:rsidRDefault="00590063" w:rsidP="006C0BCD">
            <w:pPr>
              <w:jc w:val="center"/>
              <w:rPr>
                <w:rFonts w:ascii="Verdana" w:hAnsi="Verdana" w:cstheme="minorHAnsi"/>
                <w:sz w:val="16"/>
                <w:szCs w:val="16"/>
              </w:rPr>
            </w:pPr>
            <w:r>
              <w:rPr>
                <w:rFonts w:ascii="Verdana" w:hAnsi="Verdana"/>
                <w:sz w:val="16"/>
              </w:rPr>
              <w:t>Nom du projet</w:t>
            </w:r>
          </w:p>
        </w:tc>
        <w:tc>
          <w:tcPr>
            <w:tcW w:w="1985" w:type="dxa"/>
          </w:tcPr>
          <w:p w14:paraId="4384E8D6" w14:textId="77777777" w:rsidR="00590063" w:rsidRPr="00166CEC" w:rsidRDefault="00590063" w:rsidP="006C0BCD">
            <w:pPr>
              <w:jc w:val="center"/>
              <w:rPr>
                <w:rFonts w:ascii="Verdana" w:hAnsi="Verdana" w:cstheme="minorHAnsi"/>
                <w:sz w:val="16"/>
                <w:szCs w:val="16"/>
              </w:rPr>
            </w:pPr>
            <w:r>
              <w:rPr>
                <w:rFonts w:ascii="Verdana" w:hAnsi="Verdana"/>
                <w:sz w:val="16"/>
              </w:rPr>
              <w:t>Modalités TM utilisées</w:t>
            </w:r>
          </w:p>
        </w:tc>
        <w:tc>
          <w:tcPr>
            <w:tcW w:w="1842" w:type="dxa"/>
          </w:tcPr>
          <w:p w14:paraId="5CE5427E" w14:textId="77777777" w:rsidR="00590063" w:rsidRPr="00166CEC" w:rsidRDefault="00590063" w:rsidP="006C0BCD">
            <w:pPr>
              <w:jc w:val="center"/>
              <w:rPr>
                <w:rFonts w:ascii="Verdana" w:hAnsi="Verdana" w:cstheme="minorHAnsi"/>
                <w:sz w:val="16"/>
                <w:szCs w:val="16"/>
              </w:rPr>
            </w:pPr>
            <w:r>
              <w:rPr>
                <w:rFonts w:ascii="Verdana" w:hAnsi="Verdana"/>
                <w:sz w:val="16"/>
              </w:rPr>
              <w:t>Partenaire/donateur</w:t>
            </w:r>
          </w:p>
        </w:tc>
      </w:tr>
      <w:tr w:rsidR="00590063" w:rsidRPr="00113337" w14:paraId="3457CF54" w14:textId="77777777" w:rsidTr="00525337">
        <w:tc>
          <w:tcPr>
            <w:tcW w:w="851" w:type="dxa"/>
          </w:tcPr>
          <w:p w14:paraId="1AC65E1B" w14:textId="77777777" w:rsidR="00590063" w:rsidRPr="00113337" w:rsidRDefault="00590063" w:rsidP="006C0BCD">
            <w:pPr>
              <w:jc w:val="both"/>
              <w:rPr>
                <w:rFonts w:ascii="Verdana" w:hAnsi="Verdana" w:cstheme="minorHAnsi"/>
                <w:sz w:val="16"/>
                <w:szCs w:val="16"/>
              </w:rPr>
            </w:pPr>
          </w:p>
        </w:tc>
        <w:tc>
          <w:tcPr>
            <w:tcW w:w="1701" w:type="dxa"/>
          </w:tcPr>
          <w:p w14:paraId="4714FDDC" w14:textId="77777777" w:rsidR="00590063" w:rsidRPr="00113337" w:rsidRDefault="00590063" w:rsidP="006C0BCD">
            <w:pPr>
              <w:jc w:val="both"/>
              <w:rPr>
                <w:rFonts w:ascii="Verdana" w:hAnsi="Verdana" w:cstheme="minorHAnsi"/>
                <w:sz w:val="16"/>
                <w:szCs w:val="16"/>
              </w:rPr>
            </w:pPr>
          </w:p>
        </w:tc>
        <w:tc>
          <w:tcPr>
            <w:tcW w:w="3260" w:type="dxa"/>
          </w:tcPr>
          <w:p w14:paraId="0B5BC8C7" w14:textId="77777777" w:rsidR="00590063" w:rsidRPr="00113337" w:rsidRDefault="00590063" w:rsidP="006C0BCD">
            <w:pPr>
              <w:jc w:val="both"/>
              <w:rPr>
                <w:rFonts w:ascii="Verdana" w:hAnsi="Verdana" w:cstheme="minorHAnsi"/>
                <w:sz w:val="16"/>
                <w:szCs w:val="16"/>
              </w:rPr>
            </w:pPr>
          </w:p>
        </w:tc>
        <w:tc>
          <w:tcPr>
            <w:tcW w:w="1985" w:type="dxa"/>
          </w:tcPr>
          <w:p w14:paraId="5B322454" w14:textId="77777777" w:rsidR="00590063" w:rsidRPr="00113337" w:rsidRDefault="00590063" w:rsidP="006C0BCD">
            <w:pPr>
              <w:jc w:val="both"/>
              <w:rPr>
                <w:rFonts w:ascii="Verdana" w:hAnsi="Verdana" w:cstheme="minorHAnsi"/>
                <w:sz w:val="16"/>
                <w:szCs w:val="16"/>
              </w:rPr>
            </w:pPr>
          </w:p>
        </w:tc>
        <w:tc>
          <w:tcPr>
            <w:tcW w:w="1842" w:type="dxa"/>
          </w:tcPr>
          <w:p w14:paraId="2DA88089" w14:textId="77777777" w:rsidR="00590063" w:rsidRPr="00113337" w:rsidRDefault="00590063" w:rsidP="006C0BCD">
            <w:pPr>
              <w:jc w:val="both"/>
              <w:rPr>
                <w:rFonts w:ascii="Verdana" w:hAnsi="Verdana" w:cstheme="minorHAnsi"/>
                <w:sz w:val="16"/>
                <w:szCs w:val="16"/>
              </w:rPr>
            </w:pPr>
          </w:p>
        </w:tc>
      </w:tr>
      <w:tr w:rsidR="00590063" w:rsidRPr="00113337" w14:paraId="65FBAACA" w14:textId="77777777" w:rsidTr="00525337">
        <w:tc>
          <w:tcPr>
            <w:tcW w:w="851" w:type="dxa"/>
          </w:tcPr>
          <w:p w14:paraId="27B98EE7" w14:textId="77777777" w:rsidR="00590063" w:rsidRPr="00113337" w:rsidRDefault="00590063" w:rsidP="006C0BCD">
            <w:pPr>
              <w:jc w:val="both"/>
              <w:rPr>
                <w:rFonts w:ascii="Verdana" w:hAnsi="Verdana" w:cstheme="minorHAnsi"/>
                <w:sz w:val="16"/>
                <w:szCs w:val="16"/>
              </w:rPr>
            </w:pPr>
          </w:p>
        </w:tc>
        <w:tc>
          <w:tcPr>
            <w:tcW w:w="1701" w:type="dxa"/>
          </w:tcPr>
          <w:p w14:paraId="14ABEF0A" w14:textId="77777777" w:rsidR="00590063" w:rsidRPr="00113337" w:rsidRDefault="00590063" w:rsidP="006C0BCD">
            <w:pPr>
              <w:jc w:val="both"/>
              <w:rPr>
                <w:rFonts w:ascii="Verdana" w:hAnsi="Verdana" w:cstheme="minorHAnsi"/>
                <w:sz w:val="16"/>
                <w:szCs w:val="16"/>
              </w:rPr>
            </w:pPr>
          </w:p>
        </w:tc>
        <w:tc>
          <w:tcPr>
            <w:tcW w:w="3260" w:type="dxa"/>
          </w:tcPr>
          <w:p w14:paraId="22FE122D" w14:textId="77777777" w:rsidR="00590063" w:rsidRPr="00113337" w:rsidRDefault="00590063" w:rsidP="006C0BCD">
            <w:pPr>
              <w:jc w:val="both"/>
              <w:rPr>
                <w:rFonts w:ascii="Verdana" w:hAnsi="Verdana" w:cstheme="minorHAnsi"/>
                <w:sz w:val="16"/>
                <w:szCs w:val="16"/>
              </w:rPr>
            </w:pPr>
          </w:p>
        </w:tc>
        <w:tc>
          <w:tcPr>
            <w:tcW w:w="1985" w:type="dxa"/>
          </w:tcPr>
          <w:p w14:paraId="080BFD07" w14:textId="77777777" w:rsidR="00590063" w:rsidRPr="00113337" w:rsidRDefault="00590063" w:rsidP="006C0BCD">
            <w:pPr>
              <w:jc w:val="both"/>
              <w:rPr>
                <w:rFonts w:ascii="Verdana" w:hAnsi="Verdana" w:cstheme="minorHAnsi"/>
                <w:sz w:val="16"/>
                <w:szCs w:val="16"/>
              </w:rPr>
            </w:pPr>
          </w:p>
        </w:tc>
        <w:tc>
          <w:tcPr>
            <w:tcW w:w="1842" w:type="dxa"/>
          </w:tcPr>
          <w:p w14:paraId="4EF69D41" w14:textId="77777777" w:rsidR="00590063" w:rsidRPr="00113337" w:rsidRDefault="00590063" w:rsidP="006C0BCD">
            <w:pPr>
              <w:jc w:val="both"/>
              <w:rPr>
                <w:rFonts w:ascii="Verdana" w:hAnsi="Verdana" w:cstheme="minorHAnsi"/>
                <w:sz w:val="16"/>
                <w:szCs w:val="16"/>
              </w:rPr>
            </w:pPr>
          </w:p>
        </w:tc>
      </w:tr>
      <w:tr w:rsidR="00590063" w:rsidRPr="00113337" w14:paraId="77A88552" w14:textId="77777777" w:rsidTr="00525337">
        <w:tc>
          <w:tcPr>
            <w:tcW w:w="851" w:type="dxa"/>
          </w:tcPr>
          <w:p w14:paraId="02D401F8" w14:textId="77777777" w:rsidR="00590063" w:rsidRDefault="00590063" w:rsidP="006C0BCD">
            <w:pPr>
              <w:jc w:val="both"/>
              <w:rPr>
                <w:rFonts w:ascii="Verdana" w:hAnsi="Verdana" w:cstheme="minorHAnsi"/>
                <w:sz w:val="16"/>
                <w:szCs w:val="16"/>
              </w:rPr>
            </w:pPr>
          </w:p>
        </w:tc>
        <w:tc>
          <w:tcPr>
            <w:tcW w:w="1701" w:type="dxa"/>
          </w:tcPr>
          <w:p w14:paraId="1A5C40DE" w14:textId="77777777" w:rsidR="00590063" w:rsidRPr="00113337" w:rsidRDefault="00590063" w:rsidP="006C0BCD">
            <w:pPr>
              <w:jc w:val="both"/>
              <w:rPr>
                <w:rFonts w:ascii="Verdana" w:hAnsi="Verdana" w:cstheme="minorHAnsi"/>
                <w:sz w:val="16"/>
                <w:szCs w:val="16"/>
              </w:rPr>
            </w:pPr>
          </w:p>
        </w:tc>
        <w:tc>
          <w:tcPr>
            <w:tcW w:w="3260" w:type="dxa"/>
          </w:tcPr>
          <w:p w14:paraId="603139D9" w14:textId="77777777" w:rsidR="00590063" w:rsidRPr="00113337" w:rsidRDefault="00590063" w:rsidP="006C0BCD">
            <w:pPr>
              <w:jc w:val="both"/>
              <w:rPr>
                <w:rFonts w:ascii="Verdana" w:hAnsi="Verdana" w:cstheme="minorHAnsi"/>
                <w:sz w:val="16"/>
                <w:szCs w:val="16"/>
              </w:rPr>
            </w:pPr>
          </w:p>
        </w:tc>
        <w:tc>
          <w:tcPr>
            <w:tcW w:w="1985" w:type="dxa"/>
          </w:tcPr>
          <w:p w14:paraId="5B852953" w14:textId="77777777" w:rsidR="00590063" w:rsidRPr="00113337" w:rsidRDefault="00590063" w:rsidP="006C0BCD">
            <w:pPr>
              <w:jc w:val="both"/>
              <w:rPr>
                <w:rFonts w:ascii="Verdana" w:hAnsi="Verdana" w:cstheme="minorHAnsi"/>
                <w:sz w:val="16"/>
                <w:szCs w:val="16"/>
              </w:rPr>
            </w:pPr>
          </w:p>
        </w:tc>
        <w:tc>
          <w:tcPr>
            <w:tcW w:w="1842" w:type="dxa"/>
          </w:tcPr>
          <w:p w14:paraId="1E8F39C9" w14:textId="77777777" w:rsidR="00590063" w:rsidRPr="00113337" w:rsidRDefault="00590063" w:rsidP="006C0BCD">
            <w:pPr>
              <w:jc w:val="both"/>
              <w:rPr>
                <w:rFonts w:ascii="Verdana" w:hAnsi="Verdana" w:cstheme="minorHAnsi"/>
                <w:sz w:val="16"/>
                <w:szCs w:val="16"/>
              </w:rPr>
            </w:pPr>
          </w:p>
        </w:tc>
      </w:tr>
    </w:tbl>
    <w:p w14:paraId="004174DF" w14:textId="77777777" w:rsidR="00590063" w:rsidRDefault="00590063" w:rsidP="00D04A15">
      <w:pPr>
        <w:pStyle w:val="NormalBold"/>
      </w:pPr>
    </w:p>
    <w:p w14:paraId="3B5FA28D" w14:textId="2C753ECE" w:rsidR="00F10808" w:rsidRPr="008805E1" w:rsidRDefault="00F10808" w:rsidP="00D04A15">
      <w:pPr>
        <w:pStyle w:val="NormalBold"/>
        <w:rPr>
          <w:i/>
        </w:rPr>
      </w:pPr>
      <w:r>
        <w:t>Bref aperçu des acteurs non membres de la Croix-Rouge et du Croissant-Rouge ayant une expérience de TM d’urgence dans le pays</w:t>
      </w:r>
    </w:p>
    <w:p w14:paraId="13554F09" w14:textId="75010B1E" w:rsidR="008E36E0" w:rsidRPr="008805E1" w:rsidRDefault="00F10808" w:rsidP="008E36E0">
      <w:pPr>
        <w:pStyle w:val="Explanation"/>
        <w:shd w:val="clear" w:color="auto" w:fill="auto"/>
        <w:ind w:left="0"/>
        <w:rPr>
          <w:rFonts w:ascii="Verdana" w:hAnsi="Verdana" w:cs="Arial"/>
          <w:sz w:val="18"/>
          <w:szCs w:val="18"/>
        </w:rPr>
      </w:pPr>
      <w:r>
        <w:rPr>
          <w:rFonts w:ascii="Verdana" w:hAnsi="Verdana"/>
          <w:sz w:val="18"/>
        </w:rPr>
        <w:t xml:space="preserve">Énumérer les principaux acteurs externes qui ont été impliqués dans les TM dans le pays, y compris le gouvernement, l’ONU, les OING et les ONG locales et, si possible, fournir un aperçu de l’endroit où ils ont mis en œuvre leurs activités de TM et leur présence géographique actuelle. Énumérez tous les mécanismes de coordination spécifiques des TM en place, tels que les groupes de travail nationaux des TM, les </w:t>
      </w:r>
      <w:r w:rsidR="00B55A2C">
        <w:rPr>
          <w:rFonts w:ascii="Verdana" w:hAnsi="Verdana"/>
          <w:sz w:val="18"/>
        </w:rPr>
        <w:t xml:space="preserve">groupes </w:t>
      </w:r>
      <w:r>
        <w:rPr>
          <w:rFonts w:ascii="Verdana" w:hAnsi="Verdana"/>
          <w:sz w:val="18"/>
        </w:rPr>
        <w:t>ou les organismes de coordination gouvernementaux.</w:t>
      </w:r>
    </w:p>
    <w:p w14:paraId="4B586424" w14:textId="77777777" w:rsidR="006E28A4" w:rsidRPr="008805E1" w:rsidRDefault="006E28A4" w:rsidP="006E28A4">
      <w:pPr>
        <w:pStyle w:val="Info"/>
        <w:spacing w:after="0"/>
        <w:rPr>
          <w:rFonts w:ascii="Verdana" w:hAnsi="Verdana"/>
          <w:szCs w:val="18"/>
        </w:rPr>
      </w:pPr>
    </w:p>
    <w:p w14:paraId="4A61A288" w14:textId="37D6787B" w:rsidR="00590063" w:rsidRDefault="00F876CD" w:rsidP="006E28A4">
      <w:pPr>
        <w:pStyle w:val="Info"/>
        <w:spacing w:after="0"/>
        <w:rPr>
          <w:rFonts w:ascii="Verdana" w:hAnsi="Verdana"/>
          <w:sz w:val="17"/>
          <w:szCs w:val="17"/>
        </w:rPr>
      </w:pPr>
      <w:r>
        <w:rPr>
          <w:rFonts w:ascii="Verdana" w:hAnsi="Verdana"/>
          <w:sz w:val="17"/>
        </w:rPr>
        <w:t>Ces informations proviendront</w:t>
      </w:r>
      <w:r w:rsidR="00F10808">
        <w:rPr>
          <w:rFonts w:ascii="Verdana" w:hAnsi="Verdana"/>
          <w:sz w:val="17"/>
        </w:rPr>
        <w:t xml:space="preserve"> d’un examen secondaire des données des documents et des sites Web liés à des urgences antérieures et d’entrevues avec des informateurs clés.</w:t>
      </w:r>
    </w:p>
    <w:p w14:paraId="30D1C38A" w14:textId="44146DEB" w:rsidR="006E28A4" w:rsidRDefault="00590063" w:rsidP="006E28A4">
      <w:pPr>
        <w:pStyle w:val="Info"/>
        <w:spacing w:after="0"/>
        <w:rPr>
          <w:rFonts w:ascii="Verdana" w:hAnsi="Verdana"/>
          <w:sz w:val="17"/>
          <w:szCs w:val="17"/>
        </w:rPr>
      </w:pPr>
      <w:r>
        <w:rPr>
          <w:rFonts w:ascii="Verdana" w:hAnsi="Verdana"/>
          <w:sz w:val="17"/>
        </w:rPr>
        <w:t>Autrement, si un mécanisme de coordination de TM est en place, c’est le meilleur point de départ pour identifier et cartographier les principaux intervenants externes de TM et leurs coordonnées. Par exemple, voyez s'il existe une matrice 3W d</w:t>
      </w:r>
      <w:r w:rsidR="00B55A2C">
        <w:rPr>
          <w:rFonts w:ascii="Verdana" w:hAnsi="Verdana"/>
          <w:sz w:val="17"/>
        </w:rPr>
        <w:t>u</w:t>
      </w:r>
      <w:r>
        <w:rPr>
          <w:rFonts w:ascii="Verdana" w:hAnsi="Verdana"/>
          <w:sz w:val="17"/>
        </w:rPr>
        <w:t xml:space="preserve"> CWG.</w:t>
      </w:r>
    </w:p>
    <w:p w14:paraId="7A476111" w14:textId="77777777" w:rsidR="006E28A4" w:rsidRPr="008805E1" w:rsidRDefault="006E28A4" w:rsidP="006E28A4">
      <w:pPr>
        <w:pStyle w:val="Info"/>
        <w:rPr>
          <w:rFonts w:ascii="Verdana" w:hAnsi="Verdana"/>
          <w:szCs w:val="18"/>
        </w:rPr>
      </w:pPr>
    </w:p>
    <w:p w14:paraId="74069252" w14:textId="4B68D904" w:rsidR="00F10808" w:rsidRPr="00A079A6" w:rsidRDefault="00F10808" w:rsidP="043DBAE6">
      <w:pPr>
        <w:pStyle w:val="Heading3"/>
        <w:rPr>
          <w:rFonts w:ascii="Verdana" w:hAnsi="Verdana"/>
          <w:highlight w:val="yellow"/>
        </w:rPr>
      </w:pPr>
      <w:r>
        <w:rPr>
          <w:rFonts w:ascii="Verdana" w:hAnsi="Verdana"/>
        </w:rPr>
        <w:t>II. SN plans stratégiques, y compris DSN et PRE</w:t>
      </w:r>
    </w:p>
    <w:p w14:paraId="3B285B1C" w14:textId="06311526" w:rsidR="00F10808" w:rsidRPr="008805E1" w:rsidRDefault="00F10808" w:rsidP="5A7DB135">
      <w:pPr>
        <w:pStyle w:val="NormalBold"/>
        <w:rPr>
          <w:rFonts w:ascii="Verdana" w:eastAsia="Verdana" w:hAnsi="Verdana" w:cs="Verdana"/>
          <w:sz w:val="20"/>
        </w:rPr>
      </w:pPr>
      <w:r>
        <w:rPr>
          <w:rFonts w:ascii="Verdana" w:hAnsi="Verdana"/>
          <w:sz w:val="20"/>
        </w:rPr>
        <w:t>Capacité de la Société nationale</w:t>
      </w:r>
    </w:p>
    <w:p w14:paraId="2DFB421B" w14:textId="77777777" w:rsidR="00CF729D" w:rsidRDefault="001F408C" w:rsidP="008E36E0">
      <w:pPr>
        <w:rPr>
          <w:rFonts w:ascii="Verdana" w:hAnsi="Verdana"/>
          <w:i/>
          <w:sz w:val="18"/>
          <w:szCs w:val="18"/>
        </w:rPr>
      </w:pPr>
      <w:r>
        <w:rPr>
          <w:rFonts w:ascii="Verdana" w:hAnsi="Verdana"/>
          <w:i/>
          <w:sz w:val="18"/>
        </w:rPr>
        <w:t>Inclure la mesure dans laquelle les TM sont intégrés dans les plans stratégiques, les plans de préparation et les plans d’urgence, en mettant l’accent sur la DSN et la PRE.</w:t>
      </w:r>
    </w:p>
    <w:p w14:paraId="2D66EE24" w14:textId="73E487C9" w:rsidR="001F408C" w:rsidRDefault="00CD1BB1" w:rsidP="008E36E0">
      <w:pPr>
        <w:rPr>
          <w:rFonts w:ascii="Verdana" w:hAnsi="Verdana"/>
          <w:i/>
          <w:sz w:val="18"/>
          <w:szCs w:val="18"/>
        </w:rPr>
      </w:pPr>
      <w:r>
        <w:rPr>
          <w:rFonts w:ascii="Verdana" w:hAnsi="Verdana"/>
          <w:i/>
          <w:sz w:val="18"/>
        </w:rPr>
        <w:t>Décrire l’existence et l’état de toute procédure opérationnelle normalisée (PON) pour les TM.</w:t>
      </w:r>
    </w:p>
    <w:p w14:paraId="5A277DC9" w14:textId="6565404A" w:rsidR="008E36E0" w:rsidRPr="008805E1" w:rsidRDefault="00F10808" w:rsidP="008E36E0">
      <w:pPr>
        <w:rPr>
          <w:rFonts w:ascii="Verdana" w:hAnsi="Verdana"/>
          <w:i/>
          <w:sz w:val="18"/>
          <w:szCs w:val="18"/>
        </w:rPr>
      </w:pPr>
      <w:r>
        <w:rPr>
          <w:rFonts w:ascii="Verdana" w:hAnsi="Verdana"/>
          <w:i/>
          <w:sz w:val="18"/>
        </w:rPr>
        <w:t xml:space="preserve">Inclure un résumé de la pertinence des systèmes logistiques et financiers/administratifs pour les TM. </w:t>
      </w:r>
    </w:p>
    <w:tbl>
      <w:tblPr>
        <w:tblStyle w:val="TableGray"/>
        <w:tblW w:w="0" w:type="auto"/>
        <w:tblCellMar>
          <w:top w:w="28" w:type="dxa"/>
          <w:bottom w:w="28" w:type="dxa"/>
        </w:tblCellMar>
        <w:tblLook w:val="04A0" w:firstRow="1" w:lastRow="0" w:firstColumn="1" w:lastColumn="0" w:noHBand="0" w:noVBand="1"/>
      </w:tblPr>
      <w:tblGrid>
        <w:gridCol w:w="9638"/>
      </w:tblGrid>
      <w:tr w:rsidR="00C86A79" w:rsidRPr="008805E1" w14:paraId="0BDE59C4" w14:textId="77777777" w:rsidTr="003E7688">
        <w:tc>
          <w:tcPr>
            <w:tcW w:w="9638" w:type="dxa"/>
          </w:tcPr>
          <w:p w14:paraId="62AD52F0" w14:textId="5EC99920" w:rsidR="00CD1BB1" w:rsidRDefault="001F408C" w:rsidP="00F63614">
            <w:pPr>
              <w:pStyle w:val="Info"/>
              <w:spacing w:after="0"/>
              <w:rPr>
                <w:rFonts w:ascii="Verdana" w:hAnsi="Verdana"/>
                <w:sz w:val="17"/>
                <w:szCs w:val="17"/>
              </w:rPr>
            </w:pPr>
            <w:r>
              <w:rPr>
                <w:rFonts w:ascii="Verdana" w:hAnsi="Verdana"/>
                <w:sz w:val="17"/>
              </w:rPr>
              <w:t xml:space="preserve">En passant en revue chaque plan/document stratégique </w:t>
            </w:r>
            <w:r w:rsidR="00B55A2C">
              <w:rPr>
                <w:rFonts w:ascii="Verdana" w:hAnsi="Verdana"/>
                <w:sz w:val="17"/>
              </w:rPr>
              <w:t>clé pour la SN</w:t>
            </w:r>
            <w:r>
              <w:rPr>
                <w:rFonts w:ascii="Verdana" w:hAnsi="Verdana"/>
                <w:sz w:val="17"/>
              </w:rPr>
              <w:t>, indiquez si</w:t>
            </w:r>
            <w:r w:rsidR="00B55A2C">
              <w:rPr>
                <w:rFonts w:ascii="Verdana" w:hAnsi="Verdana"/>
                <w:sz w:val="17"/>
              </w:rPr>
              <w:t xml:space="preserve"> le</w:t>
            </w:r>
            <w:r>
              <w:rPr>
                <w:rFonts w:ascii="Verdana" w:hAnsi="Verdana"/>
                <w:sz w:val="17"/>
              </w:rPr>
              <w:t xml:space="preserve"> TM est : </w:t>
            </w:r>
          </w:p>
          <w:p w14:paraId="22863983" w14:textId="77777777" w:rsidR="00201AD0" w:rsidRDefault="00201AD0" w:rsidP="00F63614">
            <w:pPr>
              <w:pStyle w:val="Info"/>
              <w:spacing w:after="0"/>
              <w:rPr>
                <w:rFonts w:ascii="Verdana" w:hAnsi="Verdana"/>
                <w:sz w:val="17"/>
                <w:szCs w:val="17"/>
              </w:rPr>
            </w:pPr>
          </w:p>
          <w:p w14:paraId="6402D713" w14:textId="770448C6" w:rsidR="00CD1BB1" w:rsidRDefault="001F408C" w:rsidP="00F63614">
            <w:pPr>
              <w:pStyle w:val="Info"/>
              <w:spacing w:after="0"/>
              <w:rPr>
                <w:rFonts w:ascii="Verdana" w:hAnsi="Verdana"/>
                <w:sz w:val="17"/>
                <w:szCs w:val="17"/>
              </w:rPr>
            </w:pPr>
            <w:r>
              <w:rPr>
                <w:rFonts w:ascii="Verdana" w:hAnsi="Verdana"/>
                <w:sz w:val="17"/>
              </w:rPr>
              <w:t xml:space="preserve">A) </w:t>
            </w:r>
            <w:r w:rsidR="00B55A2C">
              <w:rPr>
                <w:rFonts w:ascii="Verdana" w:hAnsi="Verdana"/>
                <w:sz w:val="17"/>
              </w:rPr>
              <w:t>Totalement intégré</w:t>
            </w:r>
          </w:p>
          <w:p w14:paraId="285129FF" w14:textId="25371D3B" w:rsidR="00CD1BB1" w:rsidRDefault="001F408C" w:rsidP="00F63614">
            <w:pPr>
              <w:pStyle w:val="Info"/>
              <w:spacing w:after="0"/>
              <w:rPr>
                <w:rFonts w:ascii="Verdana" w:hAnsi="Verdana"/>
                <w:sz w:val="17"/>
                <w:szCs w:val="17"/>
              </w:rPr>
            </w:pPr>
            <w:r>
              <w:rPr>
                <w:rFonts w:ascii="Verdana" w:hAnsi="Verdana"/>
                <w:sz w:val="17"/>
              </w:rPr>
              <w:t>b) Présent, mais seulement en partie</w:t>
            </w:r>
          </w:p>
          <w:p w14:paraId="5C665C9D" w14:textId="33835CE8" w:rsidR="00CD1BB1" w:rsidRDefault="001F408C" w:rsidP="00F63614">
            <w:pPr>
              <w:pStyle w:val="Info"/>
              <w:spacing w:after="0"/>
              <w:rPr>
                <w:rFonts w:ascii="Verdana" w:hAnsi="Verdana"/>
                <w:sz w:val="17"/>
                <w:szCs w:val="17"/>
              </w:rPr>
            </w:pPr>
            <w:r>
              <w:rPr>
                <w:rFonts w:ascii="Verdana" w:hAnsi="Verdana"/>
                <w:sz w:val="17"/>
              </w:rPr>
              <w:t>c) Non inclus</w:t>
            </w:r>
          </w:p>
          <w:p w14:paraId="6843AA6D" w14:textId="77777777" w:rsidR="00CD1BB1" w:rsidRDefault="00CD1BB1" w:rsidP="00F63614">
            <w:pPr>
              <w:pStyle w:val="Info"/>
              <w:spacing w:after="0"/>
              <w:rPr>
                <w:rFonts w:ascii="Verdana" w:hAnsi="Verdana"/>
                <w:sz w:val="17"/>
                <w:szCs w:val="17"/>
              </w:rPr>
            </w:pPr>
          </w:p>
          <w:p w14:paraId="5BE30525" w14:textId="51900D57" w:rsidR="001B6A2C" w:rsidRPr="008805E1" w:rsidRDefault="00E97179" w:rsidP="00F63614">
            <w:pPr>
              <w:pStyle w:val="Info"/>
              <w:spacing w:after="0"/>
              <w:rPr>
                <w:rFonts w:ascii="Verdana" w:hAnsi="Verdana"/>
                <w:sz w:val="17"/>
                <w:szCs w:val="17"/>
              </w:rPr>
            </w:pPr>
            <w:r>
              <w:rPr>
                <w:rFonts w:ascii="Verdana" w:hAnsi="Verdana"/>
                <w:b/>
                <w:i w:val="0"/>
                <w:sz w:val="17"/>
              </w:rPr>
              <w:t>Exemple de documents :</w:t>
            </w:r>
            <w:r>
              <w:rPr>
                <w:rFonts w:ascii="Verdana" w:hAnsi="Verdana"/>
                <w:sz w:val="17"/>
              </w:rPr>
              <w:t xml:space="preserve"> Stratégie SN, plans DSN, plans PRE, plan de préparation aux situations d’urgence SN, stratégie/orientation financière, stratégie/orientation RH, stratégie/orientation logistique, etc.</w:t>
            </w:r>
          </w:p>
          <w:p w14:paraId="3DAA0D70" w14:textId="77777777" w:rsidR="001F408C" w:rsidRDefault="001F408C" w:rsidP="00F63614">
            <w:pPr>
              <w:pStyle w:val="Info"/>
              <w:spacing w:after="0"/>
              <w:rPr>
                <w:rFonts w:ascii="Verdana" w:hAnsi="Verdana"/>
                <w:sz w:val="17"/>
                <w:szCs w:val="17"/>
              </w:rPr>
            </w:pPr>
          </w:p>
          <w:p w14:paraId="0559D58C" w14:textId="4F441EED" w:rsidR="00CD1BB1" w:rsidRDefault="00CD1BB1" w:rsidP="00CD1BB1">
            <w:pPr>
              <w:pStyle w:val="Info"/>
              <w:spacing w:after="0"/>
              <w:rPr>
                <w:rFonts w:ascii="Verdana" w:hAnsi="Verdana"/>
                <w:sz w:val="17"/>
                <w:szCs w:val="17"/>
              </w:rPr>
            </w:pPr>
            <w:r>
              <w:rPr>
                <w:rFonts w:ascii="Verdana" w:hAnsi="Verdana"/>
                <w:sz w:val="17"/>
              </w:rPr>
              <w:t>Décrire l’état des PON existantes pour les TM (le cas échéant)</w:t>
            </w:r>
          </w:p>
          <w:p w14:paraId="5301EC98" w14:textId="47AD4EF9" w:rsidR="00C86A79" w:rsidRPr="008805E1" w:rsidRDefault="00C86A79" w:rsidP="00F63614">
            <w:pPr>
              <w:pStyle w:val="Info"/>
              <w:spacing w:after="0"/>
              <w:rPr>
                <w:rFonts w:ascii="Verdana" w:hAnsi="Verdana"/>
                <w:sz w:val="17"/>
                <w:szCs w:val="17"/>
              </w:rPr>
            </w:pPr>
          </w:p>
        </w:tc>
      </w:tr>
      <w:tr w:rsidR="00C86A79" w:rsidRPr="008805E1" w14:paraId="3253F60F" w14:textId="77777777" w:rsidTr="003E7688">
        <w:trPr>
          <w:trHeight w:val="361"/>
        </w:trPr>
        <w:tc>
          <w:tcPr>
            <w:tcW w:w="9638" w:type="dxa"/>
          </w:tcPr>
          <w:p w14:paraId="23590926" w14:textId="3F883A56" w:rsidR="00C86A79" w:rsidRPr="008805E1" w:rsidRDefault="00CD1BB1" w:rsidP="00024A09">
            <w:pPr>
              <w:pStyle w:val="ExplanationList"/>
              <w:numPr>
                <w:ilvl w:val="0"/>
                <w:numId w:val="0"/>
              </w:numPr>
              <w:spacing w:after="0"/>
              <w:ind w:right="0"/>
              <w:rPr>
                <w:rFonts w:ascii="Verdana" w:hAnsi="Verdana"/>
                <w:sz w:val="17"/>
                <w:szCs w:val="17"/>
              </w:rPr>
            </w:pPr>
            <w:r>
              <w:rPr>
                <w:rFonts w:ascii="Verdana" w:hAnsi="Verdana"/>
                <w:sz w:val="17"/>
              </w:rPr>
              <w:t>Décrire l’état actuel des systèmes logistiques et financiers/administratifs pour les TM</w:t>
            </w:r>
          </w:p>
          <w:p w14:paraId="483848F7" w14:textId="16C4519E" w:rsidR="007F62BB" w:rsidRPr="007F6223" w:rsidRDefault="007F62BB" w:rsidP="003E7688">
            <w:pPr>
              <w:pStyle w:val="ExplanationList"/>
              <w:numPr>
                <w:ilvl w:val="0"/>
                <w:numId w:val="0"/>
              </w:numPr>
              <w:spacing w:after="0"/>
              <w:ind w:left="360" w:right="0"/>
              <w:rPr>
                <w:rFonts w:ascii="Verdana" w:hAnsi="Verdana"/>
                <w:b/>
                <w:bCs/>
                <w:sz w:val="17"/>
                <w:szCs w:val="17"/>
              </w:rPr>
            </w:pPr>
          </w:p>
        </w:tc>
      </w:tr>
    </w:tbl>
    <w:p w14:paraId="663FF800" w14:textId="33BFA23F" w:rsidR="00F10808" w:rsidRPr="00024A09" w:rsidRDefault="00F10808" w:rsidP="43B2BF0F">
      <w:pPr>
        <w:pStyle w:val="Heading3"/>
        <w:rPr>
          <w:rFonts w:ascii="Verdana" w:hAnsi="Verdana"/>
        </w:rPr>
      </w:pPr>
      <w:r>
        <w:rPr>
          <w:rFonts w:ascii="Verdana" w:hAnsi="Verdana"/>
        </w:rPr>
        <w:t xml:space="preserve">III. Vision des TM de la SN </w:t>
      </w:r>
    </w:p>
    <w:p w14:paraId="3F1A179A" w14:textId="3B76036F" w:rsidR="00F10808" w:rsidRPr="008805E1" w:rsidRDefault="001F408C" w:rsidP="5A7DB135">
      <w:pPr>
        <w:pStyle w:val="NormalBold"/>
        <w:rPr>
          <w:rFonts w:ascii="Verdana" w:eastAsia="Verdana" w:hAnsi="Verdana" w:cs="Verdana"/>
          <w:sz w:val="20"/>
        </w:rPr>
      </w:pPr>
      <w:r>
        <w:rPr>
          <w:rFonts w:ascii="Verdana" w:hAnsi="Verdana"/>
          <w:sz w:val="20"/>
        </w:rPr>
        <w:t>Énoncé de vision des TM de la SN</w:t>
      </w:r>
    </w:p>
    <w:p w14:paraId="0FC13121" w14:textId="7A68C033" w:rsidR="008E36E0" w:rsidRPr="008805E1" w:rsidRDefault="00F10808" w:rsidP="5A7DB135">
      <w:pPr>
        <w:rPr>
          <w:rFonts w:ascii="Verdana" w:eastAsia="Times New Roman" w:hAnsi="Verdana" w:cstheme="minorBidi"/>
          <w:i/>
          <w:iCs/>
          <w:sz w:val="18"/>
          <w:szCs w:val="18"/>
        </w:rPr>
      </w:pPr>
      <w:r>
        <w:rPr>
          <w:rFonts w:ascii="Verdana" w:hAnsi="Verdana"/>
          <w:i/>
          <w:sz w:val="18"/>
        </w:rPr>
        <w:t xml:space="preserve">Décrire la vision future des TM de la SN pour la mise en œuvre des TM à l’échelle à laquelle l’investissement </w:t>
      </w:r>
      <w:r w:rsidR="00B55A2C">
        <w:rPr>
          <w:rFonts w:ascii="Verdana" w:hAnsi="Verdana"/>
          <w:i/>
          <w:sz w:val="18"/>
        </w:rPr>
        <w:t xml:space="preserve">dans la PTM </w:t>
      </w:r>
      <w:r>
        <w:rPr>
          <w:rFonts w:ascii="Verdana" w:hAnsi="Verdana"/>
          <w:i/>
          <w:sz w:val="18"/>
        </w:rPr>
        <w:t>contribuera.</w:t>
      </w:r>
    </w:p>
    <w:tbl>
      <w:tblPr>
        <w:tblStyle w:val="TableGray"/>
        <w:tblW w:w="0" w:type="auto"/>
        <w:tblCellMar>
          <w:top w:w="28" w:type="dxa"/>
          <w:bottom w:w="28" w:type="dxa"/>
        </w:tblCellMar>
        <w:tblLook w:val="04A0" w:firstRow="1" w:lastRow="0" w:firstColumn="1" w:lastColumn="0" w:noHBand="0" w:noVBand="1"/>
      </w:tblPr>
      <w:tblGrid>
        <w:gridCol w:w="9638"/>
      </w:tblGrid>
      <w:tr w:rsidR="00C86A79" w:rsidRPr="008805E1" w14:paraId="3C8E3173" w14:textId="77777777" w:rsidTr="1C5F61A6">
        <w:tc>
          <w:tcPr>
            <w:tcW w:w="9638" w:type="dxa"/>
          </w:tcPr>
          <w:p w14:paraId="76869EDF" w14:textId="5AAABB97" w:rsidR="001B6A2C" w:rsidRDefault="00CD1BB1" w:rsidP="001B6A2C">
            <w:pPr>
              <w:pStyle w:val="Info"/>
              <w:spacing w:after="0"/>
              <w:rPr>
                <w:rFonts w:ascii="Verdana" w:hAnsi="Verdana"/>
                <w:sz w:val="17"/>
                <w:szCs w:val="17"/>
              </w:rPr>
            </w:pPr>
            <w:r>
              <w:rPr>
                <w:rFonts w:ascii="Verdana" w:hAnsi="Verdana"/>
                <w:sz w:val="17"/>
              </w:rPr>
              <w:t>Insérer la déclaration finale de vision des TM de la SN, comme convenu lors de l’atelier d’initiation et de vision :</w:t>
            </w:r>
          </w:p>
          <w:p w14:paraId="1AE71EF9" w14:textId="77777777" w:rsidR="00CD1BB1" w:rsidRDefault="00CD1BB1" w:rsidP="001B6A2C">
            <w:pPr>
              <w:pStyle w:val="Info"/>
              <w:spacing w:after="0"/>
              <w:rPr>
                <w:rFonts w:ascii="Verdana" w:hAnsi="Verdana"/>
                <w:sz w:val="17"/>
                <w:szCs w:val="17"/>
              </w:rPr>
            </w:pPr>
          </w:p>
          <w:p w14:paraId="3EE8ABD4" w14:textId="77777777" w:rsidR="00CF64F8" w:rsidRPr="00CF64F8" w:rsidRDefault="00CF729D" w:rsidP="00CF64F8">
            <w:pPr>
              <w:jc w:val="both"/>
              <w:rPr>
                <w:rFonts w:ascii="Verdana" w:hAnsi="Verdana"/>
                <w:i/>
                <w:iCs/>
                <w:sz w:val="17"/>
                <w:szCs w:val="17"/>
              </w:rPr>
            </w:pPr>
            <w:r>
              <w:rPr>
                <w:rFonts w:ascii="Verdana" w:hAnsi="Verdana"/>
                <w:i/>
                <w:sz w:val="17"/>
              </w:rPr>
              <w:t>1.</w:t>
            </w:r>
            <w:r>
              <w:rPr>
                <w:rFonts w:ascii="Verdana" w:hAnsi="Verdana"/>
                <w:b/>
                <w:i/>
                <w:color w:val="C00000"/>
              </w:rPr>
              <w:t xml:space="preserve"> </w:t>
            </w:r>
            <w:r>
              <w:rPr>
                <w:rFonts w:ascii="Verdana" w:hAnsi="Verdana"/>
                <w:i/>
                <w:sz w:val="17"/>
              </w:rPr>
              <w:t>Qu’est-ce que la SN veut réaliser en termes de réponse opérationnelle de TM ? (Énoncé de vision)</w:t>
            </w:r>
          </w:p>
          <w:p w14:paraId="79D88575" w14:textId="67C46326" w:rsidR="00CF729D" w:rsidRPr="003E7688" w:rsidRDefault="00CF729D" w:rsidP="003E7688">
            <w:pPr>
              <w:rPr>
                <w:rFonts w:ascii="Verdana" w:hAnsi="Verdana"/>
                <w:iCs/>
                <w:color w:val="C00000"/>
              </w:rPr>
            </w:pPr>
            <w:r>
              <w:rPr>
                <w:rFonts w:ascii="Verdana" w:hAnsi="Verdana"/>
                <w:i/>
                <w:sz w:val="17"/>
              </w:rPr>
              <w:t>2. Qu’est-ce que la SN va faire pour travailler à sa vision ? (Énoncé de mission)</w:t>
            </w:r>
          </w:p>
          <w:p w14:paraId="15D3F6E0" w14:textId="2AE64737" w:rsidR="00CF729D" w:rsidRPr="00CF64F8" w:rsidRDefault="00CF729D" w:rsidP="001B6A2C">
            <w:pPr>
              <w:pStyle w:val="Info"/>
              <w:spacing w:after="0"/>
              <w:rPr>
                <w:rFonts w:ascii="Verdana" w:hAnsi="Verdana"/>
                <w:iCs/>
                <w:sz w:val="17"/>
                <w:szCs w:val="17"/>
              </w:rPr>
            </w:pPr>
            <w:r>
              <w:rPr>
                <w:rFonts w:ascii="Verdana" w:hAnsi="Verdana"/>
                <w:sz w:val="17"/>
              </w:rPr>
              <w:t>3. Quelle est la vision et en quoi est-elle importante ? (Valeurs communes et priorités stratégiques)</w:t>
            </w:r>
          </w:p>
          <w:p w14:paraId="6C40B8EA" w14:textId="27D946BD" w:rsidR="00CD1BB1" w:rsidRDefault="00CD1BB1" w:rsidP="1C5F61A6">
            <w:pPr>
              <w:pStyle w:val="Info"/>
              <w:spacing w:after="0"/>
              <w:rPr>
                <w:rFonts w:ascii="Verdana" w:hAnsi="Verdana"/>
                <w:sz w:val="17"/>
                <w:szCs w:val="17"/>
              </w:rPr>
            </w:pPr>
          </w:p>
          <w:p w14:paraId="51290BE2" w14:textId="0D4871F2" w:rsidR="00CD1BB1" w:rsidRDefault="00201AD0" w:rsidP="1C5F61A6">
            <w:pPr>
              <w:pStyle w:val="Info"/>
              <w:spacing w:after="0"/>
              <w:rPr>
                <w:rFonts w:ascii="Verdana" w:hAnsi="Verdana"/>
                <w:sz w:val="17"/>
                <w:szCs w:val="17"/>
              </w:rPr>
            </w:pPr>
            <w:r>
              <w:rPr>
                <w:rFonts w:ascii="Verdana" w:hAnsi="Verdana"/>
                <w:sz w:val="17"/>
              </w:rPr>
              <w:t>Fournissez d’autres points phares de la discussion de la séance de visualisation de discussion des TM :</w:t>
            </w:r>
          </w:p>
          <w:p w14:paraId="6A1731E4" w14:textId="77777777" w:rsidR="00CD1BB1" w:rsidRDefault="00CD1BB1" w:rsidP="1C5F61A6">
            <w:pPr>
              <w:pStyle w:val="Info"/>
              <w:spacing w:after="0"/>
              <w:rPr>
                <w:rFonts w:ascii="Verdana" w:hAnsi="Verdana"/>
                <w:sz w:val="17"/>
                <w:szCs w:val="17"/>
              </w:rPr>
            </w:pPr>
          </w:p>
          <w:p w14:paraId="4BFBFD22" w14:textId="598C5E73" w:rsidR="00CD1BB1" w:rsidRPr="003E7688" w:rsidRDefault="00CD1BB1" w:rsidP="00CD1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HAnsi" w:hAnsi="Verdana" w:cs="Helvetica Neue"/>
                <w:i/>
                <w:iCs/>
                <w:color w:val="000000"/>
                <w:sz w:val="17"/>
                <w:szCs w:val="17"/>
              </w:rPr>
            </w:pPr>
            <w:r>
              <w:rPr>
                <w:rFonts w:ascii="Verdana" w:hAnsi="Verdana"/>
                <w:b/>
                <w:i/>
                <w:color w:val="000000"/>
                <w:sz w:val="17"/>
              </w:rPr>
              <w:t>1 : Passage du don en nature aux TM :</w:t>
            </w:r>
            <w:r>
              <w:rPr>
                <w:rFonts w:ascii="Verdana" w:hAnsi="Verdana"/>
                <w:i/>
                <w:color w:val="000000"/>
                <w:sz w:val="17"/>
              </w:rPr>
              <w:t xml:space="preserve"> Comment la SN veut-elle se positionner par rapport à l’ambition du mouvement pour des TM élargis ? Cherchera-t-elle à approcher les 50 % d’ici 2025 ? Sinon, qu’est-ce qui serait réaliste ? Quels sont les blocages au sein de la SN ? </w:t>
            </w:r>
          </w:p>
          <w:p w14:paraId="7CED9080" w14:textId="77777777" w:rsidR="00CD1BB1" w:rsidRPr="00F876CD" w:rsidRDefault="00CD1BB1" w:rsidP="00CD1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HAnsi" w:hAnsi="Verdana" w:cs="Helvetica Neue"/>
                <w:i/>
                <w:iCs/>
                <w:color w:val="000000"/>
                <w:sz w:val="17"/>
                <w:szCs w:val="17"/>
              </w:rPr>
            </w:pPr>
          </w:p>
          <w:p w14:paraId="2471A8EF" w14:textId="1FA25080" w:rsidR="00CD1BB1" w:rsidRPr="003E7688" w:rsidRDefault="00CD1BB1" w:rsidP="00CD1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HAnsi" w:hAnsi="Verdana" w:cs="Helvetica Neue"/>
                <w:i/>
                <w:iCs/>
                <w:color w:val="000000"/>
                <w:sz w:val="17"/>
                <w:szCs w:val="17"/>
              </w:rPr>
            </w:pPr>
            <w:r>
              <w:rPr>
                <w:rFonts w:ascii="Verdana" w:hAnsi="Verdana"/>
                <w:b/>
                <w:i/>
                <w:color w:val="000000"/>
                <w:sz w:val="17"/>
              </w:rPr>
              <w:t>2 : Modalités et type de réponse </w:t>
            </w:r>
            <w:r>
              <w:rPr>
                <w:rFonts w:ascii="Verdana" w:hAnsi="Verdana"/>
                <w:i/>
                <w:color w:val="000000"/>
                <w:sz w:val="17"/>
              </w:rPr>
              <w:t xml:space="preserve">: Quelle sera l’utilisation stratégique prévue des TM à l’avenir ? (par </w:t>
            </w:r>
            <w:r>
              <w:rPr>
                <w:rFonts w:ascii="Verdana" w:hAnsi="Verdana"/>
                <w:i/>
                <w:color w:val="000000"/>
                <w:sz w:val="17"/>
              </w:rPr>
              <w:lastRenderedPageBreak/>
              <w:t xml:space="preserve">exemple, TM sans restrictions, TM conditionnels ou les deux). Pour quel type de réponse la SN souhaite-t-elle recourir aux TM ? (Par exemple, catastrophes à petite échelle avec des succursales spécifiques, catastrophes nationales de grande envergure, </w:t>
            </w:r>
            <w:r w:rsidR="00B55A2C">
              <w:rPr>
                <w:rFonts w:ascii="Verdana" w:hAnsi="Verdana"/>
                <w:i/>
                <w:color w:val="000000"/>
                <w:sz w:val="17"/>
              </w:rPr>
              <w:t xml:space="preserve">DREF </w:t>
            </w:r>
            <w:r>
              <w:rPr>
                <w:rFonts w:ascii="Verdana" w:hAnsi="Verdana"/>
                <w:i/>
                <w:color w:val="000000"/>
                <w:sz w:val="17"/>
              </w:rPr>
              <w:t>uniquement, spectre complet : toutes les situations d’urgence et la récupération rapide, à l’appui des programmes gouvernementaux de protection sociale.</w:t>
            </w:r>
          </w:p>
          <w:p w14:paraId="520762D0" w14:textId="77777777" w:rsidR="00CD1BB1" w:rsidRPr="00F876CD" w:rsidRDefault="00CD1BB1" w:rsidP="00CD1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HAnsi" w:hAnsi="Verdana" w:cs="Helvetica Neue"/>
                <w:i/>
                <w:iCs/>
                <w:color w:val="000000"/>
                <w:sz w:val="17"/>
                <w:szCs w:val="17"/>
              </w:rPr>
            </w:pPr>
          </w:p>
          <w:p w14:paraId="03078965" w14:textId="30F70E99" w:rsidR="00CD1BB1" w:rsidRPr="003E7688" w:rsidRDefault="00CD1BB1" w:rsidP="00CD1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HAnsi" w:hAnsi="Verdana" w:cs="Helvetica Neue"/>
                <w:i/>
                <w:iCs/>
                <w:color w:val="000000"/>
                <w:sz w:val="17"/>
                <w:szCs w:val="17"/>
              </w:rPr>
            </w:pPr>
            <w:r>
              <w:rPr>
                <w:rFonts w:ascii="Verdana" w:hAnsi="Verdana"/>
                <w:b/>
                <w:i/>
                <w:color w:val="000000"/>
                <w:sz w:val="17"/>
              </w:rPr>
              <w:t>3. Investissements pour opérer le changement </w:t>
            </w:r>
            <w:r>
              <w:rPr>
                <w:rFonts w:ascii="Verdana" w:hAnsi="Verdana"/>
                <w:i/>
                <w:color w:val="000000"/>
                <w:sz w:val="17"/>
              </w:rPr>
              <w:t xml:space="preserve">: Domaines clés à développer ou à investir et comment ? (Par exemple, </w:t>
            </w:r>
            <w:r w:rsidR="00B55A2C">
              <w:rPr>
                <w:rFonts w:ascii="Verdana" w:hAnsi="Verdana"/>
                <w:i/>
                <w:color w:val="000000"/>
                <w:sz w:val="17"/>
              </w:rPr>
              <w:t>MI</w:t>
            </w:r>
            <w:r>
              <w:rPr>
                <w:rFonts w:ascii="Verdana" w:hAnsi="Verdana"/>
                <w:i/>
                <w:color w:val="000000"/>
                <w:sz w:val="17"/>
              </w:rPr>
              <w:t xml:space="preserve">, militantisme et soutien technique pour relier les TM à la protection sociale) </w:t>
            </w:r>
          </w:p>
          <w:p w14:paraId="127F668F" w14:textId="017E6C8E" w:rsidR="00CD1BB1" w:rsidRPr="007F62BB" w:rsidRDefault="00CD1BB1" w:rsidP="1C5F61A6">
            <w:pPr>
              <w:pStyle w:val="Info"/>
              <w:spacing w:after="0"/>
              <w:rPr>
                <w:rFonts w:ascii="Verdana" w:hAnsi="Verdana"/>
                <w:i w:val="0"/>
                <w:sz w:val="17"/>
                <w:szCs w:val="17"/>
              </w:rPr>
            </w:pPr>
          </w:p>
        </w:tc>
      </w:tr>
      <w:tr w:rsidR="00C86A79" w:rsidRPr="008805E1" w14:paraId="3B3352B0" w14:textId="77777777" w:rsidTr="1C5F61A6">
        <w:tc>
          <w:tcPr>
            <w:tcW w:w="9638" w:type="dxa"/>
          </w:tcPr>
          <w:p w14:paraId="465B64B5" w14:textId="45FD0D33" w:rsidR="007F62BB" w:rsidRPr="007F62BB" w:rsidRDefault="007F62BB" w:rsidP="007F62BB">
            <w:pPr>
              <w:pStyle w:val="Info"/>
              <w:spacing w:after="0"/>
              <w:rPr>
                <w:rFonts w:ascii="Verdana" w:hAnsi="Verdana"/>
                <w:szCs w:val="18"/>
              </w:rPr>
            </w:pPr>
            <w:r>
              <w:rPr>
                <w:rFonts w:ascii="Verdana" w:hAnsi="Verdana"/>
                <w:b/>
                <w:sz w:val="17"/>
              </w:rPr>
              <w:lastRenderedPageBreak/>
              <w:t xml:space="preserve">Outils : </w:t>
            </w:r>
            <w:hyperlink r:id="rId10" w:history="1">
              <w:r w:rsidRPr="00FB20DC">
                <w:rPr>
                  <w:rStyle w:val="Hyperlink"/>
                  <w:rFonts w:ascii="Verdana" w:hAnsi="Verdana"/>
                  <w:sz w:val="17"/>
                </w:rPr>
                <w:t>Modèle d’énoncé de vision TM</w:t>
              </w:r>
            </w:hyperlink>
            <w:r>
              <w:rPr>
                <w:rFonts w:ascii="Verdana" w:hAnsi="Verdana"/>
                <w:color w:val="FF0000"/>
                <w:sz w:val="17"/>
              </w:rPr>
              <w:t>;</w:t>
            </w:r>
            <w:r>
              <w:rPr>
                <w:rFonts w:ascii="Verdana" w:hAnsi="Verdana"/>
                <w:i w:val="0"/>
                <w:color w:val="000000" w:themeColor="text1"/>
                <w:sz w:val="17"/>
              </w:rPr>
              <w:t xml:space="preserve"> </w:t>
            </w:r>
            <w:hyperlink r:id="rId11" w:history="1">
              <w:r w:rsidRPr="00C113F6">
                <w:rPr>
                  <w:rStyle w:val="Hyperlink"/>
                  <w:rFonts w:ascii="Verdana" w:hAnsi="Verdana"/>
                  <w:sz w:val="17"/>
                </w:rPr>
                <w:t>dispositions pour la discussion sur la vision TM</w:t>
              </w:r>
            </w:hyperlink>
            <w:r>
              <w:rPr>
                <w:rFonts w:ascii="Verdana" w:hAnsi="Verdana"/>
                <w:color w:val="FF0000"/>
                <w:sz w:val="17"/>
              </w:rPr>
              <w:t xml:space="preserve"> </w:t>
            </w:r>
          </w:p>
        </w:tc>
      </w:tr>
    </w:tbl>
    <w:p w14:paraId="3518502B" w14:textId="50CE424F" w:rsidR="00CF729D" w:rsidRDefault="00CD1BB1" w:rsidP="007F6223">
      <w:pPr>
        <w:pStyle w:val="Heading3"/>
        <w:rPr>
          <w:rFonts w:ascii="Verdana" w:hAnsi="Verdana"/>
        </w:rPr>
      </w:pPr>
      <w:r>
        <w:rPr>
          <w:rFonts w:ascii="Verdana" w:hAnsi="Verdana"/>
        </w:rPr>
        <w:t xml:space="preserve">IV. Niveaux de préparation opérationnelle des TM </w:t>
      </w:r>
    </w:p>
    <w:p w14:paraId="58A26827" w14:textId="4020A896" w:rsidR="002E6B86" w:rsidRDefault="002E6B86" w:rsidP="002E6B86">
      <w:pPr>
        <w:pStyle w:val="ExplanationList"/>
        <w:numPr>
          <w:ilvl w:val="0"/>
          <w:numId w:val="0"/>
        </w:numPr>
        <w:spacing w:after="0"/>
        <w:ind w:right="0"/>
        <w:rPr>
          <w:rFonts w:ascii="Verdana" w:hAnsi="Verdana"/>
        </w:rPr>
      </w:pPr>
      <w:r>
        <w:rPr>
          <w:rFonts w:ascii="Verdana" w:hAnsi="Verdana"/>
        </w:rPr>
        <w:t>Résumez les niveaux de préparation opérationnelle des TM de la SN (pour l’</w:t>
      </w:r>
      <w:r>
        <w:rPr>
          <w:rFonts w:ascii="Verdana" w:hAnsi="Verdana"/>
          <w:color w:val="000000" w:themeColor="text1"/>
        </w:rPr>
        <w:t xml:space="preserve">habileté, la probabilité, la rapidité, la responsabilisation et l’échelle) </w:t>
      </w:r>
      <w:r>
        <w:rPr>
          <w:rFonts w:ascii="Verdana" w:hAnsi="Verdana"/>
        </w:rPr>
        <w:t xml:space="preserve">– à la fois le niveau actuel/de base et les niveaux prévus à atteindre d’ici la fin </w:t>
      </w:r>
      <w:r w:rsidR="00113C26">
        <w:rPr>
          <w:rFonts w:ascii="Verdana" w:hAnsi="Verdana"/>
        </w:rPr>
        <w:t>de la PAEC</w:t>
      </w:r>
      <w:r>
        <w:rPr>
          <w:rFonts w:ascii="Verdana" w:hAnsi="Verdana"/>
        </w:rPr>
        <w:t xml:space="preserve"> et dans 5 à 7 ans. Les données relatives à l’état de préparation opérationnelle actuel des TM devraient provenir du dernier exercice annuel de </w:t>
      </w:r>
      <w:proofErr w:type="spellStart"/>
      <w:r>
        <w:rPr>
          <w:rFonts w:ascii="Verdana" w:hAnsi="Verdana"/>
        </w:rPr>
        <w:t>Counting</w:t>
      </w:r>
      <w:proofErr w:type="spellEnd"/>
      <w:r>
        <w:rPr>
          <w:rFonts w:ascii="Verdana" w:hAnsi="Verdana"/>
        </w:rPr>
        <w:t xml:space="preserve"> Cash.</w:t>
      </w:r>
    </w:p>
    <w:p w14:paraId="71FBC310" w14:textId="4B50CE88" w:rsidR="00D65F86" w:rsidRDefault="00D65F86" w:rsidP="5A7DB135">
      <w:pPr>
        <w:spacing w:after="0"/>
        <w:rPr>
          <w:rFonts w:ascii="Verdana" w:hAnsi="Verdana"/>
        </w:rPr>
      </w:pPr>
    </w:p>
    <w:p w14:paraId="02095E3C" w14:textId="1DE99B0B" w:rsidR="002E6B86" w:rsidRDefault="00590063" w:rsidP="002E6B86">
      <w:r>
        <w:rPr>
          <w:rFonts w:ascii="Verdana" w:hAnsi="Verdana"/>
          <w:i/>
          <w:color w:val="000000" w:themeColor="text1"/>
          <w:sz w:val="16"/>
        </w:rPr>
        <w:t>Tableau d’exemple : niveaux actuels de préparation opérationnelle des TM de la SN (référence)</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2E6B86" w:rsidRPr="00113337" w14:paraId="05161FFD" w14:textId="77777777" w:rsidTr="547A6FD5">
        <w:tc>
          <w:tcPr>
            <w:tcW w:w="4395" w:type="dxa"/>
          </w:tcPr>
          <w:p w14:paraId="4DE47D3D" w14:textId="77777777" w:rsidR="002E6B86" w:rsidRPr="00166CEC" w:rsidRDefault="002E6B86" w:rsidP="006C0BCD">
            <w:pPr>
              <w:jc w:val="both"/>
              <w:rPr>
                <w:rFonts w:ascii="Verdana" w:hAnsi="Verdana" w:cstheme="minorHAnsi"/>
                <w:sz w:val="16"/>
                <w:szCs w:val="16"/>
              </w:rPr>
            </w:pPr>
          </w:p>
        </w:tc>
        <w:tc>
          <w:tcPr>
            <w:tcW w:w="1134" w:type="dxa"/>
          </w:tcPr>
          <w:p w14:paraId="51A55970" w14:textId="77777777" w:rsidR="002E6B86" w:rsidRPr="00166CEC" w:rsidRDefault="002E6B86" w:rsidP="006C0BCD">
            <w:pPr>
              <w:jc w:val="center"/>
              <w:rPr>
                <w:rFonts w:ascii="Verdana" w:hAnsi="Verdana" w:cstheme="minorHAnsi"/>
                <w:sz w:val="16"/>
                <w:szCs w:val="16"/>
              </w:rPr>
            </w:pPr>
            <w:r>
              <w:rPr>
                <w:rFonts w:ascii="Verdana" w:hAnsi="Verdana"/>
                <w:sz w:val="16"/>
              </w:rPr>
              <w:t>Niveau 1</w:t>
            </w:r>
          </w:p>
        </w:tc>
        <w:tc>
          <w:tcPr>
            <w:tcW w:w="1134" w:type="dxa"/>
          </w:tcPr>
          <w:p w14:paraId="4F64F414" w14:textId="77777777" w:rsidR="002E6B86" w:rsidRPr="00166CEC" w:rsidRDefault="002E6B86" w:rsidP="006C0BCD">
            <w:pPr>
              <w:jc w:val="center"/>
              <w:rPr>
                <w:rFonts w:ascii="Verdana" w:hAnsi="Verdana" w:cstheme="minorHAnsi"/>
                <w:sz w:val="16"/>
                <w:szCs w:val="16"/>
              </w:rPr>
            </w:pPr>
            <w:r>
              <w:rPr>
                <w:rFonts w:ascii="Verdana" w:hAnsi="Verdana"/>
                <w:sz w:val="16"/>
              </w:rPr>
              <w:t>Niveau 2</w:t>
            </w:r>
          </w:p>
        </w:tc>
        <w:tc>
          <w:tcPr>
            <w:tcW w:w="1275" w:type="dxa"/>
          </w:tcPr>
          <w:p w14:paraId="6EF48DA9" w14:textId="77777777" w:rsidR="002E6B86" w:rsidRPr="00166CEC" w:rsidRDefault="002E6B86" w:rsidP="006C0BCD">
            <w:pPr>
              <w:jc w:val="center"/>
              <w:rPr>
                <w:rFonts w:ascii="Verdana" w:hAnsi="Verdana" w:cstheme="minorHAnsi"/>
                <w:sz w:val="16"/>
                <w:szCs w:val="16"/>
              </w:rPr>
            </w:pPr>
            <w:r>
              <w:rPr>
                <w:rFonts w:ascii="Verdana" w:hAnsi="Verdana"/>
                <w:sz w:val="16"/>
              </w:rPr>
              <w:t>Niveau 3</w:t>
            </w:r>
          </w:p>
        </w:tc>
        <w:tc>
          <w:tcPr>
            <w:tcW w:w="1247" w:type="dxa"/>
          </w:tcPr>
          <w:p w14:paraId="36EB89E6" w14:textId="77777777" w:rsidR="002E6B86" w:rsidRPr="00166CEC" w:rsidRDefault="002E6B86" w:rsidP="006C0BCD">
            <w:pPr>
              <w:jc w:val="center"/>
              <w:rPr>
                <w:rFonts w:ascii="Verdana" w:hAnsi="Verdana" w:cstheme="minorHAnsi"/>
                <w:sz w:val="16"/>
                <w:szCs w:val="16"/>
              </w:rPr>
            </w:pPr>
            <w:r>
              <w:rPr>
                <w:rFonts w:ascii="Verdana" w:hAnsi="Verdana"/>
                <w:sz w:val="16"/>
              </w:rPr>
              <w:t>Niveau 3+</w:t>
            </w:r>
          </w:p>
        </w:tc>
      </w:tr>
      <w:tr w:rsidR="002E6B86" w:rsidRPr="00113337" w14:paraId="46065C07" w14:textId="77777777" w:rsidTr="547A6FD5">
        <w:tc>
          <w:tcPr>
            <w:tcW w:w="4395" w:type="dxa"/>
          </w:tcPr>
          <w:p w14:paraId="3CD5E1CF" w14:textId="4C9BECD4" w:rsidR="002E6B86" w:rsidRPr="00113337" w:rsidRDefault="002E6B86" w:rsidP="006C0BCD">
            <w:pPr>
              <w:jc w:val="both"/>
              <w:rPr>
                <w:rFonts w:ascii="Verdana" w:hAnsi="Verdana" w:cstheme="minorHAnsi"/>
                <w:sz w:val="16"/>
                <w:szCs w:val="16"/>
              </w:rPr>
            </w:pPr>
            <w:r>
              <w:rPr>
                <w:rFonts w:ascii="Verdana" w:hAnsi="Verdana"/>
                <w:sz w:val="16"/>
              </w:rPr>
              <w:t xml:space="preserve">Indicateur nº1 % de TM par le biais d’un mécanisme de distribution d’accords-cadres </w:t>
            </w:r>
          </w:p>
        </w:tc>
        <w:tc>
          <w:tcPr>
            <w:tcW w:w="1134" w:type="dxa"/>
          </w:tcPr>
          <w:p w14:paraId="7444A52D" w14:textId="77777777" w:rsidR="002E6B86" w:rsidRPr="00113337" w:rsidRDefault="002E6B86" w:rsidP="006C0BCD">
            <w:pPr>
              <w:jc w:val="both"/>
              <w:rPr>
                <w:rFonts w:ascii="Verdana" w:hAnsi="Verdana" w:cstheme="minorHAnsi"/>
                <w:sz w:val="16"/>
                <w:szCs w:val="16"/>
              </w:rPr>
            </w:pPr>
          </w:p>
        </w:tc>
        <w:tc>
          <w:tcPr>
            <w:tcW w:w="1134" w:type="dxa"/>
          </w:tcPr>
          <w:p w14:paraId="0881AD88" w14:textId="77777777" w:rsidR="002E6B86" w:rsidRPr="00113337" w:rsidRDefault="002E6B86" w:rsidP="006C0BCD">
            <w:pPr>
              <w:jc w:val="both"/>
              <w:rPr>
                <w:rFonts w:ascii="Verdana" w:hAnsi="Verdana" w:cstheme="minorHAnsi"/>
                <w:sz w:val="16"/>
                <w:szCs w:val="16"/>
              </w:rPr>
            </w:pPr>
          </w:p>
        </w:tc>
        <w:tc>
          <w:tcPr>
            <w:tcW w:w="1275" w:type="dxa"/>
          </w:tcPr>
          <w:p w14:paraId="71EAE962" w14:textId="77777777" w:rsidR="002E6B86" w:rsidRPr="00113337" w:rsidRDefault="002E6B86" w:rsidP="006C0BCD">
            <w:pPr>
              <w:jc w:val="both"/>
              <w:rPr>
                <w:rFonts w:ascii="Verdana" w:hAnsi="Verdana" w:cstheme="minorHAnsi"/>
                <w:sz w:val="16"/>
                <w:szCs w:val="16"/>
              </w:rPr>
            </w:pPr>
          </w:p>
        </w:tc>
        <w:tc>
          <w:tcPr>
            <w:tcW w:w="1247" w:type="dxa"/>
          </w:tcPr>
          <w:p w14:paraId="5C085088" w14:textId="77777777" w:rsidR="002E6B86" w:rsidRPr="00113337" w:rsidRDefault="002E6B86" w:rsidP="006C0BCD">
            <w:pPr>
              <w:jc w:val="both"/>
              <w:rPr>
                <w:rFonts w:ascii="Verdana" w:hAnsi="Verdana" w:cstheme="minorHAnsi"/>
                <w:sz w:val="16"/>
                <w:szCs w:val="16"/>
              </w:rPr>
            </w:pPr>
          </w:p>
        </w:tc>
      </w:tr>
      <w:tr w:rsidR="002E6B86" w:rsidRPr="00113337" w14:paraId="20C30434" w14:textId="77777777" w:rsidTr="547A6FD5">
        <w:trPr>
          <w:trHeight w:val="415"/>
        </w:trPr>
        <w:tc>
          <w:tcPr>
            <w:tcW w:w="4395" w:type="dxa"/>
          </w:tcPr>
          <w:p w14:paraId="7D056496" w14:textId="14D95C48" w:rsidR="002E6B86" w:rsidRPr="00113337" w:rsidRDefault="002E6B86" w:rsidP="006C0BCD">
            <w:pPr>
              <w:jc w:val="both"/>
              <w:rPr>
                <w:rFonts w:ascii="Verdana" w:hAnsi="Verdana" w:cstheme="minorHAnsi"/>
                <w:sz w:val="16"/>
                <w:szCs w:val="16"/>
              </w:rPr>
            </w:pPr>
            <w:r>
              <w:rPr>
                <w:rFonts w:ascii="Verdana" w:hAnsi="Verdana"/>
                <w:sz w:val="16"/>
              </w:rPr>
              <w:t>Indicateur nº2 % des dépenses en TM OU % des succursales distribuant des TM</w:t>
            </w:r>
          </w:p>
        </w:tc>
        <w:tc>
          <w:tcPr>
            <w:tcW w:w="1134" w:type="dxa"/>
          </w:tcPr>
          <w:p w14:paraId="52F0CBD9" w14:textId="77777777" w:rsidR="002E6B86" w:rsidRPr="00113337" w:rsidRDefault="002E6B86" w:rsidP="006C0BCD">
            <w:pPr>
              <w:jc w:val="both"/>
              <w:rPr>
                <w:rFonts w:ascii="Verdana" w:hAnsi="Verdana" w:cstheme="minorHAnsi"/>
                <w:sz w:val="16"/>
                <w:szCs w:val="16"/>
              </w:rPr>
            </w:pPr>
          </w:p>
        </w:tc>
        <w:tc>
          <w:tcPr>
            <w:tcW w:w="1134" w:type="dxa"/>
          </w:tcPr>
          <w:p w14:paraId="7AC91952" w14:textId="77777777" w:rsidR="002E6B86" w:rsidRPr="00113337" w:rsidRDefault="002E6B86" w:rsidP="006C0BCD">
            <w:pPr>
              <w:jc w:val="both"/>
              <w:rPr>
                <w:rFonts w:ascii="Verdana" w:hAnsi="Verdana" w:cstheme="minorHAnsi"/>
                <w:sz w:val="16"/>
                <w:szCs w:val="16"/>
              </w:rPr>
            </w:pPr>
          </w:p>
        </w:tc>
        <w:tc>
          <w:tcPr>
            <w:tcW w:w="1275" w:type="dxa"/>
          </w:tcPr>
          <w:p w14:paraId="0FDD68A9" w14:textId="77777777" w:rsidR="002E6B86" w:rsidRPr="00113337" w:rsidRDefault="002E6B86" w:rsidP="006C0BCD">
            <w:pPr>
              <w:jc w:val="both"/>
              <w:rPr>
                <w:rFonts w:ascii="Verdana" w:hAnsi="Verdana" w:cstheme="minorHAnsi"/>
                <w:sz w:val="16"/>
                <w:szCs w:val="16"/>
              </w:rPr>
            </w:pPr>
          </w:p>
        </w:tc>
        <w:tc>
          <w:tcPr>
            <w:tcW w:w="1247" w:type="dxa"/>
          </w:tcPr>
          <w:p w14:paraId="3C04D743" w14:textId="77777777" w:rsidR="002E6B86" w:rsidRPr="00113337" w:rsidRDefault="002E6B86" w:rsidP="006C0BCD">
            <w:pPr>
              <w:jc w:val="both"/>
              <w:rPr>
                <w:rFonts w:ascii="Verdana" w:hAnsi="Verdana" w:cstheme="minorHAnsi"/>
                <w:sz w:val="16"/>
                <w:szCs w:val="16"/>
              </w:rPr>
            </w:pPr>
          </w:p>
        </w:tc>
      </w:tr>
      <w:tr w:rsidR="002E6B86" w:rsidRPr="00113337" w14:paraId="3F879E16" w14:textId="77777777" w:rsidTr="547A6FD5">
        <w:tc>
          <w:tcPr>
            <w:tcW w:w="4395" w:type="dxa"/>
          </w:tcPr>
          <w:p w14:paraId="7484F0B7" w14:textId="71B5F2C5" w:rsidR="002E6B86" w:rsidRPr="00113337" w:rsidRDefault="002E6B86" w:rsidP="006C0BCD">
            <w:pPr>
              <w:jc w:val="both"/>
              <w:rPr>
                <w:rFonts w:ascii="Verdana" w:hAnsi="Verdana" w:cstheme="minorHAnsi"/>
                <w:sz w:val="16"/>
                <w:szCs w:val="16"/>
              </w:rPr>
            </w:pPr>
            <w:r>
              <w:rPr>
                <w:rFonts w:ascii="Verdana" w:hAnsi="Verdana"/>
                <w:sz w:val="16"/>
              </w:rPr>
              <w:t>Indicateur nº3 Nombre de jours entre le sinistre et la distribution des TM</w:t>
            </w:r>
          </w:p>
        </w:tc>
        <w:tc>
          <w:tcPr>
            <w:tcW w:w="1134" w:type="dxa"/>
          </w:tcPr>
          <w:p w14:paraId="2B1394AB" w14:textId="77777777" w:rsidR="002E6B86" w:rsidRPr="00113337" w:rsidRDefault="002E6B86" w:rsidP="006C0BCD">
            <w:pPr>
              <w:jc w:val="both"/>
              <w:rPr>
                <w:rFonts w:ascii="Verdana" w:hAnsi="Verdana" w:cstheme="minorHAnsi"/>
                <w:sz w:val="16"/>
                <w:szCs w:val="16"/>
              </w:rPr>
            </w:pPr>
          </w:p>
        </w:tc>
        <w:tc>
          <w:tcPr>
            <w:tcW w:w="1134" w:type="dxa"/>
          </w:tcPr>
          <w:p w14:paraId="293B2516" w14:textId="77777777" w:rsidR="002E6B86" w:rsidRPr="00113337" w:rsidRDefault="002E6B86" w:rsidP="006C0BCD">
            <w:pPr>
              <w:jc w:val="both"/>
              <w:rPr>
                <w:rFonts w:ascii="Verdana" w:hAnsi="Verdana" w:cstheme="minorHAnsi"/>
                <w:sz w:val="16"/>
                <w:szCs w:val="16"/>
              </w:rPr>
            </w:pPr>
          </w:p>
        </w:tc>
        <w:tc>
          <w:tcPr>
            <w:tcW w:w="1275" w:type="dxa"/>
          </w:tcPr>
          <w:p w14:paraId="5D0A82F9" w14:textId="77777777" w:rsidR="002E6B86" w:rsidRPr="00113337" w:rsidRDefault="002E6B86" w:rsidP="006C0BCD">
            <w:pPr>
              <w:jc w:val="both"/>
              <w:rPr>
                <w:rFonts w:ascii="Verdana" w:hAnsi="Verdana" w:cstheme="minorHAnsi"/>
                <w:sz w:val="16"/>
                <w:szCs w:val="16"/>
              </w:rPr>
            </w:pPr>
          </w:p>
        </w:tc>
        <w:tc>
          <w:tcPr>
            <w:tcW w:w="1247" w:type="dxa"/>
          </w:tcPr>
          <w:p w14:paraId="774F7D52" w14:textId="77777777" w:rsidR="002E6B86" w:rsidRPr="00113337" w:rsidRDefault="002E6B86" w:rsidP="006C0BCD">
            <w:pPr>
              <w:jc w:val="both"/>
              <w:rPr>
                <w:rFonts w:ascii="Verdana" w:hAnsi="Verdana" w:cstheme="minorHAnsi"/>
                <w:sz w:val="16"/>
                <w:szCs w:val="16"/>
              </w:rPr>
            </w:pPr>
          </w:p>
        </w:tc>
      </w:tr>
      <w:tr w:rsidR="002E6B86" w:rsidRPr="00113337" w14:paraId="63DA77F4" w14:textId="77777777" w:rsidTr="547A6FD5">
        <w:tc>
          <w:tcPr>
            <w:tcW w:w="4395" w:type="dxa"/>
          </w:tcPr>
          <w:p w14:paraId="50C89007" w14:textId="10F7E418" w:rsidR="002E6B86" w:rsidRDefault="002E6B86" w:rsidP="00B55A2C">
            <w:pPr>
              <w:jc w:val="both"/>
              <w:rPr>
                <w:rFonts w:ascii="Verdana" w:hAnsi="Verdana" w:cstheme="minorHAnsi"/>
                <w:sz w:val="16"/>
                <w:szCs w:val="16"/>
              </w:rPr>
            </w:pPr>
            <w:r>
              <w:rPr>
                <w:rFonts w:ascii="Verdana" w:hAnsi="Verdana"/>
                <w:sz w:val="16"/>
              </w:rPr>
              <w:t>Indicateur nº4 Nombre de TM avec des activités CEA/</w:t>
            </w:r>
            <w:r w:rsidR="00B55A2C">
              <w:rPr>
                <w:rFonts w:ascii="Verdana" w:hAnsi="Verdana"/>
                <w:sz w:val="16"/>
              </w:rPr>
              <w:t xml:space="preserve">AAP </w:t>
            </w:r>
            <w:r>
              <w:rPr>
                <w:rFonts w:ascii="Verdana" w:hAnsi="Verdana"/>
                <w:sz w:val="16"/>
              </w:rPr>
              <w:t xml:space="preserve">clés </w:t>
            </w:r>
          </w:p>
        </w:tc>
        <w:tc>
          <w:tcPr>
            <w:tcW w:w="1134" w:type="dxa"/>
          </w:tcPr>
          <w:p w14:paraId="394A34CF" w14:textId="77777777" w:rsidR="002E6B86" w:rsidRPr="00113337" w:rsidRDefault="002E6B86" w:rsidP="006C0BCD">
            <w:pPr>
              <w:jc w:val="both"/>
              <w:rPr>
                <w:rFonts w:ascii="Verdana" w:hAnsi="Verdana" w:cstheme="minorHAnsi"/>
                <w:sz w:val="16"/>
                <w:szCs w:val="16"/>
              </w:rPr>
            </w:pPr>
          </w:p>
        </w:tc>
        <w:tc>
          <w:tcPr>
            <w:tcW w:w="1134" w:type="dxa"/>
          </w:tcPr>
          <w:p w14:paraId="6ED8C1FD" w14:textId="77777777" w:rsidR="002E6B86" w:rsidRPr="00113337" w:rsidRDefault="002E6B86" w:rsidP="006C0BCD">
            <w:pPr>
              <w:jc w:val="both"/>
              <w:rPr>
                <w:rFonts w:ascii="Verdana" w:hAnsi="Verdana" w:cstheme="minorHAnsi"/>
                <w:sz w:val="16"/>
                <w:szCs w:val="16"/>
              </w:rPr>
            </w:pPr>
          </w:p>
        </w:tc>
        <w:tc>
          <w:tcPr>
            <w:tcW w:w="1275" w:type="dxa"/>
          </w:tcPr>
          <w:p w14:paraId="0C96EA1E" w14:textId="77777777" w:rsidR="002E6B86" w:rsidRPr="00113337" w:rsidRDefault="002E6B86" w:rsidP="006C0BCD">
            <w:pPr>
              <w:jc w:val="both"/>
              <w:rPr>
                <w:rFonts w:ascii="Verdana" w:hAnsi="Verdana" w:cstheme="minorHAnsi"/>
                <w:sz w:val="16"/>
                <w:szCs w:val="16"/>
              </w:rPr>
            </w:pPr>
          </w:p>
        </w:tc>
        <w:tc>
          <w:tcPr>
            <w:tcW w:w="1247" w:type="dxa"/>
          </w:tcPr>
          <w:p w14:paraId="14A04742" w14:textId="77777777" w:rsidR="002E6B86" w:rsidRPr="00113337" w:rsidRDefault="002E6B86" w:rsidP="006C0BCD">
            <w:pPr>
              <w:jc w:val="both"/>
              <w:rPr>
                <w:rFonts w:ascii="Verdana" w:hAnsi="Verdana" w:cstheme="minorHAnsi"/>
                <w:sz w:val="16"/>
                <w:szCs w:val="16"/>
              </w:rPr>
            </w:pPr>
          </w:p>
        </w:tc>
      </w:tr>
      <w:tr w:rsidR="002E6B86" w:rsidRPr="00113337" w14:paraId="6EAC51E6" w14:textId="77777777" w:rsidTr="547A6FD5">
        <w:tc>
          <w:tcPr>
            <w:tcW w:w="4395" w:type="dxa"/>
          </w:tcPr>
          <w:p w14:paraId="4F38C8B2" w14:textId="77777777" w:rsidR="002E6B86" w:rsidRPr="00636E09" w:rsidRDefault="002E6B86" w:rsidP="006C0BCD">
            <w:pPr>
              <w:jc w:val="both"/>
              <w:rPr>
                <w:rFonts w:ascii="Verdana" w:hAnsi="Verdana" w:cstheme="minorHAnsi"/>
                <w:bCs/>
                <w:sz w:val="16"/>
                <w:szCs w:val="16"/>
              </w:rPr>
            </w:pPr>
            <w:r>
              <w:rPr>
                <w:rFonts w:ascii="Verdana" w:hAnsi="Verdana"/>
                <w:sz w:val="16"/>
              </w:rPr>
              <w:t>Indicateur nº5 Nombre de personnes prises en charge par les TM</w:t>
            </w:r>
          </w:p>
        </w:tc>
        <w:tc>
          <w:tcPr>
            <w:tcW w:w="1134" w:type="dxa"/>
          </w:tcPr>
          <w:p w14:paraId="50783492" w14:textId="77777777" w:rsidR="002E6B86" w:rsidRPr="00113337" w:rsidRDefault="002E6B86" w:rsidP="006C0BCD">
            <w:pPr>
              <w:jc w:val="both"/>
              <w:rPr>
                <w:rFonts w:ascii="Verdana" w:hAnsi="Verdana" w:cstheme="minorHAnsi"/>
                <w:sz w:val="16"/>
                <w:szCs w:val="16"/>
              </w:rPr>
            </w:pPr>
          </w:p>
        </w:tc>
        <w:tc>
          <w:tcPr>
            <w:tcW w:w="1134" w:type="dxa"/>
          </w:tcPr>
          <w:p w14:paraId="2E85B210" w14:textId="77777777" w:rsidR="002E6B86" w:rsidRPr="00113337" w:rsidRDefault="002E6B86" w:rsidP="006C0BCD">
            <w:pPr>
              <w:jc w:val="both"/>
              <w:rPr>
                <w:rFonts w:ascii="Verdana" w:hAnsi="Verdana" w:cstheme="minorHAnsi"/>
                <w:sz w:val="16"/>
                <w:szCs w:val="16"/>
              </w:rPr>
            </w:pPr>
          </w:p>
        </w:tc>
        <w:tc>
          <w:tcPr>
            <w:tcW w:w="1275" w:type="dxa"/>
          </w:tcPr>
          <w:p w14:paraId="5A0CCE4D" w14:textId="77777777" w:rsidR="002E6B86" w:rsidRPr="00113337" w:rsidRDefault="002E6B86" w:rsidP="006C0BCD">
            <w:pPr>
              <w:jc w:val="both"/>
              <w:rPr>
                <w:rFonts w:ascii="Verdana" w:hAnsi="Verdana" w:cstheme="minorHAnsi"/>
                <w:sz w:val="16"/>
                <w:szCs w:val="16"/>
              </w:rPr>
            </w:pPr>
          </w:p>
        </w:tc>
        <w:tc>
          <w:tcPr>
            <w:tcW w:w="1247" w:type="dxa"/>
          </w:tcPr>
          <w:p w14:paraId="38534C8B" w14:textId="77777777" w:rsidR="002E6B86" w:rsidRDefault="002E6B86" w:rsidP="006C0BCD">
            <w:pPr>
              <w:jc w:val="both"/>
              <w:rPr>
                <w:rStyle w:val="CommentReference"/>
              </w:rPr>
            </w:pPr>
          </w:p>
        </w:tc>
      </w:tr>
      <w:tr w:rsidR="002E6B86" w:rsidRPr="00113337" w14:paraId="338AD19D" w14:textId="77777777" w:rsidTr="547A6FD5">
        <w:tc>
          <w:tcPr>
            <w:tcW w:w="4395" w:type="dxa"/>
          </w:tcPr>
          <w:p w14:paraId="63CEE9DA" w14:textId="0355B2D2" w:rsidR="002E6B86" w:rsidRPr="00C1285E" w:rsidRDefault="002E6B86" w:rsidP="547A6FD5">
            <w:pPr>
              <w:jc w:val="both"/>
              <w:rPr>
                <w:rFonts w:ascii="Verdana" w:hAnsi="Verdana" w:cstheme="minorBidi"/>
                <w:b/>
                <w:bCs/>
                <w:sz w:val="16"/>
                <w:szCs w:val="16"/>
              </w:rPr>
            </w:pPr>
            <w:r>
              <w:rPr>
                <w:rFonts w:ascii="Verdana" w:hAnsi="Verdana"/>
                <w:b/>
                <w:sz w:val="16"/>
              </w:rPr>
              <w:t>Niveau de préparation opérationnelle globale des TM</w:t>
            </w:r>
          </w:p>
        </w:tc>
        <w:tc>
          <w:tcPr>
            <w:tcW w:w="1134" w:type="dxa"/>
          </w:tcPr>
          <w:p w14:paraId="13EE2F6F" w14:textId="77777777" w:rsidR="002E6B86" w:rsidRPr="00113337" w:rsidRDefault="002E6B86" w:rsidP="006C0BCD">
            <w:pPr>
              <w:jc w:val="both"/>
              <w:rPr>
                <w:rFonts w:ascii="Verdana" w:hAnsi="Verdana" w:cstheme="minorHAnsi"/>
                <w:sz w:val="16"/>
                <w:szCs w:val="16"/>
              </w:rPr>
            </w:pPr>
          </w:p>
        </w:tc>
        <w:tc>
          <w:tcPr>
            <w:tcW w:w="1134" w:type="dxa"/>
          </w:tcPr>
          <w:p w14:paraId="339E63A2" w14:textId="77777777" w:rsidR="002E6B86" w:rsidRPr="00113337" w:rsidRDefault="002E6B86" w:rsidP="006C0BCD">
            <w:pPr>
              <w:jc w:val="both"/>
              <w:rPr>
                <w:rFonts w:ascii="Verdana" w:hAnsi="Verdana" w:cstheme="minorHAnsi"/>
                <w:sz w:val="16"/>
                <w:szCs w:val="16"/>
              </w:rPr>
            </w:pPr>
          </w:p>
        </w:tc>
        <w:tc>
          <w:tcPr>
            <w:tcW w:w="1275" w:type="dxa"/>
          </w:tcPr>
          <w:p w14:paraId="5E60FB11" w14:textId="77777777" w:rsidR="002E6B86" w:rsidRPr="00113337" w:rsidRDefault="002E6B86" w:rsidP="006C0BCD">
            <w:pPr>
              <w:jc w:val="both"/>
              <w:rPr>
                <w:rFonts w:ascii="Verdana" w:hAnsi="Verdana" w:cstheme="minorHAnsi"/>
                <w:sz w:val="16"/>
                <w:szCs w:val="16"/>
              </w:rPr>
            </w:pPr>
          </w:p>
        </w:tc>
        <w:tc>
          <w:tcPr>
            <w:tcW w:w="1247" w:type="dxa"/>
          </w:tcPr>
          <w:p w14:paraId="498CA460" w14:textId="77777777" w:rsidR="002E6B86" w:rsidRPr="00113337" w:rsidRDefault="002E6B86" w:rsidP="006C0BCD">
            <w:pPr>
              <w:jc w:val="both"/>
              <w:rPr>
                <w:rFonts w:ascii="Verdana" w:hAnsi="Verdana" w:cstheme="minorBidi"/>
                <w:sz w:val="16"/>
                <w:szCs w:val="16"/>
              </w:rPr>
            </w:pPr>
          </w:p>
        </w:tc>
      </w:tr>
    </w:tbl>
    <w:p w14:paraId="7CE5430C" w14:textId="77777777" w:rsidR="002E6B86" w:rsidRDefault="002E6B86" w:rsidP="002E6B86"/>
    <w:p w14:paraId="3B13D5F0" w14:textId="0CF35CCC" w:rsidR="002E6B86" w:rsidRDefault="00590063" w:rsidP="5A7DB135">
      <w:pPr>
        <w:rPr>
          <w:rFonts w:ascii="Verdana" w:hAnsi="Verdana" w:cstheme="minorBidi"/>
          <w:b/>
          <w:bCs/>
          <w:noProof/>
          <w:color w:val="000000"/>
          <w:u w:val="single"/>
        </w:rPr>
      </w:pPr>
      <w:r>
        <w:rPr>
          <w:rFonts w:ascii="Verdana" w:hAnsi="Verdana"/>
          <w:i/>
          <w:color w:val="000000" w:themeColor="text1"/>
          <w:sz w:val="16"/>
        </w:rPr>
        <w:t>Tableau d’exemple : Niveaux de préparation opérationnelle prévus des TM de la SN à la fin du PAEC (ligne de fin)</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2E6B86" w:rsidRPr="00113337" w14:paraId="28965422" w14:textId="77777777" w:rsidTr="547A6FD5">
        <w:tc>
          <w:tcPr>
            <w:tcW w:w="4395" w:type="dxa"/>
          </w:tcPr>
          <w:p w14:paraId="03033B79" w14:textId="77777777" w:rsidR="002E6B86" w:rsidRPr="00166CEC" w:rsidRDefault="002E6B86" w:rsidP="006C0BCD">
            <w:pPr>
              <w:jc w:val="both"/>
              <w:rPr>
                <w:rFonts w:ascii="Verdana" w:hAnsi="Verdana" w:cstheme="minorHAnsi"/>
                <w:sz w:val="16"/>
                <w:szCs w:val="16"/>
              </w:rPr>
            </w:pPr>
          </w:p>
        </w:tc>
        <w:tc>
          <w:tcPr>
            <w:tcW w:w="1134" w:type="dxa"/>
          </w:tcPr>
          <w:p w14:paraId="2E0D37EC" w14:textId="77777777" w:rsidR="002E6B86" w:rsidRPr="00166CEC" w:rsidRDefault="002E6B86" w:rsidP="006C0BCD">
            <w:pPr>
              <w:jc w:val="center"/>
              <w:rPr>
                <w:rFonts w:ascii="Verdana" w:hAnsi="Verdana" w:cstheme="minorHAnsi"/>
                <w:sz w:val="16"/>
                <w:szCs w:val="16"/>
              </w:rPr>
            </w:pPr>
            <w:r>
              <w:rPr>
                <w:rFonts w:ascii="Verdana" w:hAnsi="Verdana"/>
                <w:sz w:val="16"/>
              </w:rPr>
              <w:t>Niveau 1</w:t>
            </w:r>
          </w:p>
        </w:tc>
        <w:tc>
          <w:tcPr>
            <w:tcW w:w="1134" w:type="dxa"/>
          </w:tcPr>
          <w:p w14:paraId="4C271D98" w14:textId="77777777" w:rsidR="002E6B86" w:rsidRPr="00166CEC" w:rsidRDefault="002E6B86" w:rsidP="006C0BCD">
            <w:pPr>
              <w:jc w:val="center"/>
              <w:rPr>
                <w:rFonts w:ascii="Verdana" w:hAnsi="Verdana" w:cstheme="minorHAnsi"/>
                <w:sz w:val="16"/>
                <w:szCs w:val="16"/>
              </w:rPr>
            </w:pPr>
            <w:r>
              <w:rPr>
                <w:rFonts w:ascii="Verdana" w:hAnsi="Verdana"/>
                <w:sz w:val="16"/>
              </w:rPr>
              <w:t>Niveau 2</w:t>
            </w:r>
          </w:p>
        </w:tc>
        <w:tc>
          <w:tcPr>
            <w:tcW w:w="1275" w:type="dxa"/>
          </w:tcPr>
          <w:p w14:paraId="13A73E4B" w14:textId="77777777" w:rsidR="002E6B86" w:rsidRPr="00166CEC" w:rsidRDefault="002E6B86" w:rsidP="006C0BCD">
            <w:pPr>
              <w:jc w:val="center"/>
              <w:rPr>
                <w:rFonts w:ascii="Verdana" w:hAnsi="Verdana" w:cstheme="minorHAnsi"/>
                <w:sz w:val="16"/>
                <w:szCs w:val="16"/>
              </w:rPr>
            </w:pPr>
            <w:r>
              <w:rPr>
                <w:rFonts w:ascii="Verdana" w:hAnsi="Verdana"/>
                <w:sz w:val="16"/>
              </w:rPr>
              <w:t>Niveau 3</w:t>
            </w:r>
          </w:p>
        </w:tc>
        <w:tc>
          <w:tcPr>
            <w:tcW w:w="1247" w:type="dxa"/>
          </w:tcPr>
          <w:p w14:paraId="120D7035" w14:textId="77777777" w:rsidR="002E6B86" w:rsidRPr="00166CEC" w:rsidRDefault="002E6B86" w:rsidP="006C0BCD">
            <w:pPr>
              <w:jc w:val="center"/>
              <w:rPr>
                <w:rFonts w:ascii="Verdana" w:hAnsi="Verdana" w:cstheme="minorHAnsi"/>
                <w:sz w:val="16"/>
                <w:szCs w:val="16"/>
              </w:rPr>
            </w:pPr>
            <w:r>
              <w:rPr>
                <w:rFonts w:ascii="Verdana" w:hAnsi="Verdana"/>
                <w:sz w:val="16"/>
              </w:rPr>
              <w:t>Niveau 3+</w:t>
            </w:r>
          </w:p>
        </w:tc>
      </w:tr>
      <w:tr w:rsidR="002E6B86" w:rsidRPr="00113337" w14:paraId="77DA3D45" w14:textId="77777777" w:rsidTr="547A6FD5">
        <w:tc>
          <w:tcPr>
            <w:tcW w:w="4395" w:type="dxa"/>
          </w:tcPr>
          <w:p w14:paraId="2A265CA4" w14:textId="72920DBA" w:rsidR="002E6B86" w:rsidRPr="00113337" w:rsidRDefault="002E6B86" w:rsidP="006C0BCD">
            <w:pPr>
              <w:jc w:val="both"/>
              <w:rPr>
                <w:rFonts w:ascii="Verdana" w:hAnsi="Verdana" w:cstheme="minorHAnsi"/>
                <w:sz w:val="16"/>
                <w:szCs w:val="16"/>
              </w:rPr>
            </w:pPr>
            <w:r>
              <w:rPr>
                <w:rFonts w:ascii="Verdana" w:hAnsi="Verdana"/>
                <w:sz w:val="16"/>
              </w:rPr>
              <w:t xml:space="preserve">Indicateur nº1 % de TM par le biais d’un mécanisme de distribution d’accords-cadres </w:t>
            </w:r>
          </w:p>
        </w:tc>
        <w:tc>
          <w:tcPr>
            <w:tcW w:w="1134" w:type="dxa"/>
          </w:tcPr>
          <w:p w14:paraId="1CBCD393" w14:textId="77777777" w:rsidR="002E6B86" w:rsidRPr="00113337" w:rsidRDefault="002E6B86" w:rsidP="006C0BCD">
            <w:pPr>
              <w:jc w:val="both"/>
              <w:rPr>
                <w:rFonts w:ascii="Verdana" w:hAnsi="Verdana" w:cstheme="minorHAnsi"/>
                <w:sz w:val="16"/>
                <w:szCs w:val="16"/>
              </w:rPr>
            </w:pPr>
          </w:p>
        </w:tc>
        <w:tc>
          <w:tcPr>
            <w:tcW w:w="1134" w:type="dxa"/>
          </w:tcPr>
          <w:p w14:paraId="130D79A2" w14:textId="77777777" w:rsidR="002E6B86" w:rsidRPr="00113337" w:rsidRDefault="002E6B86" w:rsidP="006C0BCD">
            <w:pPr>
              <w:jc w:val="both"/>
              <w:rPr>
                <w:rFonts w:ascii="Verdana" w:hAnsi="Verdana" w:cstheme="minorHAnsi"/>
                <w:sz w:val="16"/>
                <w:szCs w:val="16"/>
              </w:rPr>
            </w:pPr>
          </w:p>
        </w:tc>
        <w:tc>
          <w:tcPr>
            <w:tcW w:w="1275" w:type="dxa"/>
          </w:tcPr>
          <w:p w14:paraId="06FFFD6B" w14:textId="77777777" w:rsidR="002E6B86" w:rsidRPr="00113337" w:rsidRDefault="002E6B86" w:rsidP="006C0BCD">
            <w:pPr>
              <w:jc w:val="both"/>
              <w:rPr>
                <w:rFonts w:ascii="Verdana" w:hAnsi="Verdana" w:cstheme="minorHAnsi"/>
                <w:sz w:val="16"/>
                <w:szCs w:val="16"/>
              </w:rPr>
            </w:pPr>
          </w:p>
        </w:tc>
        <w:tc>
          <w:tcPr>
            <w:tcW w:w="1247" w:type="dxa"/>
          </w:tcPr>
          <w:p w14:paraId="25A9A2E0" w14:textId="77777777" w:rsidR="002E6B86" w:rsidRPr="00113337" w:rsidRDefault="002E6B86" w:rsidP="006C0BCD">
            <w:pPr>
              <w:jc w:val="both"/>
              <w:rPr>
                <w:rFonts w:ascii="Verdana" w:hAnsi="Verdana" w:cstheme="minorHAnsi"/>
                <w:sz w:val="16"/>
                <w:szCs w:val="16"/>
              </w:rPr>
            </w:pPr>
          </w:p>
        </w:tc>
      </w:tr>
      <w:tr w:rsidR="002E6B86" w:rsidRPr="00113337" w14:paraId="0B5ECA31" w14:textId="77777777" w:rsidTr="547A6FD5">
        <w:trPr>
          <w:trHeight w:val="415"/>
        </w:trPr>
        <w:tc>
          <w:tcPr>
            <w:tcW w:w="4395" w:type="dxa"/>
          </w:tcPr>
          <w:p w14:paraId="0A6D6E5D" w14:textId="68259493" w:rsidR="002E6B86" w:rsidRPr="00113337" w:rsidRDefault="002E6B86" w:rsidP="006C0BCD">
            <w:pPr>
              <w:jc w:val="both"/>
              <w:rPr>
                <w:rFonts w:ascii="Verdana" w:hAnsi="Verdana" w:cstheme="minorHAnsi"/>
                <w:sz w:val="16"/>
                <w:szCs w:val="16"/>
              </w:rPr>
            </w:pPr>
            <w:r>
              <w:rPr>
                <w:rFonts w:ascii="Verdana" w:hAnsi="Verdana"/>
                <w:sz w:val="16"/>
              </w:rPr>
              <w:t>Indicateur nº2 % des dépenses en TM OU % des succursales distribuant des TM</w:t>
            </w:r>
          </w:p>
        </w:tc>
        <w:tc>
          <w:tcPr>
            <w:tcW w:w="1134" w:type="dxa"/>
          </w:tcPr>
          <w:p w14:paraId="232FA7A6" w14:textId="77777777" w:rsidR="002E6B86" w:rsidRPr="00113337" w:rsidRDefault="002E6B86" w:rsidP="006C0BCD">
            <w:pPr>
              <w:jc w:val="both"/>
              <w:rPr>
                <w:rFonts w:ascii="Verdana" w:hAnsi="Verdana" w:cstheme="minorHAnsi"/>
                <w:sz w:val="16"/>
                <w:szCs w:val="16"/>
              </w:rPr>
            </w:pPr>
          </w:p>
        </w:tc>
        <w:tc>
          <w:tcPr>
            <w:tcW w:w="1134" w:type="dxa"/>
          </w:tcPr>
          <w:p w14:paraId="763F582E" w14:textId="77777777" w:rsidR="002E6B86" w:rsidRPr="00113337" w:rsidRDefault="002E6B86" w:rsidP="006C0BCD">
            <w:pPr>
              <w:jc w:val="both"/>
              <w:rPr>
                <w:rFonts w:ascii="Verdana" w:hAnsi="Verdana" w:cstheme="minorHAnsi"/>
                <w:sz w:val="16"/>
                <w:szCs w:val="16"/>
              </w:rPr>
            </w:pPr>
          </w:p>
        </w:tc>
        <w:tc>
          <w:tcPr>
            <w:tcW w:w="1275" w:type="dxa"/>
          </w:tcPr>
          <w:p w14:paraId="7726C47C" w14:textId="77777777" w:rsidR="002E6B86" w:rsidRPr="00113337" w:rsidRDefault="002E6B86" w:rsidP="006C0BCD">
            <w:pPr>
              <w:jc w:val="both"/>
              <w:rPr>
                <w:rFonts w:ascii="Verdana" w:hAnsi="Verdana" w:cstheme="minorHAnsi"/>
                <w:sz w:val="16"/>
                <w:szCs w:val="16"/>
              </w:rPr>
            </w:pPr>
          </w:p>
        </w:tc>
        <w:tc>
          <w:tcPr>
            <w:tcW w:w="1247" w:type="dxa"/>
          </w:tcPr>
          <w:p w14:paraId="254CB8EB" w14:textId="77777777" w:rsidR="002E6B86" w:rsidRPr="00113337" w:rsidRDefault="002E6B86" w:rsidP="006C0BCD">
            <w:pPr>
              <w:jc w:val="both"/>
              <w:rPr>
                <w:rFonts w:ascii="Verdana" w:hAnsi="Verdana" w:cstheme="minorHAnsi"/>
                <w:sz w:val="16"/>
                <w:szCs w:val="16"/>
              </w:rPr>
            </w:pPr>
          </w:p>
        </w:tc>
      </w:tr>
      <w:tr w:rsidR="002E6B86" w:rsidRPr="00113337" w14:paraId="0B12EE94" w14:textId="77777777" w:rsidTr="547A6FD5">
        <w:tc>
          <w:tcPr>
            <w:tcW w:w="4395" w:type="dxa"/>
          </w:tcPr>
          <w:p w14:paraId="4E7F83D4" w14:textId="04C1BCEC" w:rsidR="002E6B86" w:rsidRPr="00113337" w:rsidRDefault="002E6B86" w:rsidP="006C0BCD">
            <w:pPr>
              <w:jc w:val="both"/>
              <w:rPr>
                <w:rFonts w:ascii="Verdana" w:hAnsi="Verdana" w:cstheme="minorHAnsi"/>
                <w:sz w:val="16"/>
                <w:szCs w:val="16"/>
              </w:rPr>
            </w:pPr>
            <w:r>
              <w:rPr>
                <w:rFonts w:ascii="Verdana" w:hAnsi="Verdana"/>
                <w:sz w:val="16"/>
              </w:rPr>
              <w:t>Indicateur nº3 Nombre de jours entre le sinistre et la distribution des TM</w:t>
            </w:r>
          </w:p>
        </w:tc>
        <w:tc>
          <w:tcPr>
            <w:tcW w:w="1134" w:type="dxa"/>
          </w:tcPr>
          <w:p w14:paraId="0CF1478B" w14:textId="77777777" w:rsidR="002E6B86" w:rsidRPr="00113337" w:rsidRDefault="002E6B86" w:rsidP="006C0BCD">
            <w:pPr>
              <w:jc w:val="both"/>
              <w:rPr>
                <w:rFonts w:ascii="Verdana" w:hAnsi="Verdana" w:cstheme="minorHAnsi"/>
                <w:sz w:val="16"/>
                <w:szCs w:val="16"/>
              </w:rPr>
            </w:pPr>
          </w:p>
        </w:tc>
        <w:tc>
          <w:tcPr>
            <w:tcW w:w="1134" w:type="dxa"/>
          </w:tcPr>
          <w:p w14:paraId="1F5245B6" w14:textId="77777777" w:rsidR="002E6B86" w:rsidRPr="00113337" w:rsidRDefault="002E6B86" w:rsidP="006C0BCD">
            <w:pPr>
              <w:jc w:val="both"/>
              <w:rPr>
                <w:rFonts w:ascii="Verdana" w:hAnsi="Verdana" w:cstheme="minorHAnsi"/>
                <w:sz w:val="16"/>
                <w:szCs w:val="16"/>
              </w:rPr>
            </w:pPr>
          </w:p>
        </w:tc>
        <w:tc>
          <w:tcPr>
            <w:tcW w:w="1275" w:type="dxa"/>
          </w:tcPr>
          <w:p w14:paraId="32492305" w14:textId="77777777" w:rsidR="002E6B86" w:rsidRPr="00113337" w:rsidRDefault="002E6B86" w:rsidP="006C0BCD">
            <w:pPr>
              <w:jc w:val="both"/>
              <w:rPr>
                <w:rFonts w:ascii="Verdana" w:hAnsi="Verdana" w:cstheme="minorHAnsi"/>
                <w:sz w:val="16"/>
                <w:szCs w:val="16"/>
              </w:rPr>
            </w:pPr>
          </w:p>
        </w:tc>
        <w:tc>
          <w:tcPr>
            <w:tcW w:w="1247" w:type="dxa"/>
          </w:tcPr>
          <w:p w14:paraId="3AD150BB" w14:textId="77777777" w:rsidR="002E6B86" w:rsidRPr="00113337" w:rsidRDefault="002E6B86" w:rsidP="006C0BCD">
            <w:pPr>
              <w:jc w:val="both"/>
              <w:rPr>
                <w:rFonts w:ascii="Verdana" w:hAnsi="Verdana" w:cstheme="minorHAnsi"/>
                <w:sz w:val="16"/>
                <w:szCs w:val="16"/>
              </w:rPr>
            </w:pPr>
          </w:p>
        </w:tc>
      </w:tr>
      <w:tr w:rsidR="002E6B86" w:rsidRPr="00113337" w14:paraId="4F5BA050" w14:textId="77777777" w:rsidTr="547A6FD5">
        <w:tc>
          <w:tcPr>
            <w:tcW w:w="4395" w:type="dxa"/>
          </w:tcPr>
          <w:p w14:paraId="705752AB" w14:textId="10F61E66" w:rsidR="002E6B86" w:rsidRDefault="002E6B86" w:rsidP="00B55A2C">
            <w:pPr>
              <w:jc w:val="both"/>
              <w:rPr>
                <w:rFonts w:ascii="Verdana" w:hAnsi="Verdana" w:cstheme="minorHAnsi"/>
                <w:sz w:val="16"/>
                <w:szCs w:val="16"/>
              </w:rPr>
            </w:pPr>
            <w:r>
              <w:rPr>
                <w:rFonts w:ascii="Verdana" w:hAnsi="Verdana"/>
                <w:sz w:val="16"/>
              </w:rPr>
              <w:t>Indicateur nº4 Nombre de TM avec des activités CEA/</w:t>
            </w:r>
            <w:r w:rsidR="00B55A2C">
              <w:rPr>
                <w:rFonts w:ascii="Verdana" w:hAnsi="Verdana"/>
                <w:sz w:val="16"/>
              </w:rPr>
              <w:t xml:space="preserve">AAP </w:t>
            </w:r>
            <w:r>
              <w:rPr>
                <w:rFonts w:ascii="Verdana" w:hAnsi="Verdana"/>
                <w:sz w:val="16"/>
              </w:rPr>
              <w:t xml:space="preserve">clés </w:t>
            </w:r>
          </w:p>
        </w:tc>
        <w:tc>
          <w:tcPr>
            <w:tcW w:w="1134" w:type="dxa"/>
          </w:tcPr>
          <w:p w14:paraId="610B5F15" w14:textId="77777777" w:rsidR="002E6B86" w:rsidRPr="00113337" w:rsidRDefault="002E6B86" w:rsidP="006C0BCD">
            <w:pPr>
              <w:jc w:val="both"/>
              <w:rPr>
                <w:rFonts w:ascii="Verdana" w:hAnsi="Verdana" w:cstheme="minorHAnsi"/>
                <w:sz w:val="16"/>
                <w:szCs w:val="16"/>
              </w:rPr>
            </w:pPr>
          </w:p>
        </w:tc>
        <w:tc>
          <w:tcPr>
            <w:tcW w:w="1134" w:type="dxa"/>
          </w:tcPr>
          <w:p w14:paraId="0C4B974D" w14:textId="77777777" w:rsidR="002E6B86" w:rsidRPr="00113337" w:rsidRDefault="002E6B86" w:rsidP="006C0BCD">
            <w:pPr>
              <w:jc w:val="both"/>
              <w:rPr>
                <w:rFonts w:ascii="Verdana" w:hAnsi="Verdana" w:cstheme="minorHAnsi"/>
                <w:sz w:val="16"/>
                <w:szCs w:val="16"/>
              </w:rPr>
            </w:pPr>
          </w:p>
        </w:tc>
        <w:tc>
          <w:tcPr>
            <w:tcW w:w="1275" w:type="dxa"/>
          </w:tcPr>
          <w:p w14:paraId="4AF82350" w14:textId="77777777" w:rsidR="002E6B86" w:rsidRPr="00113337" w:rsidRDefault="002E6B86" w:rsidP="006C0BCD">
            <w:pPr>
              <w:jc w:val="both"/>
              <w:rPr>
                <w:rFonts w:ascii="Verdana" w:hAnsi="Verdana" w:cstheme="minorHAnsi"/>
                <w:sz w:val="16"/>
                <w:szCs w:val="16"/>
              </w:rPr>
            </w:pPr>
          </w:p>
        </w:tc>
        <w:tc>
          <w:tcPr>
            <w:tcW w:w="1247" w:type="dxa"/>
          </w:tcPr>
          <w:p w14:paraId="2C6F92B3" w14:textId="77777777" w:rsidR="002E6B86" w:rsidRPr="00113337" w:rsidRDefault="002E6B86" w:rsidP="006C0BCD">
            <w:pPr>
              <w:jc w:val="both"/>
              <w:rPr>
                <w:rFonts w:ascii="Verdana" w:hAnsi="Verdana" w:cstheme="minorHAnsi"/>
                <w:sz w:val="16"/>
                <w:szCs w:val="16"/>
              </w:rPr>
            </w:pPr>
          </w:p>
        </w:tc>
      </w:tr>
      <w:tr w:rsidR="002E6B86" w:rsidRPr="00113337" w14:paraId="1092BF54" w14:textId="77777777" w:rsidTr="547A6FD5">
        <w:tc>
          <w:tcPr>
            <w:tcW w:w="4395" w:type="dxa"/>
          </w:tcPr>
          <w:p w14:paraId="0921FB40" w14:textId="77777777" w:rsidR="002E6B86" w:rsidRPr="00636E09" w:rsidRDefault="002E6B86" w:rsidP="006C0BCD">
            <w:pPr>
              <w:jc w:val="both"/>
              <w:rPr>
                <w:rFonts w:ascii="Verdana" w:hAnsi="Verdana" w:cstheme="minorHAnsi"/>
                <w:bCs/>
                <w:sz w:val="16"/>
                <w:szCs w:val="16"/>
              </w:rPr>
            </w:pPr>
            <w:r>
              <w:rPr>
                <w:rFonts w:ascii="Verdana" w:hAnsi="Verdana"/>
                <w:sz w:val="16"/>
              </w:rPr>
              <w:t>Indicateur nº5 Nombre de personnes prises en charge par les TM</w:t>
            </w:r>
          </w:p>
        </w:tc>
        <w:tc>
          <w:tcPr>
            <w:tcW w:w="1134" w:type="dxa"/>
          </w:tcPr>
          <w:p w14:paraId="77B08616" w14:textId="77777777" w:rsidR="002E6B86" w:rsidRPr="00113337" w:rsidRDefault="002E6B86" w:rsidP="006C0BCD">
            <w:pPr>
              <w:jc w:val="both"/>
              <w:rPr>
                <w:rFonts w:ascii="Verdana" w:hAnsi="Verdana" w:cstheme="minorHAnsi"/>
                <w:sz w:val="16"/>
                <w:szCs w:val="16"/>
              </w:rPr>
            </w:pPr>
          </w:p>
        </w:tc>
        <w:tc>
          <w:tcPr>
            <w:tcW w:w="1134" w:type="dxa"/>
          </w:tcPr>
          <w:p w14:paraId="4A14F0E7" w14:textId="77777777" w:rsidR="002E6B86" w:rsidRPr="00113337" w:rsidRDefault="002E6B86" w:rsidP="006C0BCD">
            <w:pPr>
              <w:jc w:val="both"/>
              <w:rPr>
                <w:rFonts w:ascii="Verdana" w:hAnsi="Verdana" w:cstheme="minorHAnsi"/>
                <w:sz w:val="16"/>
                <w:szCs w:val="16"/>
              </w:rPr>
            </w:pPr>
          </w:p>
        </w:tc>
        <w:tc>
          <w:tcPr>
            <w:tcW w:w="1275" w:type="dxa"/>
          </w:tcPr>
          <w:p w14:paraId="206AB1F3" w14:textId="77777777" w:rsidR="002E6B86" w:rsidRPr="00113337" w:rsidRDefault="002E6B86" w:rsidP="006C0BCD">
            <w:pPr>
              <w:jc w:val="both"/>
              <w:rPr>
                <w:rFonts w:ascii="Verdana" w:hAnsi="Verdana" w:cstheme="minorHAnsi"/>
                <w:sz w:val="16"/>
                <w:szCs w:val="16"/>
              </w:rPr>
            </w:pPr>
          </w:p>
        </w:tc>
        <w:tc>
          <w:tcPr>
            <w:tcW w:w="1247" w:type="dxa"/>
          </w:tcPr>
          <w:p w14:paraId="38397D90" w14:textId="77777777" w:rsidR="002E6B86" w:rsidRDefault="002E6B86" w:rsidP="006C0BCD">
            <w:pPr>
              <w:jc w:val="both"/>
              <w:rPr>
                <w:rStyle w:val="CommentReference"/>
              </w:rPr>
            </w:pPr>
          </w:p>
        </w:tc>
      </w:tr>
      <w:tr w:rsidR="002E6B86" w:rsidRPr="00113337" w14:paraId="1078E9D0" w14:textId="77777777" w:rsidTr="547A6FD5">
        <w:tc>
          <w:tcPr>
            <w:tcW w:w="4395" w:type="dxa"/>
          </w:tcPr>
          <w:p w14:paraId="68C2ADF7" w14:textId="53B1AF36" w:rsidR="002E6B86" w:rsidRPr="00C1285E" w:rsidRDefault="002E6B86" w:rsidP="547A6FD5">
            <w:pPr>
              <w:jc w:val="both"/>
              <w:rPr>
                <w:rFonts w:ascii="Verdana" w:hAnsi="Verdana" w:cstheme="minorBidi"/>
                <w:b/>
                <w:bCs/>
                <w:sz w:val="16"/>
                <w:szCs w:val="16"/>
              </w:rPr>
            </w:pPr>
            <w:r>
              <w:rPr>
                <w:rFonts w:ascii="Verdana" w:hAnsi="Verdana"/>
                <w:b/>
                <w:sz w:val="16"/>
              </w:rPr>
              <w:t>Niveau de préparation opérationnelle globale des TM</w:t>
            </w:r>
          </w:p>
        </w:tc>
        <w:tc>
          <w:tcPr>
            <w:tcW w:w="1134" w:type="dxa"/>
          </w:tcPr>
          <w:p w14:paraId="0F98BC44" w14:textId="77777777" w:rsidR="002E6B86" w:rsidRPr="00113337" w:rsidRDefault="002E6B86" w:rsidP="006C0BCD">
            <w:pPr>
              <w:jc w:val="both"/>
              <w:rPr>
                <w:rFonts w:ascii="Verdana" w:hAnsi="Verdana" w:cstheme="minorHAnsi"/>
                <w:sz w:val="16"/>
                <w:szCs w:val="16"/>
              </w:rPr>
            </w:pPr>
          </w:p>
        </w:tc>
        <w:tc>
          <w:tcPr>
            <w:tcW w:w="1134" w:type="dxa"/>
          </w:tcPr>
          <w:p w14:paraId="717B46E1" w14:textId="77777777" w:rsidR="002E6B86" w:rsidRPr="00113337" w:rsidRDefault="002E6B86" w:rsidP="006C0BCD">
            <w:pPr>
              <w:jc w:val="both"/>
              <w:rPr>
                <w:rFonts w:ascii="Verdana" w:hAnsi="Verdana" w:cstheme="minorHAnsi"/>
                <w:sz w:val="16"/>
                <w:szCs w:val="16"/>
              </w:rPr>
            </w:pPr>
          </w:p>
        </w:tc>
        <w:tc>
          <w:tcPr>
            <w:tcW w:w="1275" w:type="dxa"/>
          </w:tcPr>
          <w:p w14:paraId="215B1F33" w14:textId="77777777" w:rsidR="002E6B86" w:rsidRPr="00113337" w:rsidRDefault="002E6B86" w:rsidP="006C0BCD">
            <w:pPr>
              <w:jc w:val="both"/>
              <w:rPr>
                <w:rFonts w:ascii="Verdana" w:hAnsi="Verdana" w:cstheme="minorHAnsi"/>
                <w:sz w:val="16"/>
                <w:szCs w:val="16"/>
              </w:rPr>
            </w:pPr>
          </w:p>
        </w:tc>
        <w:tc>
          <w:tcPr>
            <w:tcW w:w="1247" w:type="dxa"/>
          </w:tcPr>
          <w:p w14:paraId="3FC8ABF0" w14:textId="77777777" w:rsidR="002E6B86" w:rsidRPr="00113337" w:rsidRDefault="002E6B86" w:rsidP="006C0BCD">
            <w:pPr>
              <w:jc w:val="both"/>
              <w:rPr>
                <w:rFonts w:ascii="Verdana" w:hAnsi="Verdana" w:cstheme="minorBidi"/>
                <w:sz w:val="16"/>
                <w:szCs w:val="16"/>
              </w:rPr>
            </w:pPr>
          </w:p>
        </w:tc>
      </w:tr>
    </w:tbl>
    <w:p w14:paraId="09AE78F4" w14:textId="77777777" w:rsidR="002E6B86" w:rsidRDefault="002E6B86" w:rsidP="002E6B86">
      <w:pPr>
        <w:pStyle w:val="Subheading"/>
        <w:jc w:val="both"/>
        <w:rPr>
          <w:rFonts w:ascii="Verdana" w:eastAsiaTheme="minorEastAsia" w:hAnsi="Verdana"/>
          <w:noProof/>
          <w:sz w:val="18"/>
          <w:szCs w:val="18"/>
        </w:rPr>
      </w:pPr>
    </w:p>
    <w:p w14:paraId="0562D873" w14:textId="7214471B" w:rsidR="002E6B86" w:rsidRPr="00343E2D" w:rsidRDefault="00590063" w:rsidP="66F5C1A4">
      <w:pPr>
        <w:pStyle w:val="Subheading"/>
        <w:jc w:val="both"/>
        <w:rPr>
          <w:rFonts w:ascii="Verdana" w:eastAsiaTheme="minorEastAsia" w:hAnsi="Verdana"/>
          <w:b w:val="0"/>
          <w:i/>
          <w:iCs/>
          <w:noProof/>
          <w:color w:val="auto"/>
          <w:sz w:val="16"/>
          <w:szCs w:val="16"/>
        </w:rPr>
      </w:pPr>
      <w:r>
        <w:rPr>
          <w:rFonts w:ascii="Verdana" w:hAnsi="Verdana"/>
          <w:b w:val="0"/>
          <w:i/>
          <w:color w:val="auto"/>
          <w:sz w:val="16"/>
        </w:rPr>
        <w:t>Tableau d’exemple : niveaux de préparation opérationnelle prévus des TM en 5 à 7 ans (ambitieux)</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2E6B86" w:rsidRPr="00113337" w14:paraId="39F01F9C" w14:textId="77777777" w:rsidTr="547A6FD5">
        <w:tc>
          <w:tcPr>
            <w:tcW w:w="4395" w:type="dxa"/>
          </w:tcPr>
          <w:p w14:paraId="3C1662E8" w14:textId="77777777" w:rsidR="002E6B86" w:rsidRPr="00166CEC" w:rsidRDefault="002E6B86" w:rsidP="006C0BCD">
            <w:pPr>
              <w:jc w:val="both"/>
              <w:rPr>
                <w:rFonts w:ascii="Verdana" w:hAnsi="Verdana" w:cstheme="minorHAnsi"/>
                <w:sz w:val="16"/>
                <w:szCs w:val="16"/>
              </w:rPr>
            </w:pPr>
          </w:p>
        </w:tc>
        <w:tc>
          <w:tcPr>
            <w:tcW w:w="1134" w:type="dxa"/>
          </w:tcPr>
          <w:p w14:paraId="41DD41C9" w14:textId="77777777" w:rsidR="002E6B86" w:rsidRPr="00166CEC" w:rsidRDefault="002E6B86" w:rsidP="006C0BCD">
            <w:pPr>
              <w:jc w:val="center"/>
              <w:rPr>
                <w:rFonts w:ascii="Verdana" w:hAnsi="Verdana" w:cstheme="minorHAnsi"/>
                <w:sz w:val="16"/>
                <w:szCs w:val="16"/>
              </w:rPr>
            </w:pPr>
            <w:r>
              <w:rPr>
                <w:rFonts w:ascii="Verdana" w:hAnsi="Verdana"/>
                <w:sz w:val="16"/>
              </w:rPr>
              <w:t>Niveau 1</w:t>
            </w:r>
          </w:p>
        </w:tc>
        <w:tc>
          <w:tcPr>
            <w:tcW w:w="1134" w:type="dxa"/>
          </w:tcPr>
          <w:p w14:paraId="60319E40" w14:textId="77777777" w:rsidR="002E6B86" w:rsidRPr="00166CEC" w:rsidRDefault="002E6B86" w:rsidP="006C0BCD">
            <w:pPr>
              <w:jc w:val="center"/>
              <w:rPr>
                <w:rFonts w:ascii="Verdana" w:hAnsi="Verdana" w:cstheme="minorHAnsi"/>
                <w:sz w:val="16"/>
                <w:szCs w:val="16"/>
              </w:rPr>
            </w:pPr>
            <w:r>
              <w:rPr>
                <w:rFonts w:ascii="Verdana" w:hAnsi="Verdana"/>
                <w:sz w:val="16"/>
              </w:rPr>
              <w:t>Niveau 2</w:t>
            </w:r>
          </w:p>
        </w:tc>
        <w:tc>
          <w:tcPr>
            <w:tcW w:w="1275" w:type="dxa"/>
          </w:tcPr>
          <w:p w14:paraId="6A90DC1B" w14:textId="77777777" w:rsidR="002E6B86" w:rsidRPr="00166CEC" w:rsidRDefault="002E6B86" w:rsidP="006C0BCD">
            <w:pPr>
              <w:jc w:val="center"/>
              <w:rPr>
                <w:rFonts w:ascii="Verdana" w:hAnsi="Verdana" w:cstheme="minorHAnsi"/>
                <w:sz w:val="16"/>
                <w:szCs w:val="16"/>
              </w:rPr>
            </w:pPr>
            <w:r>
              <w:rPr>
                <w:rFonts w:ascii="Verdana" w:hAnsi="Verdana"/>
                <w:sz w:val="16"/>
              </w:rPr>
              <w:t>Niveau 3</w:t>
            </w:r>
          </w:p>
        </w:tc>
        <w:tc>
          <w:tcPr>
            <w:tcW w:w="1247" w:type="dxa"/>
          </w:tcPr>
          <w:p w14:paraId="5258F65D" w14:textId="77777777" w:rsidR="002E6B86" w:rsidRPr="00166CEC" w:rsidRDefault="002E6B86" w:rsidP="006C0BCD">
            <w:pPr>
              <w:jc w:val="center"/>
              <w:rPr>
                <w:rFonts w:ascii="Verdana" w:hAnsi="Verdana" w:cstheme="minorHAnsi"/>
                <w:sz w:val="16"/>
                <w:szCs w:val="16"/>
              </w:rPr>
            </w:pPr>
            <w:r>
              <w:rPr>
                <w:rFonts w:ascii="Verdana" w:hAnsi="Verdana"/>
                <w:sz w:val="16"/>
              </w:rPr>
              <w:t>Niveau 3+</w:t>
            </w:r>
          </w:p>
        </w:tc>
      </w:tr>
      <w:tr w:rsidR="002E6B86" w:rsidRPr="00113337" w14:paraId="18EC9659" w14:textId="77777777" w:rsidTr="547A6FD5">
        <w:tc>
          <w:tcPr>
            <w:tcW w:w="4395" w:type="dxa"/>
          </w:tcPr>
          <w:p w14:paraId="4BF964A2" w14:textId="270AC601" w:rsidR="002E6B86" w:rsidRPr="00113337" w:rsidRDefault="002E6B86" w:rsidP="006C0BCD">
            <w:pPr>
              <w:jc w:val="both"/>
              <w:rPr>
                <w:rFonts w:ascii="Verdana" w:hAnsi="Verdana" w:cstheme="minorHAnsi"/>
                <w:sz w:val="16"/>
                <w:szCs w:val="16"/>
              </w:rPr>
            </w:pPr>
            <w:r>
              <w:rPr>
                <w:rFonts w:ascii="Verdana" w:hAnsi="Verdana"/>
                <w:sz w:val="16"/>
              </w:rPr>
              <w:t xml:space="preserve">Indicateur nº1 % de TM par le biais d’un mécanisme de distribution d’accords-cadres </w:t>
            </w:r>
          </w:p>
        </w:tc>
        <w:tc>
          <w:tcPr>
            <w:tcW w:w="1134" w:type="dxa"/>
          </w:tcPr>
          <w:p w14:paraId="39968733" w14:textId="77777777" w:rsidR="002E6B86" w:rsidRPr="00113337" w:rsidRDefault="002E6B86" w:rsidP="006C0BCD">
            <w:pPr>
              <w:jc w:val="both"/>
              <w:rPr>
                <w:rFonts w:ascii="Verdana" w:hAnsi="Verdana" w:cstheme="minorHAnsi"/>
                <w:sz w:val="16"/>
                <w:szCs w:val="16"/>
              </w:rPr>
            </w:pPr>
          </w:p>
        </w:tc>
        <w:tc>
          <w:tcPr>
            <w:tcW w:w="1134" w:type="dxa"/>
          </w:tcPr>
          <w:p w14:paraId="5ECD7C07" w14:textId="77777777" w:rsidR="002E6B86" w:rsidRPr="00113337" w:rsidRDefault="002E6B86" w:rsidP="006C0BCD">
            <w:pPr>
              <w:jc w:val="both"/>
              <w:rPr>
                <w:rFonts w:ascii="Verdana" w:hAnsi="Verdana" w:cstheme="minorHAnsi"/>
                <w:sz w:val="16"/>
                <w:szCs w:val="16"/>
              </w:rPr>
            </w:pPr>
          </w:p>
        </w:tc>
        <w:tc>
          <w:tcPr>
            <w:tcW w:w="1275" w:type="dxa"/>
          </w:tcPr>
          <w:p w14:paraId="0C1C03D8" w14:textId="77777777" w:rsidR="002E6B86" w:rsidRPr="00113337" w:rsidRDefault="002E6B86" w:rsidP="006C0BCD">
            <w:pPr>
              <w:jc w:val="both"/>
              <w:rPr>
                <w:rFonts w:ascii="Verdana" w:hAnsi="Verdana" w:cstheme="minorHAnsi"/>
                <w:sz w:val="16"/>
                <w:szCs w:val="16"/>
              </w:rPr>
            </w:pPr>
          </w:p>
        </w:tc>
        <w:tc>
          <w:tcPr>
            <w:tcW w:w="1247" w:type="dxa"/>
          </w:tcPr>
          <w:p w14:paraId="29CC2D24" w14:textId="77777777" w:rsidR="002E6B86" w:rsidRPr="00113337" w:rsidRDefault="002E6B86" w:rsidP="006C0BCD">
            <w:pPr>
              <w:jc w:val="both"/>
              <w:rPr>
                <w:rFonts w:ascii="Verdana" w:hAnsi="Verdana" w:cstheme="minorHAnsi"/>
                <w:sz w:val="16"/>
                <w:szCs w:val="16"/>
              </w:rPr>
            </w:pPr>
          </w:p>
        </w:tc>
      </w:tr>
      <w:tr w:rsidR="002E6B86" w:rsidRPr="00113337" w14:paraId="5D0674D7" w14:textId="77777777" w:rsidTr="547A6FD5">
        <w:trPr>
          <w:trHeight w:val="415"/>
        </w:trPr>
        <w:tc>
          <w:tcPr>
            <w:tcW w:w="4395" w:type="dxa"/>
          </w:tcPr>
          <w:p w14:paraId="475086C2" w14:textId="635AE5E2" w:rsidR="002E6B86" w:rsidRPr="00113337" w:rsidRDefault="002E6B86" w:rsidP="006C0BCD">
            <w:pPr>
              <w:jc w:val="both"/>
              <w:rPr>
                <w:rFonts w:ascii="Verdana" w:hAnsi="Verdana" w:cstheme="minorHAnsi"/>
                <w:sz w:val="16"/>
                <w:szCs w:val="16"/>
              </w:rPr>
            </w:pPr>
            <w:r>
              <w:rPr>
                <w:rFonts w:ascii="Verdana" w:hAnsi="Verdana"/>
                <w:sz w:val="16"/>
              </w:rPr>
              <w:t>Indicateur nº2 % des dépenses en TM OU % des succursales distribuant des TM</w:t>
            </w:r>
          </w:p>
        </w:tc>
        <w:tc>
          <w:tcPr>
            <w:tcW w:w="1134" w:type="dxa"/>
          </w:tcPr>
          <w:p w14:paraId="774EA3AE" w14:textId="77777777" w:rsidR="002E6B86" w:rsidRPr="00113337" w:rsidRDefault="002E6B86" w:rsidP="006C0BCD">
            <w:pPr>
              <w:jc w:val="both"/>
              <w:rPr>
                <w:rFonts w:ascii="Verdana" w:hAnsi="Verdana" w:cstheme="minorHAnsi"/>
                <w:sz w:val="16"/>
                <w:szCs w:val="16"/>
              </w:rPr>
            </w:pPr>
          </w:p>
        </w:tc>
        <w:tc>
          <w:tcPr>
            <w:tcW w:w="1134" w:type="dxa"/>
          </w:tcPr>
          <w:p w14:paraId="1EEA36EF" w14:textId="77777777" w:rsidR="002E6B86" w:rsidRPr="00113337" w:rsidRDefault="002E6B86" w:rsidP="006C0BCD">
            <w:pPr>
              <w:jc w:val="both"/>
              <w:rPr>
                <w:rFonts w:ascii="Verdana" w:hAnsi="Verdana" w:cstheme="minorHAnsi"/>
                <w:sz w:val="16"/>
                <w:szCs w:val="16"/>
              </w:rPr>
            </w:pPr>
          </w:p>
        </w:tc>
        <w:tc>
          <w:tcPr>
            <w:tcW w:w="1275" w:type="dxa"/>
          </w:tcPr>
          <w:p w14:paraId="1A4A37E2" w14:textId="77777777" w:rsidR="002E6B86" w:rsidRPr="00113337" w:rsidRDefault="002E6B86" w:rsidP="006C0BCD">
            <w:pPr>
              <w:jc w:val="both"/>
              <w:rPr>
                <w:rFonts w:ascii="Verdana" w:hAnsi="Verdana" w:cstheme="minorHAnsi"/>
                <w:sz w:val="16"/>
                <w:szCs w:val="16"/>
              </w:rPr>
            </w:pPr>
          </w:p>
        </w:tc>
        <w:tc>
          <w:tcPr>
            <w:tcW w:w="1247" w:type="dxa"/>
          </w:tcPr>
          <w:p w14:paraId="2C4E9066" w14:textId="77777777" w:rsidR="002E6B86" w:rsidRPr="00113337" w:rsidRDefault="002E6B86" w:rsidP="006C0BCD">
            <w:pPr>
              <w:jc w:val="both"/>
              <w:rPr>
                <w:rFonts w:ascii="Verdana" w:hAnsi="Verdana" w:cstheme="minorHAnsi"/>
                <w:sz w:val="16"/>
                <w:szCs w:val="16"/>
              </w:rPr>
            </w:pPr>
          </w:p>
        </w:tc>
      </w:tr>
      <w:tr w:rsidR="002E6B86" w:rsidRPr="00113337" w14:paraId="2BE5B47F" w14:textId="77777777" w:rsidTr="547A6FD5">
        <w:tc>
          <w:tcPr>
            <w:tcW w:w="4395" w:type="dxa"/>
          </w:tcPr>
          <w:p w14:paraId="5BBD4980" w14:textId="313200EB" w:rsidR="002E6B86" w:rsidRPr="00113337" w:rsidRDefault="002E6B86" w:rsidP="006C0BCD">
            <w:pPr>
              <w:jc w:val="both"/>
              <w:rPr>
                <w:rFonts w:ascii="Verdana" w:hAnsi="Verdana" w:cstheme="minorHAnsi"/>
                <w:sz w:val="16"/>
                <w:szCs w:val="16"/>
              </w:rPr>
            </w:pPr>
            <w:r>
              <w:rPr>
                <w:rFonts w:ascii="Verdana" w:hAnsi="Verdana"/>
                <w:sz w:val="16"/>
              </w:rPr>
              <w:t>Indicateur nº3 Nombre de jours entre le sinistre et la distribution des TM</w:t>
            </w:r>
          </w:p>
        </w:tc>
        <w:tc>
          <w:tcPr>
            <w:tcW w:w="1134" w:type="dxa"/>
          </w:tcPr>
          <w:p w14:paraId="07B994D6" w14:textId="77777777" w:rsidR="002E6B86" w:rsidRPr="00113337" w:rsidRDefault="002E6B86" w:rsidP="006C0BCD">
            <w:pPr>
              <w:jc w:val="both"/>
              <w:rPr>
                <w:rFonts w:ascii="Verdana" w:hAnsi="Verdana" w:cstheme="minorHAnsi"/>
                <w:sz w:val="16"/>
                <w:szCs w:val="16"/>
              </w:rPr>
            </w:pPr>
          </w:p>
        </w:tc>
        <w:tc>
          <w:tcPr>
            <w:tcW w:w="1134" w:type="dxa"/>
          </w:tcPr>
          <w:p w14:paraId="758F8757" w14:textId="77777777" w:rsidR="002E6B86" w:rsidRPr="00113337" w:rsidRDefault="002E6B86" w:rsidP="006C0BCD">
            <w:pPr>
              <w:jc w:val="both"/>
              <w:rPr>
                <w:rFonts w:ascii="Verdana" w:hAnsi="Verdana" w:cstheme="minorHAnsi"/>
                <w:sz w:val="16"/>
                <w:szCs w:val="16"/>
              </w:rPr>
            </w:pPr>
          </w:p>
        </w:tc>
        <w:tc>
          <w:tcPr>
            <w:tcW w:w="1275" w:type="dxa"/>
          </w:tcPr>
          <w:p w14:paraId="1E481E40" w14:textId="77777777" w:rsidR="002E6B86" w:rsidRPr="00113337" w:rsidRDefault="002E6B86" w:rsidP="006C0BCD">
            <w:pPr>
              <w:jc w:val="both"/>
              <w:rPr>
                <w:rFonts w:ascii="Verdana" w:hAnsi="Verdana" w:cstheme="minorHAnsi"/>
                <w:sz w:val="16"/>
                <w:szCs w:val="16"/>
              </w:rPr>
            </w:pPr>
          </w:p>
        </w:tc>
        <w:tc>
          <w:tcPr>
            <w:tcW w:w="1247" w:type="dxa"/>
          </w:tcPr>
          <w:p w14:paraId="4FBD4AA6" w14:textId="77777777" w:rsidR="002E6B86" w:rsidRPr="00113337" w:rsidRDefault="002E6B86" w:rsidP="006C0BCD">
            <w:pPr>
              <w:jc w:val="both"/>
              <w:rPr>
                <w:rFonts w:ascii="Verdana" w:hAnsi="Verdana" w:cstheme="minorHAnsi"/>
                <w:sz w:val="16"/>
                <w:szCs w:val="16"/>
              </w:rPr>
            </w:pPr>
          </w:p>
        </w:tc>
      </w:tr>
      <w:tr w:rsidR="002E6B86" w:rsidRPr="00113337" w14:paraId="60AE4A0E" w14:textId="77777777" w:rsidTr="547A6FD5">
        <w:tc>
          <w:tcPr>
            <w:tcW w:w="4395" w:type="dxa"/>
          </w:tcPr>
          <w:p w14:paraId="264A3F16" w14:textId="4CF8F2F0" w:rsidR="002E6B86" w:rsidRDefault="002E6B86" w:rsidP="00B55A2C">
            <w:pPr>
              <w:jc w:val="both"/>
              <w:rPr>
                <w:rFonts w:ascii="Verdana" w:hAnsi="Verdana" w:cstheme="minorHAnsi"/>
                <w:sz w:val="16"/>
                <w:szCs w:val="16"/>
              </w:rPr>
            </w:pPr>
            <w:r>
              <w:rPr>
                <w:rFonts w:ascii="Verdana" w:hAnsi="Verdana"/>
                <w:sz w:val="16"/>
              </w:rPr>
              <w:t>Indicateur nº4 Nombre de TM avec des activités CEA/</w:t>
            </w:r>
            <w:r w:rsidR="00B55A2C">
              <w:rPr>
                <w:rFonts w:ascii="Verdana" w:hAnsi="Verdana"/>
                <w:sz w:val="16"/>
              </w:rPr>
              <w:t xml:space="preserve">AAP </w:t>
            </w:r>
            <w:r>
              <w:rPr>
                <w:rFonts w:ascii="Verdana" w:hAnsi="Verdana"/>
                <w:sz w:val="16"/>
              </w:rPr>
              <w:t xml:space="preserve">clés </w:t>
            </w:r>
          </w:p>
        </w:tc>
        <w:tc>
          <w:tcPr>
            <w:tcW w:w="1134" w:type="dxa"/>
          </w:tcPr>
          <w:p w14:paraId="0962E565" w14:textId="77777777" w:rsidR="002E6B86" w:rsidRPr="00113337" w:rsidRDefault="002E6B86" w:rsidP="006C0BCD">
            <w:pPr>
              <w:jc w:val="both"/>
              <w:rPr>
                <w:rFonts w:ascii="Verdana" w:hAnsi="Verdana" w:cstheme="minorHAnsi"/>
                <w:sz w:val="16"/>
                <w:szCs w:val="16"/>
              </w:rPr>
            </w:pPr>
          </w:p>
        </w:tc>
        <w:tc>
          <w:tcPr>
            <w:tcW w:w="1134" w:type="dxa"/>
          </w:tcPr>
          <w:p w14:paraId="32070239" w14:textId="77777777" w:rsidR="002E6B86" w:rsidRPr="00113337" w:rsidRDefault="002E6B86" w:rsidP="006C0BCD">
            <w:pPr>
              <w:jc w:val="both"/>
              <w:rPr>
                <w:rFonts w:ascii="Verdana" w:hAnsi="Verdana" w:cstheme="minorHAnsi"/>
                <w:sz w:val="16"/>
                <w:szCs w:val="16"/>
              </w:rPr>
            </w:pPr>
          </w:p>
        </w:tc>
        <w:tc>
          <w:tcPr>
            <w:tcW w:w="1275" w:type="dxa"/>
          </w:tcPr>
          <w:p w14:paraId="51ED16D4" w14:textId="77777777" w:rsidR="002E6B86" w:rsidRPr="00113337" w:rsidRDefault="002E6B86" w:rsidP="006C0BCD">
            <w:pPr>
              <w:jc w:val="both"/>
              <w:rPr>
                <w:rFonts w:ascii="Verdana" w:hAnsi="Verdana" w:cstheme="minorHAnsi"/>
                <w:sz w:val="16"/>
                <w:szCs w:val="16"/>
              </w:rPr>
            </w:pPr>
          </w:p>
        </w:tc>
        <w:tc>
          <w:tcPr>
            <w:tcW w:w="1247" w:type="dxa"/>
          </w:tcPr>
          <w:p w14:paraId="0F919FDB" w14:textId="77777777" w:rsidR="002E6B86" w:rsidRPr="00113337" w:rsidRDefault="002E6B86" w:rsidP="006C0BCD">
            <w:pPr>
              <w:jc w:val="both"/>
              <w:rPr>
                <w:rFonts w:ascii="Verdana" w:hAnsi="Verdana" w:cstheme="minorHAnsi"/>
                <w:sz w:val="16"/>
                <w:szCs w:val="16"/>
              </w:rPr>
            </w:pPr>
          </w:p>
        </w:tc>
      </w:tr>
      <w:tr w:rsidR="002E6B86" w:rsidRPr="00113337" w14:paraId="39830F30" w14:textId="77777777" w:rsidTr="547A6FD5">
        <w:tc>
          <w:tcPr>
            <w:tcW w:w="4395" w:type="dxa"/>
          </w:tcPr>
          <w:p w14:paraId="195BEF74" w14:textId="77777777" w:rsidR="002E6B86" w:rsidRPr="00636E09" w:rsidRDefault="002E6B86" w:rsidP="006C0BCD">
            <w:pPr>
              <w:jc w:val="both"/>
              <w:rPr>
                <w:rFonts w:ascii="Verdana" w:hAnsi="Verdana" w:cstheme="minorHAnsi"/>
                <w:bCs/>
                <w:sz w:val="16"/>
                <w:szCs w:val="16"/>
              </w:rPr>
            </w:pPr>
            <w:r>
              <w:rPr>
                <w:rFonts w:ascii="Verdana" w:hAnsi="Verdana"/>
                <w:sz w:val="16"/>
              </w:rPr>
              <w:lastRenderedPageBreak/>
              <w:t>Indicateur nº5 Nombre de personnes prises en charge par les TM</w:t>
            </w:r>
          </w:p>
        </w:tc>
        <w:tc>
          <w:tcPr>
            <w:tcW w:w="1134" w:type="dxa"/>
          </w:tcPr>
          <w:p w14:paraId="76FDEBFC" w14:textId="77777777" w:rsidR="002E6B86" w:rsidRPr="00113337" w:rsidRDefault="002E6B86" w:rsidP="006C0BCD">
            <w:pPr>
              <w:jc w:val="both"/>
              <w:rPr>
                <w:rFonts w:ascii="Verdana" w:hAnsi="Verdana" w:cstheme="minorHAnsi"/>
                <w:sz w:val="16"/>
                <w:szCs w:val="16"/>
              </w:rPr>
            </w:pPr>
          </w:p>
        </w:tc>
        <w:tc>
          <w:tcPr>
            <w:tcW w:w="1134" w:type="dxa"/>
          </w:tcPr>
          <w:p w14:paraId="06532141" w14:textId="77777777" w:rsidR="002E6B86" w:rsidRPr="00113337" w:rsidRDefault="002E6B86" w:rsidP="006C0BCD">
            <w:pPr>
              <w:jc w:val="both"/>
              <w:rPr>
                <w:rFonts w:ascii="Verdana" w:hAnsi="Verdana" w:cstheme="minorHAnsi"/>
                <w:sz w:val="16"/>
                <w:szCs w:val="16"/>
              </w:rPr>
            </w:pPr>
          </w:p>
        </w:tc>
        <w:tc>
          <w:tcPr>
            <w:tcW w:w="1275" w:type="dxa"/>
          </w:tcPr>
          <w:p w14:paraId="3E2F7415" w14:textId="77777777" w:rsidR="002E6B86" w:rsidRPr="00113337" w:rsidRDefault="002E6B86" w:rsidP="006C0BCD">
            <w:pPr>
              <w:jc w:val="both"/>
              <w:rPr>
                <w:rFonts w:ascii="Verdana" w:hAnsi="Verdana" w:cstheme="minorHAnsi"/>
                <w:sz w:val="16"/>
                <w:szCs w:val="16"/>
              </w:rPr>
            </w:pPr>
          </w:p>
        </w:tc>
        <w:tc>
          <w:tcPr>
            <w:tcW w:w="1247" w:type="dxa"/>
          </w:tcPr>
          <w:p w14:paraId="3D852FAF" w14:textId="77777777" w:rsidR="002E6B86" w:rsidRDefault="002E6B86" w:rsidP="006C0BCD">
            <w:pPr>
              <w:jc w:val="both"/>
              <w:rPr>
                <w:rStyle w:val="CommentReference"/>
              </w:rPr>
            </w:pPr>
          </w:p>
        </w:tc>
      </w:tr>
      <w:tr w:rsidR="002E6B86" w:rsidRPr="00113337" w14:paraId="41880137" w14:textId="77777777" w:rsidTr="547A6FD5">
        <w:tc>
          <w:tcPr>
            <w:tcW w:w="4395" w:type="dxa"/>
          </w:tcPr>
          <w:p w14:paraId="73EA6A45" w14:textId="565793A6" w:rsidR="002E6B86" w:rsidRPr="00C1285E" w:rsidRDefault="002E6B86" w:rsidP="547A6FD5">
            <w:pPr>
              <w:jc w:val="both"/>
              <w:rPr>
                <w:rFonts w:ascii="Verdana" w:hAnsi="Verdana" w:cstheme="minorBidi"/>
                <w:b/>
                <w:bCs/>
                <w:sz w:val="16"/>
                <w:szCs w:val="16"/>
              </w:rPr>
            </w:pPr>
            <w:r>
              <w:rPr>
                <w:rFonts w:ascii="Verdana" w:hAnsi="Verdana"/>
                <w:b/>
                <w:sz w:val="16"/>
              </w:rPr>
              <w:t>Niveau de préparation opérationnelle globale des TM</w:t>
            </w:r>
          </w:p>
        </w:tc>
        <w:tc>
          <w:tcPr>
            <w:tcW w:w="1134" w:type="dxa"/>
          </w:tcPr>
          <w:p w14:paraId="02FBBE00" w14:textId="77777777" w:rsidR="002E6B86" w:rsidRPr="00113337" w:rsidRDefault="002E6B86" w:rsidP="006C0BCD">
            <w:pPr>
              <w:jc w:val="both"/>
              <w:rPr>
                <w:rFonts w:ascii="Verdana" w:hAnsi="Verdana" w:cstheme="minorHAnsi"/>
                <w:sz w:val="16"/>
                <w:szCs w:val="16"/>
              </w:rPr>
            </w:pPr>
          </w:p>
        </w:tc>
        <w:tc>
          <w:tcPr>
            <w:tcW w:w="1134" w:type="dxa"/>
          </w:tcPr>
          <w:p w14:paraId="0EB4ACE4" w14:textId="77777777" w:rsidR="002E6B86" w:rsidRPr="00113337" w:rsidRDefault="002E6B86" w:rsidP="006C0BCD">
            <w:pPr>
              <w:jc w:val="both"/>
              <w:rPr>
                <w:rFonts w:ascii="Verdana" w:hAnsi="Verdana" w:cstheme="minorHAnsi"/>
                <w:sz w:val="16"/>
                <w:szCs w:val="16"/>
              </w:rPr>
            </w:pPr>
          </w:p>
        </w:tc>
        <w:tc>
          <w:tcPr>
            <w:tcW w:w="1275" w:type="dxa"/>
          </w:tcPr>
          <w:p w14:paraId="445964B9" w14:textId="77777777" w:rsidR="002E6B86" w:rsidRPr="00113337" w:rsidRDefault="002E6B86" w:rsidP="006C0BCD">
            <w:pPr>
              <w:jc w:val="both"/>
              <w:rPr>
                <w:rFonts w:ascii="Verdana" w:hAnsi="Verdana" w:cstheme="minorHAnsi"/>
                <w:sz w:val="16"/>
                <w:szCs w:val="16"/>
              </w:rPr>
            </w:pPr>
          </w:p>
        </w:tc>
        <w:tc>
          <w:tcPr>
            <w:tcW w:w="1247" w:type="dxa"/>
          </w:tcPr>
          <w:p w14:paraId="3479D909" w14:textId="77777777" w:rsidR="002E6B86" w:rsidRPr="00113337" w:rsidRDefault="002E6B86" w:rsidP="006C0BCD">
            <w:pPr>
              <w:jc w:val="both"/>
              <w:rPr>
                <w:rFonts w:ascii="Verdana" w:hAnsi="Verdana" w:cstheme="minorBidi"/>
                <w:sz w:val="16"/>
                <w:szCs w:val="16"/>
              </w:rPr>
            </w:pPr>
          </w:p>
        </w:tc>
      </w:tr>
    </w:tbl>
    <w:p w14:paraId="085BE6D4" w14:textId="4C8E7DBF" w:rsidR="00D21641" w:rsidRDefault="00D21641" w:rsidP="5A7DB135"/>
    <w:p w14:paraId="4F6FB0B3" w14:textId="77777777" w:rsidR="00D65F86" w:rsidRDefault="00D65F86">
      <w:pPr>
        <w:spacing w:after="0" w:line="276" w:lineRule="auto"/>
        <w:rPr>
          <w:rFonts w:ascii="Verdana" w:hAnsi="Verdana"/>
          <w:b/>
          <w:sz w:val="22"/>
          <w:szCs w:val="24"/>
        </w:rPr>
      </w:pPr>
      <w:r>
        <w:br w:type="page"/>
      </w:r>
    </w:p>
    <w:p w14:paraId="36F4F2B9" w14:textId="063167B7" w:rsidR="00D21641" w:rsidRPr="003E7688" w:rsidRDefault="00CD1BB1" w:rsidP="547A6FD5">
      <w:pPr>
        <w:pStyle w:val="Heading3"/>
        <w:rPr>
          <w:rFonts w:ascii="Verdana" w:hAnsi="Verdana"/>
        </w:rPr>
      </w:pPr>
      <w:r>
        <w:rPr>
          <w:rFonts w:ascii="Verdana" w:hAnsi="Verdana"/>
        </w:rPr>
        <w:lastRenderedPageBreak/>
        <w:t xml:space="preserve">V. </w:t>
      </w:r>
      <w:r w:rsidR="002B46F3">
        <w:rPr>
          <w:rFonts w:ascii="Verdana" w:hAnsi="Verdana"/>
        </w:rPr>
        <w:t>Capacité de Préparation organisationnelle en TM</w:t>
      </w:r>
    </w:p>
    <w:p w14:paraId="5465A1C0" w14:textId="306484AA" w:rsidR="00D21641" w:rsidRPr="003E7688" w:rsidRDefault="00D21641" w:rsidP="344A445F">
      <w:pPr>
        <w:pStyle w:val="Heading3"/>
        <w:rPr>
          <w:rFonts w:ascii="Verdana" w:hAnsi="Verdana"/>
          <w:i/>
          <w:iCs/>
          <w:sz w:val="18"/>
          <w:szCs w:val="18"/>
        </w:rPr>
      </w:pPr>
      <w:r>
        <w:rPr>
          <w:rFonts w:ascii="Verdana" w:hAnsi="Verdana"/>
          <w:i/>
          <w:sz w:val="18"/>
        </w:rPr>
        <w:t xml:space="preserve">Décrire la capacité organisationnelle actuelle des TM de </w:t>
      </w:r>
      <w:r w:rsidR="002B46F3">
        <w:rPr>
          <w:rFonts w:ascii="Verdana" w:hAnsi="Verdana"/>
          <w:i/>
          <w:sz w:val="18"/>
        </w:rPr>
        <w:t xml:space="preserve">la </w:t>
      </w:r>
      <w:r>
        <w:rPr>
          <w:rFonts w:ascii="Verdana" w:hAnsi="Verdana"/>
          <w:i/>
          <w:sz w:val="18"/>
        </w:rPr>
        <w:t>SN à partir des résultats de l’auto-évaluation de la capacité de TM.</w:t>
      </w:r>
    </w:p>
    <w:tbl>
      <w:tblPr>
        <w:tblStyle w:val="TableGray"/>
        <w:tblW w:w="0" w:type="auto"/>
        <w:tblCellMar>
          <w:top w:w="28" w:type="dxa"/>
          <w:bottom w:w="28" w:type="dxa"/>
        </w:tblCellMar>
        <w:tblLook w:val="04A0" w:firstRow="1" w:lastRow="0" w:firstColumn="1" w:lastColumn="0" w:noHBand="0" w:noVBand="1"/>
      </w:tblPr>
      <w:tblGrid>
        <w:gridCol w:w="9638"/>
      </w:tblGrid>
      <w:tr w:rsidR="00CF729D" w:rsidRPr="008805E1" w14:paraId="1F59CEA4" w14:textId="77777777" w:rsidTr="344A445F">
        <w:tc>
          <w:tcPr>
            <w:tcW w:w="9638" w:type="dxa"/>
          </w:tcPr>
          <w:p w14:paraId="4C5DCAE8" w14:textId="77777777" w:rsidR="00CF729D" w:rsidRDefault="00CF729D" w:rsidP="006C0BCD">
            <w:pPr>
              <w:pStyle w:val="Info"/>
              <w:spacing w:after="0"/>
              <w:rPr>
                <w:rFonts w:ascii="Verdana" w:hAnsi="Verdana"/>
                <w:sz w:val="17"/>
                <w:szCs w:val="17"/>
              </w:rPr>
            </w:pPr>
          </w:p>
          <w:p w14:paraId="453E0DAF" w14:textId="77777777" w:rsidR="00CF729D" w:rsidRDefault="00CF729D" w:rsidP="006C0BCD">
            <w:pPr>
              <w:pStyle w:val="Info"/>
              <w:spacing w:after="0"/>
              <w:rPr>
                <w:rFonts w:ascii="Verdana" w:hAnsi="Verdana"/>
                <w:sz w:val="17"/>
                <w:szCs w:val="17"/>
              </w:rPr>
            </w:pPr>
            <w:r>
              <w:rPr>
                <w:rFonts w:ascii="Verdana" w:hAnsi="Verdana"/>
                <w:sz w:val="17"/>
              </w:rPr>
              <w:t xml:space="preserve">Description des résultats de l’auto-évaluation de la capacité TM. </w:t>
            </w:r>
          </w:p>
          <w:p w14:paraId="0714A1B9" w14:textId="1B42358B" w:rsidR="00CF729D" w:rsidRDefault="177F1057" w:rsidP="006C0BCD">
            <w:pPr>
              <w:pStyle w:val="Info"/>
              <w:numPr>
                <w:ilvl w:val="0"/>
                <w:numId w:val="13"/>
              </w:numPr>
              <w:spacing w:after="0"/>
              <w:rPr>
                <w:rFonts w:ascii="Verdana" w:hAnsi="Verdana"/>
                <w:sz w:val="17"/>
                <w:szCs w:val="17"/>
              </w:rPr>
            </w:pPr>
            <w:r>
              <w:rPr>
                <w:rFonts w:ascii="Verdana" w:hAnsi="Verdana"/>
                <w:sz w:val="17"/>
              </w:rPr>
              <w:t xml:space="preserve">Insérer le récapitulatif des résultats : Diagramme en toile d’araignée et scores de tableau pour chaque zone et domaines de </w:t>
            </w:r>
            <w:r w:rsidR="002B46F3">
              <w:rPr>
                <w:rFonts w:ascii="Verdana" w:hAnsi="Verdana"/>
                <w:sz w:val="17"/>
              </w:rPr>
              <w:t>PTM</w:t>
            </w:r>
          </w:p>
          <w:p w14:paraId="2383666D" w14:textId="26091963" w:rsidR="00CF729D" w:rsidRDefault="00A542E8" w:rsidP="006C0BCD">
            <w:pPr>
              <w:pStyle w:val="Info"/>
              <w:numPr>
                <w:ilvl w:val="0"/>
                <w:numId w:val="13"/>
              </w:numPr>
              <w:spacing w:after="0"/>
              <w:rPr>
                <w:rFonts w:ascii="Verdana" w:hAnsi="Verdana"/>
                <w:sz w:val="17"/>
                <w:szCs w:val="17"/>
              </w:rPr>
            </w:pPr>
            <w:r>
              <w:rPr>
                <w:rFonts w:ascii="Verdana" w:hAnsi="Verdana"/>
                <w:sz w:val="17"/>
              </w:rPr>
              <w:t>Mettre en évidence les principales conclusions par domaine de PAEC (1 0 2 paragraphes)</w:t>
            </w:r>
          </w:p>
          <w:p w14:paraId="02FD290F" w14:textId="77777777" w:rsidR="00CF729D" w:rsidRDefault="00CF729D" w:rsidP="006C0BCD">
            <w:pPr>
              <w:pStyle w:val="Info"/>
              <w:spacing w:after="0"/>
              <w:rPr>
                <w:rFonts w:ascii="Verdana" w:hAnsi="Verdana"/>
                <w:sz w:val="17"/>
                <w:szCs w:val="17"/>
              </w:rPr>
            </w:pPr>
          </w:p>
          <w:p w14:paraId="451CE689" w14:textId="4879FEDA" w:rsidR="00CF729D" w:rsidRDefault="00CF729D" w:rsidP="006C0BCD">
            <w:pPr>
              <w:pStyle w:val="Info"/>
              <w:spacing w:after="0"/>
              <w:rPr>
                <w:rFonts w:ascii="Verdana" w:hAnsi="Verdana"/>
                <w:sz w:val="17"/>
                <w:szCs w:val="17"/>
              </w:rPr>
            </w:pPr>
            <w:r>
              <w:rPr>
                <w:rFonts w:ascii="Verdana" w:hAnsi="Verdana"/>
                <w:sz w:val="17"/>
              </w:rPr>
              <w:t>Cette information proviendra de l’évaluation de l’auto-capacité de TM entreprise dans le cadre de l’atelier de planification.</w:t>
            </w:r>
          </w:p>
          <w:p w14:paraId="1E7A1EC1" w14:textId="77777777" w:rsidR="00D21641" w:rsidRDefault="00D21641" w:rsidP="006C0BCD">
            <w:pPr>
              <w:pStyle w:val="Info"/>
              <w:spacing w:after="0"/>
              <w:rPr>
                <w:rFonts w:ascii="Verdana" w:hAnsi="Verdana"/>
                <w:sz w:val="17"/>
                <w:szCs w:val="17"/>
              </w:rPr>
            </w:pPr>
          </w:p>
          <w:p w14:paraId="1E4B6A62" w14:textId="43E4297B" w:rsidR="00D21641" w:rsidRDefault="00D21641" w:rsidP="006C0BCD">
            <w:pPr>
              <w:pStyle w:val="Info"/>
              <w:spacing w:after="0"/>
              <w:rPr>
                <w:rFonts w:ascii="Verdana" w:hAnsi="Verdana"/>
                <w:sz w:val="17"/>
                <w:szCs w:val="17"/>
              </w:rPr>
            </w:pPr>
            <w:r>
              <w:rPr>
                <w:rFonts w:ascii="Verdana" w:hAnsi="Verdana"/>
                <w:sz w:val="17"/>
              </w:rPr>
              <w:t>Les résultats complets de l’évaluation de l’</w:t>
            </w:r>
            <w:proofErr w:type="spellStart"/>
            <w:r>
              <w:rPr>
                <w:rFonts w:ascii="Verdana" w:hAnsi="Verdana"/>
                <w:sz w:val="17"/>
              </w:rPr>
              <w:t>autocapacité</w:t>
            </w:r>
            <w:proofErr w:type="spellEnd"/>
            <w:r>
              <w:rPr>
                <w:rFonts w:ascii="Verdana" w:hAnsi="Verdana"/>
                <w:sz w:val="17"/>
              </w:rPr>
              <w:t xml:space="preserve"> de TM devraient être joints en annexe Excel.</w:t>
            </w:r>
          </w:p>
          <w:p w14:paraId="00C4F78F" w14:textId="77777777" w:rsidR="00CF729D" w:rsidRPr="00C0499C" w:rsidRDefault="00CF729D" w:rsidP="006C0BCD">
            <w:pPr>
              <w:pStyle w:val="Info"/>
              <w:spacing w:after="0"/>
              <w:rPr>
                <w:rFonts w:ascii="Verdana" w:hAnsi="Verdana"/>
                <w:sz w:val="10"/>
                <w:szCs w:val="10"/>
              </w:rPr>
            </w:pPr>
          </w:p>
        </w:tc>
      </w:tr>
      <w:tr w:rsidR="00CF729D" w:rsidRPr="008805E1" w14:paraId="382040F2" w14:textId="77777777" w:rsidTr="344A445F">
        <w:trPr>
          <w:trHeight w:val="361"/>
        </w:trPr>
        <w:tc>
          <w:tcPr>
            <w:tcW w:w="9638" w:type="dxa"/>
          </w:tcPr>
          <w:p w14:paraId="53592B11" w14:textId="77777777" w:rsidR="00CF729D" w:rsidRPr="008805E1" w:rsidRDefault="00CF729D" w:rsidP="006C0BCD">
            <w:pPr>
              <w:pStyle w:val="ExplanationList"/>
              <w:numPr>
                <w:ilvl w:val="0"/>
                <w:numId w:val="0"/>
              </w:numPr>
              <w:spacing w:after="0"/>
              <w:ind w:right="0"/>
              <w:rPr>
                <w:rFonts w:ascii="Verdana" w:hAnsi="Verdana"/>
                <w:sz w:val="17"/>
                <w:szCs w:val="17"/>
              </w:rPr>
            </w:pPr>
          </w:p>
          <w:p w14:paraId="1ED60714" w14:textId="6DE94832" w:rsidR="00CF729D" w:rsidRDefault="00CF729D" w:rsidP="006C0BCD">
            <w:pPr>
              <w:pStyle w:val="ExplanationList"/>
              <w:numPr>
                <w:ilvl w:val="0"/>
                <w:numId w:val="0"/>
              </w:numPr>
              <w:spacing w:after="0"/>
              <w:ind w:left="1" w:right="0"/>
              <w:rPr>
                <w:rFonts w:ascii="Verdana" w:hAnsi="Verdana"/>
                <w:color w:val="FF0000"/>
                <w:sz w:val="17"/>
                <w:szCs w:val="17"/>
              </w:rPr>
            </w:pPr>
            <w:r>
              <w:rPr>
                <w:rFonts w:ascii="Verdana" w:hAnsi="Verdana"/>
                <w:b/>
                <w:sz w:val="17"/>
              </w:rPr>
              <w:t xml:space="preserve">Outils : </w:t>
            </w:r>
            <w:hyperlink r:id="rId12" w:history="1">
              <w:r w:rsidRPr="00C113F6">
                <w:rPr>
                  <w:rStyle w:val="Hyperlink"/>
                  <w:rFonts w:ascii="Verdana" w:hAnsi="Verdana"/>
                  <w:sz w:val="17"/>
                </w:rPr>
                <w:t>Modèle d’auto-évaluation des capacités TM de la SN</w:t>
              </w:r>
            </w:hyperlink>
            <w:r>
              <w:rPr>
                <w:rFonts w:ascii="Verdana" w:hAnsi="Verdana"/>
                <w:color w:val="FF0000"/>
                <w:sz w:val="17"/>
              </w:rPr>
              <w:t xml:space="preserve"> </w:t>
            </w:r>
          </w:p>
          <w:p w14:paraId="13DA489C" w14:textId="77777777" w:rsidR="00CF729D" w:rsidRPr="007F6223" w:rsidRDefault="00CF729D" w:rsidP="006C0BCD">
            <w:pPr>
              <w:pStyle w:val="ExplanationList"/>
              <w:numPr>
                <w:ilvl w:val="0"/>
                <w:numId w:val="0"/>
              </w:numPr>
              <w:spacing w:after="0"/>
              <w:ind w:left="1" w:right="0"/>
              <w:rPr>
                <w:rFonts w:ascii="Verdana" w:hAnsi="Verdana"/>
                <w:b/>
                <w:bCs/>
                <w:sz w:val="17"/>
                <w:szCs w:val="17"/>
              </w:rPr>
            </w:pPr>
          </w:p>
        </w:tc>
      </w:tr>
    </w:tbl>
    <w:p w14:paraId="612C510C" w14:textId="77777777" w:rsidR="00A542E8" w:rsidRPr="00C0499C" w:rsidRDefault="00A542E8" w:rsidP="00A542E8">
      <w:pPr>
        <w:pStyle w:val="ListParagraph"/>
        <w:numPr>
          <w:ilvl w:val="0"/>
          <w:numId w:val="0"/>
        </w:numPr>
        <w:spacing w:before="0" w:after="200" w:line="276" w:lineRule="auto"/>
        <w:ind w:right="0"/>
        <w:jc w:val="left"/>
        <w:rPr>
          <w:rFonts w:ascii="Verdana" w:hAnsi="Verdana"/>
          <w:sz w:val="16"/>
          <w:szCs w:val="16"/>
        </w:rPr>
      </w:pPr>
    </w:p>
    <w:p w14:paraId="133C7229" w14:textId="54F2D154" w:rsidR="00A542E8" w:rsidRPr="003E7688" w:rsidRDefault="00A542E8" w:rsidP="00A542E8">
      <w:pPr>
        <w:pStyle w:val="ListParagraph"/>
        <w:numPr>
          <w:ilvl w:val="0"/>
          <w:numId w:val="0"/>
        </w:numPr>
        <w:spacing w:before="0" w:after="200" w:line="276" w:lineRule="auto"/>
        <w:ind w:right="0"/>
        <w:jc w:val="left"/>
        <w:rPr>
          <w:rFonts w:ascii="Verdana" w:hAnsi="Verdana"/>
          <w:sz w:val="17"/>
          <w:szCs w:val="17"/>
        </w:rPr>
      </w:pPr>
      <w:r>
        <w:rPr>
          <w:rFonts w:ascii="Verdana" w:hAnsi="Verdana"/>
          <w:sz w:val="17"/>
        </w:rPr>
        <w:t>Exemples de résultats :</w:t>
      </w:r>
    </w:p>
    <w:p w14:paraId="445595B6" w14:textId="77777777" w:rsidR="00A542E8" w:rsidRPr="00C0499C" w:rsidRDefault="00A542E8" w:rsidP="00A542E8">
      <w:pPr>
        <w:pStyle w:val="ListParagraph"/>
        <w:numPr>
          <w:ilvl w:val="0"/>
          <w:numId w:val="0"/>
        </w:numPr>
        <w:spacing w:before="0" w:after="200" w:line="276" w:lineRule="auto"/>
        <w:ind w:right="0"/>
        <w:jc w:val="left"/>
        <w:rPr>
          <w:rFonts w:ascii="Verdana" w:hAnsi="Verdana"/>
          <w:b/>
          <w:bCs/>
          <w:sz w:val="16"/>
          <w:szCs w:val="16"/>
          <w:u w:val="single"/>
        </w:rPr>
      </w:pPr>
    </w:p>
    <w:p w14:paraId="6B349534" w14:textId="54CFD61A" w:rsidR="00A542E8" w:rsidRPr="003E7688" w:rsidRDefault="00A542E8" w:rsidP="003E7688">
      <w:pPr>
        <w:pStyle w:val="ListParagraph"/>
        <w:numPr>
          <w:ilvl w:val="0"/>
          <w:numId w:val="0"/>
        </w:numPr>
        <w:spacing w:before="0" w:after="200" w:line="276" w:lineRule="auto"/>
        <w:ind w:right="0"/>
        <w:jc w:val="left"/>
        <w:rPr>
          <w:rFonts w:ascii="Verdana" w:hAnsi="Verdana"/>
          <w:sz w:val="18"/>
          <w:szCs w:val="18"/>
        </w:rPr>
      </w:pPr>
      <w:r>
        <w:rPr>
          <w:noProof/>
          <w:lang w:val="en-US"/>
        </w:rPr>
        <w:drawing>
          <wp:anchor distT="0" distB="0" distL="114300" distR="114300" simplePos="0" relativeHeight="251659264" behindDoc="1" locked="0" layoutInCell="1" allowOverlap="1" wp14:anchorId="0775B3A9" wp14:editId="507D2577">
            <wp:simplePos x="0" y="0"/>
            <wp:positionH relativeFrom="column">
              <wp:posOffset>-635</wp:posOffset>
            </wp:positionH>
            <wp:positionV relativeFrom="paragraph">
              <wp:posOffset>331362</wp:posOffset>
            </wp:positionV>
            <wp:extent cx="3735070" cy="2042795"/>
            <wp:effectExtent l="0" t="0" r="0" b="1905"/>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Fonts w:ascii="Verdana" w:hAnsi="Verdana"/>
          <w:b/>
          <w:sz w:val="18"/>
          <w:u w:val="single"/>
        </w:rPr>
        <w:t>Domaine 1 : Engagement de la direction</w:t>
      </w:r>
    </w:p>
    <w:tbl>
      <w:tblPr>
        <w:tblStyle w:val="TableGrid"/>
        <w:tblpPr w:leftFromText="180" w:rightFromText="180" w:vertAnchor="text" w:horzAnchor="page" w:tblpX="7094" w:tblpY="93"/>
        <w:tblW w:w="0" w:type="auto"/>
        <w:tblLook w:val="04A0" w:firstRow="1" w:lastRow="0" w:firstColumn="1" w:lastColumn="0" w:noHBand="0" w:noVBand="1"/>
      </w:tblPr>
      <w:tblGrid>
        <w:gridCol w:w="2547"/>
        <w:gridCol w:w="992"/>
      </w:tblGrid>
      <w:tr w:rsidR="00A542E8" w:rsidRPr="002D11B5" w14:paraId="44E710F1" w14:textId="77777777" w:rsidTr="003E7688">
        <w:tc>
          <w:tcPr>
            <w:tcW w:w="2547" w:type="dxa"/>
            <w:shd w:val="clear" w:color="auto" w:fill="D9D9D9" w:themeFill="background1" w:themeFillShade="D9"/>
          </w:tcPr>
          <w:p w14:paraId="470E794B" w14:textId="77777777" w:rsidR="00A542E8" w:rsidRPr="003E7688" w:rsidRDefault="00A542E8" w:rsidP="00A542E8">
            <w:pPr>
              <w:rPr>
                <w:rFonts w:ascii="Verdana" w:hAnsi="Verdana"/>
                <w:b/>
                <w:bCs/>
                <w:sz w:val="17"/>
                <w:szCs w:val="17"/>
              </w:rPr>
            </w:pPr>
            <w:r>
              <w:rPr>
                <w:rFonts w:ascii="Verdana" w:hAnsi="Verdana"/>
                <w:b/>
                <w:sz w:val="17"/>
              </w:rPr>
              <w:t>Élément</w:t>
            </w:r>
          </w:p>
        </w:tc>
        <w:tc>
          <w:tcPr>
            <w:tcW w:w="992" w:type="dxa"/>
            <w:shd w:val="clear" w:color="auto" w:fill="D9D9D9" w:themeFill="background1" w:themeFillShade="D9"/>
          </w:tcPr>
          <w:p w14:paraId="114FFE9A" w14:textId="77777777" w:rsidR="00A542E8" w:rsidRPr="003E7688" w:rsidRDefault="00A542E8" w:rsidP="00A542E8">
            <w:pPr>
              <w:rPr>
                <w:rFonts w:ascii="Verdana" w:hAnsi="Verdana"/>
                <w:b/>
                <w:bCs/>
                <w:sz w:val="17"/>
                <w:szCs w:val="17"/>
              </w:rPr>
            </w:pPr>
            <w:r>
              <w:rPr>
                <w:rFonts w:ascii="Verdana" w:hAnsi="Verdana"/>
                <w:b/>
                <w:sz w:val="17"/>
              </w:rPr>
              <w:t>Score</w:t>
            </w:r>
          </w:p>
        </w:tc>
      </w:tr>
      <w:tr w:rsidR="00A542E8" w14:paraId="6C33983D" w14:textId="77777777" w:rsidTr="003E7688">
        <w:tc>
          <w:tcPr>
            <w:tcW w:w="2547" w:type="dxa"/>
          </w:tcPr>
          <w:p w14:paraId="6F81D3D3" w14:textId="77777777" w:rsidR="00A542E8" w:rsidRPr="003E7688" w:rsidRDefault="00A542E8" w:rsidP="00A542E8">
            <w:pPr>
              <w:rPr>
                <w:rFonts w:ascii="Verdana" w:hAnsi="Verdana"/>
                <w:sz w:val="17"/>
                <w:szCs w:val="17"/>
              </w:rPr>
            </w:pPr>
            <w:r>
              <w:rPr>
                <w:rFonts w:ascii="Verdana" w:hAnsi="Verdana"/>
                <w:sz w:val="17"/>
              </w:rPr>
              <w:t>Vision &amp; stratégie</w:t>
            </w:r>
          </w:p>
        </w:tc>
        <w:tc>
          <w:tcPr>
            <w:tcW w:w="992" w:type="dxa"/>
          </w:tcPr>
          <w:p w14:paraId="62A84388" w14:textId="77777777" w:rsidR="00A542E8" w:rsidRPr="003E7688" w:rsidRDefault="00A542E8" w:rsidP="00A542E8">
            <w:pPr>
              <w:jc w:val="center"/>
              <w:rPr>
                <w:rFonts w:ascii="Verdana" w:hAnsi="Verdana"/>
                <w:sz w:val="17"/>
                <w:szCs w:val="17"/>
              </w:rPr>
            </w:pPr>
            <w:r>
              <w:rPr>
                <w:rFonts w:ascii="Verdana" w:hAnsi="Verdana"/>
                <w:sz w:val="17"/>
              </w:rPr>
              <w:t>1,40</w:t>
            </w:r>
          </w:p>
        </w:tc>
      </w:tr>
      <w:tr w:rsidR="00A542E8" w14:paraId="433C1ECB" w14:textId="77777777" w:rsidTr="003E7688">
        <w:tc>
          <w:tcPr>
            <w:tcW w:w="2547" w:type="dxa"/>
          </w:tcPr>
          <w:p w14:paraId="12644237" w14:textId="77777777" w:rsidR="00A542E8" w:rsidRPr="003E7688" w:rsidRDefault="00A542E8" w:rsidP="00A542E8">
            <w:pPr>
              <w:rPr>
                <w:rFonts w:ascii="Verdana" w:hAnsi="Verdana"/>
                <w:sz w:val="17"/>
                <w:szCs w:val="17"/>
              </w:rPr>
            </w:pPr>
            <w:r>
              <w:rPr>
                <w:rFonts w:ascii="Verdana" w:hAnsi="Verdana"/>
                <w:sz w:val="17"/>
              </w:rPr>
              <w:t>Structure organisationnelle</w:t>
            </w:r>
          </w:p>
        </w:tc>
        <w:tc>
          <w:tcPr>
            <w:tcW w:w="992" w:type="dxa"/>
          </w:tcPr>
          <w:p w14:paraId="2B4CFABE" w14:textId="77777777" w:rsidR="00A542E8" w:rsidRPr="003E7688" w:rsidRDefault="00A542E8" w:rsidP="00A542E8">
            <w:pPr>
              <w:jc w:val="center"/>
              <w:rPr>
                <w:rFonts w:ascii="Verdana" w:hAnsi="Verdana"/>
                <w:sz w:val="17"/>
                <w:szCs w:val="17"/>
              </w:rPr>
            </w:pPr>
            <w:r>
              <w:rPr>
                <w:rFonts w:ascii="Verdana" w:hAnsi="Verdana"/>
                <w:sz w:val="17"/>
              </w:rPr>
              <w:t>2,25</w:t>
            </w:r>
          </w:p>
        </w:tc>
      </w:tr>
      <w:tr w:rsidR="00A542E8" w14:paraId="56283B7E" w14:textId="77777777" w:rsidTr="003E7688">
        <w:tc>
          <w:tcPr>
            <w:tcW w:w="2547" w:type="dxa"/>
          </w:tcPr>
          <w:p w14:paraId="74762E6E" w14:textId="13767439" w:rsidR="00A542E8" w:rsidRPr="003E7688" w:rsidRDefault="00A542E8" w:rsidP="00A542E8">
            <w:pPr>
              <w:rPr>
                <w:rFonts w:ascii="Verdana" w:hAnsi="Verdana"/>
                <w:sz w:val="17"/>
                <w:szCs w:val="17"/>
              </w:rPr>
            </w:pPr>
            <w:r>
              <w:rPr>
                <w:rFonts w:ascii="Verdana" w:hAnsi="Verdana"/>
                <w:sz w:val="17"/>
              </w:rPr>
              <w:t>Plans opérationnels</w:t>
            </w:r>
          </w:p>
        </w:tc>
        <w:tc>
          <w:tcPr>
            <w:tcW w:w="992" w:type="dxa"/>
          </w:tcPr>
          <w:p w14:paraId="74E0263F" w14:textId="77777777" w:rsidR="00A542E8" w:rsidRPr="003E7688" w:rsidRDefault="00A542E8" w:rsidP="00A542E8">
            <w:pPr>
              <w:jc w:val="center"/>
              <w:rPr>
                <w:rFonts w:ascii="Verdana" w:hAnsi="Verdana"/>
                <w:sz w:val="17"/>
                <w:szCs w:val="17"/>
              </w:rPr>
            </w:pPr>
            <w:r>
              <w:rPr>
                <w:rFonts w:ascii="Verdana" w:hAnsi="Verdana"/>
                <w:sz w:val="17"/>
              </w:rPr>
              <w:t>1,17</w:t>
            </w:r>
          </w:p>
        </w:tc>
      </w:tr>
      <w:tr w:rsidR="00A542E8" w14:paraId="5A2CCF35" w14:textId="77777777" w:rsidTr="003E7688">
        <w:tc>
          <w:tcPr>
            <w:tcW w:w="2547" w:type="dxa"/>
          </w:tcPr>
          <w:p w14:paraId="607F2D4F" w14:textId="77777777" w:rsidR="00A542E8" w:rsidRPr="003E7688" w:rsidRDefault="00A542E8" w:rsidP="00A542E8">
            <w:pPr>
              <w:rPr>
                <w:rFonts w:ascii="Verdana" w:hAnsi="Verdana"/>
                <w:b/>
                <w:bCs/>
                <w:sz w:val="17"/>
                <w:szCs w:val="17"/>
              </w:rPr>
            </w:pPr>
            <w:r>
              <w:rPr>
                <w:rFonts w:ascii="Verdana" w:hAnsi="Verdana"/>
                <w:b/>
                <w:sz w:val="17"/>
              </w:rPr>
              <w:t>SCORE DOMAINE</w:t>
            </w:r>
          </w:p>
        </w:tc>
        <w:tc>
          <w:tcPr>
            <w:tcW w:w="992" w:type="dxa"/>
          </w:tcPr>
          <w:p w14:paraId="09FA160E" w14:textId="77777777" w:rsidR="00A542E8" w:rsidRPr="003E7688" w:rsidRDefault="00A542E8" w:rsidP="00A542E8">
            <w:pPr>
              <w:jc w:val="center"/>
              <w:rPr>
                <w:rFonts w:ascii="Verdana" w:hAnsi="Verdana"/>
                <w:b/>
                <w:bCs/>
                <w:sz w:val="17"/>
                <w:szCs w:val="17"/>
              </w:rPr>
            </w:pPr>
            <w:r>
              <w:rPr>
                <w:rFonts w:ascii="Verdana" w:hAnsi="Verdana"/>
                <w:b/>
                <w:sz w:val="17"/>
              </w:rPr>
              <w:t>1,61</w:t>
            </w:r>
          </w:p>
        </w:tc>
      </w:tr>
    </w:tbl>
    <w:p w14:paraId="3A6CAC8E" w14:textId="19628DCF" w:rsidR="00A542E8" w:rsidRPr="00C0499C" w:rsidRDefault="00A542E8" w:rsidP="547A6FD5">
      <w:pPr>
        <w:pStyle w:val="Heading3"/>
        <w:rPr>
          <w:bCs/>
          <w:sz w:val="18"/>
          <w:szCs w:val="18"/>
          <w:u w:val="single"/>
          <w:lang w:val="en-CA"/>
        </w:rPr>
      </w:pPr>
    </w:p>
    <w:p w14:paraId="26C21EDF" w14:textId="40A94820" w:rsidR="00024A09" w:rsidRPr="007F6223" w:rsidRDefault="00F10808" w:rsidP="587F0693">
      <w:pPr>
        <w:pStyle w:val="Heading3"/>
        <w:rPr>
          <w:rFonts w:ascii="Verdana" w:hAnsi="Verdana"/>
        </w:rPr>
      </w:pPr>
      <w:r>
        <w:rPr>
          <w:rFonts w:ascii="Verdana" w:hAnsi="Verdana"/>
        </w:rPr>
        <w:t>VI. Apprentissage TM</w:t>
      </w:r>
    </w:p>
    <w:p w14:paraId="7459DBC7" w14:textId="35B10FAA" w:rsidR="00024A09" w:rsidRPr="00024A09" w:rsidRDefault="00024A09" w:rsidP="344A445F">
      <w:pPr>
        <w:rPr>
          <w:rFonts w:ascii="Verdana" w:hAnsi="Verdana"/>
          <w:i/>
          <w:iCs/>
          <w:sz w:val="18"/>
          <w:szCs w:val="18"/>
        </w:rPr>
      </w:pPr>
      <w:r>
        <w:rPr>
          <w:rFonts w:ascii="Verdana" w:hAnsi="Verdana"/>
          <w:i/>
          <w:sz w:val="18"/>
        </w:rPr>
        <w:t>Décrire toutes les initiatives d’apprentissage organisationnel de TM menées au sein de la SN à ce jour, y compris les simulations, les projets pilotes, les ateliers sur les leçons apprises, les examens à mi-parcours, évaluations, etc.</w:t>
      </w:r>
    </w:p>
    <w:tbl>
      <w:tblPr>
        <w:tblStyle w:val="TableGray"/>
        <w:tblW w:w="0" w:type="auto"/>
        <w:tblCellMar>
          <w:top w:w="28" w:type="dxa"/>
          <w:bottom w:w="28" w:type="dxa"/>
        </w:tblCellMar>
        <w:tblLook w:val="04A0" w:firstRow="1" w:lastRow="0" w:firstColumn="1" w:lastColumn="0" w:noHBand="0" w:noVBand="1"/>
      </w:tblPr>
      <w:tblGrid>
        <w:gridCol w:w="9638"/>
      </w:tblGrid>
      <w:tr w:rsidR="00024A09" w:rsidRPr="008805E1" w14:paraId="336C2CAE" w14:textId="77777777" w:rsidTr="66F5C1A4">
        <w:tc>
          <w:tcPr>
            <w:tcW w:w="9638" w:type="dxa"/>
          </w:tcPr>
          <w:p w14:paraId="55812DB5" w14:textId="77777777" w:rsidR="00024A09" w:rsidRPr="008805E1" w:rsidRDefault="00024A09" w:rsidP="006C0BCD">
            <w:pPr>
              <w:pStyle w:val="Info"/>
              <w:spacing w:after="0"/>
              <w:rPr>
                <w:rFonts w:ascii="Verdana" w:hAnsi="Verdana"/>
                <w:sz w:val="17"/>
                <w:szCs w:val="17"/>
              </w:rPr>
            </w:pPr>
          </w:p>
          <w:p w14:paraId="297733FE" w14:textId="33036399" w:rsidR="00024A09" w:rsidRDefault="00024A09" w:rsidP="006C0BCD">
            <w:pPr>
              <w:pStyle w:val="ExplanationList"/>
              <w:numPr>
                <w:ilvl w:val="0"/>
                <w:numId w:val="0"/>
              </w:numPr>
              <w:spacing w:after="0"/>
              <w:ind w:right="0"/>
              <w:rPr>
                <w:rFonts w:ascii="Verdana" w:hAnsi="Verdana"/>
                <w:sz w:val="17"/>
                <w:szCs w:val="17"/>
              </w:rPr>
            </w:pPr>
            <w:r>
              <w:rPr>
                <w:rFonts w:ascii="Verdana" w:hAnsi="Verdana"/>
                <w:sz w:val="17"/>
              </w:rPr>
              <w:t>Décrire les initiatives d’apprentissage entreprises au sein de la SN, comme les simulations, les projets pilotes, les ateliers sur les leçons apprises, les évaluations, etc. Indiquez les dates, les participants et les points d’apprentissage clés de chacun.</w:t>
            </w:r>
          </w:p>
          <w:p w14:paraId="6339F37E" w14:textId="413F272D" w:rsidR="007F6223" w:rsidRDefault="007F6223" w:rsidP="006C0BCD">
            <w:pPr>
              <w:pStyle w:val="ExplanationList"/>
              <w:numPr>
                <w:ilvl w:val="0"/>
                <w:numId w:val="0"/>
              </w:numPr>
              <w:spacing w:after="0"/>
              <w:ind w:right="0"/>
              <w:rPr>
                <w:rFonts w:ascii="Verdana" w:hAnsi="Verdana"/>
                <w:sz w:val="17"/>
                <w:szCs w:val="17"/>
              </w:rPr>
            </w:pPr>
          </w:p>
          <w:p w14:paraId="02E201D0" w14:textId="62775005" w:rsidR="00024A09" w:rsidRPr="008805E1" w:rsidRDefault="00024A09" w:rsidP="006C0BCD">
            <w:pPr>
              <w:pStyle w:val="Info"/>
              <w:spacing w:after="0"/>
              <w:rPr>
                <w:rFonts w:ascii="Verdana" w:hAnsi="Verdana"/>
                <w:sz w:val="17"/>
                <w:szCs w:val="17"/>
              </w:rPr>
            </w:pPr>
          </w:p>
        </w:tc>
      </w:tr>
    </w:tbl>
    <w:p w14:paraId="7A12AA15" w14:textId="70F2D0B4" w:rsidR="3B7D4449" w:rsidRDefault="3B7D4449" w:rsidP="66F5C1A4">
      <w:pPr>
        <w:pStyle w:val="Heading3"/>
        <w:rPr>
          <w:rFonts w:ascii="Verdana" w:hAnsi="Verdana"/>
        </w:rPr>
      </w:pPr>
      <w:r>
        <w:rPr>
          <w:rFonts w:ascii="Verdana" w:hAnsi="Verdana"/>
        </w:rPr>
        <w:t xml:space="preserve">VII. Initiatives NSD existantes </w:t>
      </w:r>
    </w:p>
    <w:p w14:paraId="155D4A96" w14:textId="560CC96C" w:rsidR="3B7D4449" w:rsidRDefault="3B7D4449" w:rsidP="66F5C1A4">
      <w:pPr>
        <w:rPr>
          <w:rFonts w:ascii="Verdana" w:hAnsi="Verdana"/>
          <w:i/>
          <w:iCs/>
          <w:sz w:val="18"/>
          <w:szCs w:val="18"/>
        </w:rPr>
      </w:pPr>
      <w:r>
        <w:rPr>
          <w:rFonts w:ascii="Verdana" w:hAnsi="Verdana"/>
          <w:i/>
          <w:sz w:val="18"/>
        </w:rPr>
        <w:t>Décrire toute initiative D</w:t>
      </w:r>
      <w:r w:rsidR="002725B1">
        <w:rPr>
          <w:rFonts w:ascii="Verdana" w:hAnsi="Verdana"/>
          <w:i/>
          <w:sz w:val="18"/>
        </w:rPr>
        <w:t>SN</w:t>
      </w:r>
      <w:r>
        <w:rPr>
          <w:rFonts w:ascii="Verdana" w:hAnsi="Verdana"/>
          <w:i/>
          <w:sz w:val="18"/>
        </w:rPr>
        <w:t xml:space="preserve"> existante (par exemple PRE) et la manière dont le programme </w:t>
      </w:r>
      <w:r w:rsidR="002B46F3">
        <w:rPr>
          <w:rFonts w:ascii="Verdana" w:hAnsi="Verdana"/>
          <w:i/>
          <w:sz w:val="18"/>
        </w:rPr>
        <w:t xml:space="preserve">en PTM </w:t>
      </w:r>
      <w:r>
        <w:rPr>
          <w:rFonts w:ascii="Verdana" w:hAnsi="Verdana"/>
          <w:i/>
          <w:sz w:val="18"/>
        </w:rPr>
        <w:t>y est lié</w:t>
      </w:r>
      <w:r w:rsidR="00204221">
        <w:rPr>
          <w:rFonts w:ascii="Verdana" w:hAnsi="Verdana"/>
          <w:i/>
          <w:sz w:val="18"/>
        </w:rPr>
        <w:t>e</w:t>
      </w:r>
      <w:r>
        <w:rPr>
          <w:rFonts w:ascii="Verdana" w:hAnsi="Verdana"/>
          <w:i/>
          <w:sz w:val="18"/>
        </w:rPr>
        <w:t xml:space="preserve">. </w:t>
      </w:r>
    </w:p>
    <w:p w14:paraId="4B973571" w14:textId="63023D98" w:rsidR="66F5C1A4" w:rsidRPr="00C0499C" w:rsidRDefault="66F5C1A4" w:rsidP="66F5C1A4">
      <w:pPr>
        <w:rPr>
          <w:rFonts w:ascii="Verdana" w:hAnsi="Verdana"/>
          <w:i/>
          <w:iCs/>
          <w:sz w:val="12"/>
          <w:szCs w:val="12"/>
        </w:rPr>
      </w:pPr>
    </w:p>
    <w:p w14:paraId="378B7066" w14:textId="5236E062" w:rsidR="00F10808" w:rsidRPr="008805E1" w:rsidRDefault="00024A09" w:rsidP="66F5C1A4">
      <w:pPr>
        <w:pStyle w:val="Heading3"/>
        <w:rPr>
          <w:rFonts w:ascii="Verdana" w:hAnsi="Verdana"/>
          <w:i/>
          <w:iCs/>
        </w:rPr>
      </w:pPr>
      <w:r>
        <w:rPr>
          <w:rFonts w:ascii="Verdana" w:hAnsi="Verdana"/>
        </w:rPr>
        <w:t>VIII. Conclusions générales</w:t>
      </w:r>
    </w:p>
    <w:p w14:paraId="4E8B30A4" w14:textId="5867BC49" w:rsidR="007F6223" w:rsidRDefault="00F10808" w:rsidP="007F6223">
      <w:pPr>
        <w:rPr>
          <w:rFonts w:ascii="Verdana" w:hAnsi="Verdana"/>
          <w:i/>
          <w:sz w:val="18"/>
          <w:szCs w:val="18"/>
        </w:rPr>
      </w:pPr>
      <w:r>
        <w:rPr>
          <w:rFonts w:ascii="Verdana" w:hAnsi="Verdana"/>
          <w:i/>
          <w:sz w:val="18"/>
        </w:rPr>
        <w:t xml:space="preserve">Donner un bref aperçu des conclusions qui peuvent être tirées des informations fournies dans les sections ci-dessus.  </w:t>
      </w:r>
    </w:p>
    <w:p w14:paraId="2C718783" w14:textId="446853B8" w:rsidR="007F6223" w:rsidRPr="00C0499C" w:rsidRDefault="007F6223" w:rsidP="007F6223">
      <w:pPr>
        <w:pStyle w:val="Info"/>
        <w:spacing w:after="0"/>
        <w:rPr>
          <w:rFonts w:ascii="Verdana" w:hAnsi="Verdana"/>
          <w:sz w:val="12"/>
          <w:szCs w:val="12"/>
        </w:rPr>
      </w:pPr>
    </w:p>
    <w:p w14:paraId="71608AD7" w14:textId="4398095A" w:rsidR="007F6223" w:rsidRDefault="590AB8C4" w:rsidP="007F6223">
      <w:pPr>
        <w:pStyle w:val="Info"/>
        <w:spacing w:after="0"/>
        <w:rPr>
          <w:rFonts w:ascii="Verdana" w:hAnsi="Verdana"/>
          <w:sz w:val="17"/>
          <w:szCs w:val="17"/>
        </w:rPr>
      </w:pPr>
      <w:r>
        <w:rPr>
          <w:rFonts w:ascii="Verdana" w:hAnsi="Verdana"/>
          <w:sz w:val="17"/>
        </w:rPr>
        <w:t xml:space="preserve">Résumez les prochaines étapes prises pour améliorer la capacité organisationnelle de TM de la SN en fonction des conclusions de l’auto-évaluation de la capacité de TM et du plan d’action de </w:t>
      </w:r>
      <w:r w:rsidR="002B46F3">
        <w:rPr>
          <w:rFonts w:ascii="Verdana" w:hAnsi="Verdana"/>
          <w:sz w:val="17"/>
        </w:rPr>
        <w:t>PTM</w:t>
      </w:r>
      <w:r>
        <w:rPr>
          <w:rFonts w:ascii="Verdana" w:hAnsi="Verdana"/>
          <w:sz w:val="17"/>
        </w:rPr>
        <w:t>. Signaler tout écart de capacité.</w:t>
      </w:r>
    </w:p>
    <w:p w14:paraId="55CE47B7" w14:textId="77777777" w:rsidR="00D3771A" w:rsidRDefault="00D3771A" w:rsidP="007F6223">
      <w:pPr>
        <w:pStyle w:val="Info"/>
        <w:spacing w:after="0"/>
        <w:rPr>
          <w:rFonts w:ascii="Verdana" w:hAnsi="Verdana"/>
          <w:sz w:val="17"/>
          <w:szCs w:val="17"/>
        </w:rPr>
      </w:pPr>
    </w:p>
    <w:p w14:paraId="5E919B76" w14:textId="71F49AF2" w:rsidR="00D3771A" w:rsidRDefault="00D21641" w:rsidP="007F6223">
      <w:pPr>
        <w:pStyle w:val="Info"/>
        <w:spacing w:after="0"/>
        <w:rPr>
          <w:rFonts w:ascii="Verdana" w:hAnsi="Verdana"/>
          <w:sz w:val="17"/>
          <w:szCs w:val="17"/>
        </w:rPr>
      </w:pPr>
      <w:r>
        <w:rPr>
          <w:rFonts w:ascii="Verdana" w:hAnsi="Verdana"/>
          <w:sz w:val="17"/>
        </w:rPr>
        <w:t>Les documents ci-après devraient être joints en annexe au rapport de référence :</w:t>
      </w:r>
    </w:p>
    <w:p w14:paraId="22B54CA5" w14:textId="77777777" w:rsidR="00D3771A" w:rsidRDefault="00D3771A" w:rsidP="007F6223">
      <w:pPr>
        <w:pStyle w:val="Info"/>
        <w:spacing w:after="0"/>
        <w:rPr>
          <w:rFonts w:ascii="Verdana" w:hAnsi="Verdana"/>
          <w:sz w:val="17"/>
          <w:szCs w:val="17"/>
        </w:rPr>
      </w:pPr>
    </w:p>
    <w:p w14:paraId="05C2C91A" w14:textId="0E37750E" w:rsidR="6DE13C73" w:rsidRDefault="6DE13C73" w:rsidP="344A445F">
      <w:pPr>
        <w:pStyle w:val="Info"/>
        <w:spacing w:after="0"/>
        <w:rPr>
          <w:rFonts w:ascii="Verdana" w:hAnsi="Verdana"/>
          <w:sz w:val="17"/>
          <w:szCs w:val="17"/>
        </w:rPr>
      </w:pPr>
      <w:r>
        <w:rPr>
          <w:rFonts w:ascii="Verdana" w:hAnsi="Verdana"/>
          <w:sz w:val="17"/>
        </w:rPr>
        <w:t xml:space="preserve">Données pertinentes de </w:t>
      </w:r>
      <w:proofErr w:type="spellStart"/>
      <w:r>
        <w:rPr>
          <w:rFonts w:ascii="Verdana" w:hAnsi="Verdana"/>
          <w:sz w:val="17"/>
        </w:rPr>
        <w:t>Counting</w:t>
      </w:r>
      <w:proofErr w:type="spellEnd"/>
      <w:r>
        <w:rPr>
          <w:rFonts w:ascii="Verdana" w:hAnsi="Verdana"/>
          <w:sz w:val="17"/>
        </w:rPr>
        <w:t xml:space="preserve"> Cash</w:t>
      </w:r>
    </w:p>
    <w:p w14:paraId="5D45F99B" w14:textId="07A5824E" w:rsidR="00D3771A" w:rsidRDefault="00D3771A" w:rsidP="007F6223">
      <w:pPr>
        <w:pStyle w:val="Info"/>
        <w:spacing w:after="0"/>
        <w:rPr>
          <w:rFonts w:ascii="Verdana" w:hAnsi="Verdana"/>
          <w:sz w:val="17"/>
          <w:szCs w:val="17"/>
        </w:rPr>
      </w:pPr>
      <w:r>
        <w:rPr>
          <w:rFonts w:ascii="Verdana" w:hAnsi="Verdana"/>
          <w:sz w:val="17"/>
        </w:rPr>
        <w:t>Résultats de l’auto-évaluation de la capacité de TM (fichier Excel)</w:t>
      </w:r>
    </w:p>
    <w:p w14:paraId="74966D44" w14:textId="3AABA8B9" w:rsidR="00D3771A" w:rsidRDefault="00D3771A" w:rsidP="007F6223">
      <w:pPr>
        <w:pStyle w:val="Info"/>
        <w:spacing w:after="0"/>
        <w:rPr>
          <w:rFonts w:ascii="Verdana" w:hAnsi="Verdana"/>
          <w:sz w:val="17"/>
          <w:szCs w:val="17"/>
        </w:rPr>
      </w:pPr>
      <w:r>
        <w:rPr>
          <w:rFonts w:ascii="Verdana" w:hAnsi="Verdana"/>
          <w:sz w:val="17"/>
        </w:rPr>
        <w:t xml:space="preserve">Plan d’action de </w:t>
      </w:r>
      <w:r w:rsidR="002B46F3">
        <w:rPr>
          <w:rFonts w:ascii="Verdana" w:hAnsi="Verdana"/>
          <w:sz w:val="17"/>
        </w:rPr>
        <w:t>PTM</w:t>
      </w:r>
    </w:p>
    <w:p w14:paraId="5EE7A5F9" w14:textId="74822DC4" w:rsidR="0075186F" w:rsidRPr="00C0499C" w:rsidRDefault="00D3771A" w:rsidP="00C0499C">
      <w:pPr>
        <w:pStyle w:val="Info"/>
        <w:spacing w:after="0"/>
        <w:rPr>
          <w:rFonts w:ascii="Verdana" w:hAnsi="Verdana"/>
          <w:sz w:val="17"/>
          <w:szCs w:val="17"/>
        </w:rPr>
      </w:pPr>
      <w:r>
        <w:rPr>
          <w:rFonts w:ascii="Verdana" w:hAnsi="Verdana"/>
          <w:sz w:val="17"/>
        </w:rPr>
        <w:lastRenderedPageBreak/>
        <w:t>Tout document supplémentaire issu des discussions de l’atelier sur la vision TM</w:t>
      </w:r>
    </w:p>
    <w:sectPr w:rsidR="0075186F" w:rsidRPr="00C0499C" w:rsidSect="00C0499C">
      <w:footerReference w:type="even" r:id="rId14"/>
      <w:footerReference w:type="default" r:id="rId15"/>
      <w:footerReference w:type="first" r:id="rId16"/>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77F45" w14:textId="77777777" w:rsidR="00BD3C5E" w:rsidRDefault="00BD3C5E" w:rsidP="001B048C">
      <w:r>
        <w:separator/>
      </w:r>
    </w:p>
  </w:endnote>
  <w:endnote w:type="continuationSeparator" w:id="0">
    <w:p w14:paraId="1EEED0C8" w14:textId="77777777" w:rsidR="00BD3C5E" w:rsidRDefault="00BD3C5E" w:rsidP="001B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7B4D9" w14:textId="06230C9A" w:rsidR="00B55A2C" w:rsidRDefault="00B55A2C">
    <w:pPr>
      <w:pStyle w:val="Footer"/>
    </w:pPr>
    <w:r>
      <w:rPr>
        <w:noProof/>
        <w:lang w:val="en-US"/>
      </w:rPr>
      <mc:AlternateContent>
        <mc:Choice Requires="wps">
          <w:drawing>
            <wp:anchor distT="0" distB="0" distL="0" distR="0" simplePos="0" relativeHeight="251659264" behindDoc="0" locked="0" layoutInCell="1" allowOverlap="1" wp14:anchorId="09A71C3B" wp14:editId="527342BB">
              <wp:simplePos x="635" y="635"/>
              <wp:positionH relativeFrom="page">
                <wp:align>left</wp:align>
              </wp:positionH>
              <wp:positionV relativeFrom="page">
                <wp:align>bottom</wp:align>
              </wp:positionV>
              <wp:extent cx="633095" cy="345440"/>
              <wp:effectExtent l="0" t="0" r="1270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1F833952" w14:textId="083ACA65" w:rsidR="00B55A2C" w:rsidRPr="008A7D14" w:rsidRDefault="00B55A2C" w:rsidP="008A7D14">
                          <w:pPr>
                            <w:spacing w:after="0"/>
                            <w:rPr>
                              <w:rFonts w:ascii="Calibri" w:eastAsia="Calibri" w:hAnsi="Calibri" w:cs="Calibri"/>
                              <w:noProof/>
                              <w:color w:val="000000"/>
                            </w:rPr>
                          </w:pPr>
                          <w:r>
                            <w:rPr>
                              <w:rFonts w:ascii="Calibri" w:hAnsi="Calibri"/>
                              <w:color w:val="00000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A71C3B" id="_x0000_t202" coordsize="21600,21600" o:spt="202" path="m,l,21600r21600,l21600,xe">
              <v:stroke joinstyle="miter"/>
              <v:path gradientshapeok="t" o:connecttype="rect"/>
            </v:shapetype>
            <v:shape id="Text Box 2" o:spid="_x0000_s1026" type="#_x0000_t202" alt="Internal" style="position:absolute;margin-left:0;margin-top:0;width:49.8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" filled="f" stroked="f">
              <v:textbox style="mso-fit-shape-to-text:t" inset="20pt,0,0,15pt">
                <w:txbxContent>
                  <w:p w14:paraId="1F833952" w14:textId="083ACA65" w:rsidR="00B55A2C" w:rsidRPr="008A7D14" w:rsidRDefault="00B55A2C" w:rsidP="008A7D14">
                    <w:pPr>
                      <w:spacing w:after="0"/>
                      <w:rPr>
                        <w:rFonts w:ascii="Calibri" w:eastAsia="Calibri" w:hAnsi="Calibri" w:cs="Calibri"/>
                        <w:noProof/>
                        <w:color w:val="000000"/>
                      </w:rPr>
                    </w:pPr>
                    <w:r>
                      <w:rPr>
                        <w:rFonts w:ascii="Calibri" w:hAnsi="Calibri"/>
                        <w:color w:val="00000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9996E" w14:textId="1EA0B839" w:rsidR="00B55A2C" w:rsidRPr="00B45C74" w:rsidRDefault="00B55A2C" w:rsidP="006C0BCD">
    <w:pPr>
      <w:framePr w:wrap="around" w:vAnchor="text" w:hAnchor="margin" w:xAlign="right" w:y="1"/>
      <w:tabs>
        <w:tab w:val="center" w:pos="4320"/>
        <w:tab w:val="right" w:pos="8640"/>
      </w:tabs>
      <w:spacing w:after="0"/>
      <w:rPr>
        <w:b/>
        <w:color w:val="808080" w:themeColor="background1" w:themeShade="80"/>
        <w:sz w:val="18"/>
        <w:szCs w:val="18"/>
      </w:rPr>
    </w:pPr>
    <w:r>
      <w:rPr>
        <w:b/>
        <w:noProof/>
        <w:color w:val="808080" w:themeColor="background1" w:themeShade="80"/>
        <w:sz w:val="18"/>
        <w:lang w:val="en-US"/>
      </w:rPr>
      <mc:AlternateContent>
        <mc:Choice Requires="wps">
          <w:drawing>
            <wp:anchor distT="0" distB="0" distL="0" distR="0" simplePos="0" relativeHeight="251660288" behindDoc="0" locked="0" layoutInCell="1" allowOverlap="1" wp14:anchorId="16C81908" wp14:editId="2702F0F7">
              <wp:simplePos x="635" y="635"/>
              <wp:positionH relativeFrom="page">
                <wp:align>left</wp:align>
              </wp:positionH>
              <wp:positionV relativeFrom="page">
                <wp:align>bottom</wp:align>
              </wp:positionV>
              <wp:extent cx="633095" cy="345440"/>
              <wp:effectExtent l="0" t="0" r="1270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137B4A3A" w14:textId="7BDB4C16" w:rsidR="00B55A2C" w:rsidRPr="008A7D14" w:rsidRDefault="00B55A2C" w:rsidP="008A7D14">
                          <w:pPr>
                            <w:spacing w:after="0"/>
                            <w:rPr>
                              <w:rFonts w:ascii="Calibri" w:eastAsia="Calibri" w:hAnsi="Calibri" w:cs="Calibri"/>
                              <w:noProof/>
                              <w:color w:val="000000"/>
                            </w:rPr>
                          </w:pPr>
                          <w:r>
                            <w:rPr>
                              <w:rFonts w:ascii="Calibri" w:hAnsi="Calibri"/>
                              <w:color w:val="00000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C81908" id="_x0000_t202" coordsize="21600,21600" o:spt="202" path="m,l,21600r21600,l21600,xe">
              <v:stroke joinstyle="miter"/>
              <v:path gradientshapeok="t" o:connecttype="rect"/>
            </v:shapetype>
            <v:shape id="Text Box 3" o:spid="_x0000_s1027" type="#_x0000_t202" alt="Internal" style="position:absolute;left:0;text-align:left;margin-left:0;margin-top:0;width:49.8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" filled="f" stroked="f">
              <v:textbox style="mso-fit-shape-to-text:t" inset="20pt,0,0,15pt">
                <w:txbxContent>
                  <w:p w14:paraId="137B4A3A" w14:textId="7BDB4C16" w:rsidR="00B55A2C" w:rsidRPr="008A7D14" w:rsidRDefault="00B55A2C" w:rsidP="008A7D14">
                    <w:pPr>
                      <w:spacing w:after="0"/>
                      <w:rPr>
                        <w:rFonts w:ascii="Calibri" w:eastAsia="Calibri" w:hAnsi="Calibri" w:cs="Calibri"/>
                        <w:noProof/>
                        <w:color w:val="000000"/>
                      </w:rPr>
                    </w:pPr>
                    <w:r>
                      <w:rPr>
                        <w:rFonts w:ascii="Calibri" w:hAnsi="Calibri"/>
                        <w:color w:val="000000"/>
                      </w:rPr>
                      <w:t>Interne</w:t>
                    </w:r>
                  </w:p>
                </w:txbxContent>
              </v:textbox>
              <w10:wrap anchorx="page" anchory="page"/>
            </v:shape>
          </w:pict>
        </mc:Fallback>
      </mc:AlternateContent>
    </w:r>
    <w:r w:rsidRPr="00B45C74">
      <w:rPr>
        <w:b/>
        <w:color w:val="808080" w:themeColor="background1" w:themeShade="80"/>
        <w:sz w:val="18"/>
      </w:rPr>
      <w:fldChar w:fldCharType="begin"/>
    </w:r>
    <w:r w:rsidRPr="00B45C74">
      <w:rPr>
        <w:b/>
        <w:color w:val="808080" w:themeColor="background1" w:themeShade="80"/>
        <w:sz w:val="18"/>
      </w:rPr>
      <w:instrText xml:space="preserve">PAGE  </w:instrText>
    </w:r>
    <w:r w:rsidRPr="00B45C74">
      <w:rPr>
        <w:b/>
        <w:color w:val="808080" w:themeColor="background1" w:themeShade="80"/>
        <w:sz w:val="18"/>
      </w:rPr>
      <w:fldChar w:fldCharType="separate"/>
    </w:r>
    <w:r w:rsidR="00204221">
      <w:rPr>
        <w:b/>
        <w:noProof/>
        <w:color w:val="808080" w:themeColor="background1" w:themeShade="80"/>
        <w:sz w:val="18"/>
      </w:rPr>
      <w:t>5</w:t>
    </w:r>
    <w:r w:rsidRPr="00B45C74">
      <w:rPr>
        <w:b/>
        <w:color w:val="808080" w:themeColor="background1" w:themeShade="80"/>
        <w:sz w:val="18"/>
      </w:rPr>
      <w:fldChar w:fldCharType="end"/>
    </w:r>
  </w:p>
  <w:p w14:paraId="70AFF8E2" w14:textId="70D10FB5" w:rsidR="00B55A2C" w:rsidRPr="00190541" w:rsidRDefault="00B55A2C" w:rsidP="006C0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B860" w14:textId="04741075" w:rsidR="00B55A2C" w:rsidRDefault="00B55A2C">
    <w:pPr>
      <w:pStyle w:val="Footer"/>
    </w:pPr>
    <w:r>
      <w:rPr>
        <w:noProof/>
        <w:lang w:val="en-US"/>
      </w:rPr>
      <mc:AlternateContent>
        <mc:Choice Requires="wps">
          <w:drawing>
            <wp:anchor distT="0" distB="0" distL="0" distR="0" simplePos="0" relativeHeight="251658240" behindDoc="0" locked="0" layoutInCell="1" allowOverlap="1" wp14:anchorId="73A81318" wp14:editId="199484B1">
              <wp:simplePos x="635" y="635"/>
              <wp:positionH relativeFrom="page">
                <wp:align>left</wp:align>
              </wp:positionH>
              <wp:positionV relativeFrom="page">
                <wp:align>bottom</wp:align>
              </wp:positionV>
              <wp:extent cx="633095" cy="345440"/>
              <wp:effectExtent l="0" t="0" r="1270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3F0732A3" w14:textId="122E6990" w:rsidR="00B55A2C" w:rsidRPr="008A7D14" w:rsidRDefault="00B55A2C" w:rsidP="008A7D14">
                          <w:pPr>
                            <w:spacing w:after="0"/>
                            <w:rPr>
                              <w:rFonts w:ascii="Calibri" w:eastAsia="Calibri" w:hAnsi="Calibri" w:cs="Calibri"/>
                              <w:noProof/>
                              <w:color w:val="000000"/>
                            </w:rPr>
                          </w:pPr>
                          <w:r>
                            <w:rPr>
                              <w:rFonts w:ascii="Calibri" w:hAnsi="Calibri"/>
                              <w:color w:val="00000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A81318" id="_x0000_t202" coordsize="21600,21600" o:spt="202" path="m,l,21600r21600,l21600,xe">
              <v:stroke joinstyle="miter"/>
              <v:path gradientshapeok="t" o:connecttype="rect"/>
            </v:shapetype>
            <v:shape id="Text Box 1" o:spid="_x0000_s1028" type="#_x0000_t202" alt="Internal" style="position:absolute;margin-left:0;margin-top:0;width:49.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" filled="f" stroked="f">
              <v:textbox style="mso-fit-shape-to-text:t" inset="20pt,0,0,15pt">
                <w:txbxContent>
                  <w:p w14:paraId="3F0732A3" w14:textId="122E6990" w:rsidR="00B55A2C" w:rsidRPr="008A7D14" w:rsidRDefault="00B55A2C" w:rsidP="008A7D14">
                    <w:pPr>
                      <w:spacing w:after="0"/>
                      <w:rPr>
                        <w:rFonts w:ascii="Calibri" w:eastAsia="Calibri" w:hAnsi="Calibri" w:cs="Calibri"/>
                        <w:noProof/>
                        <w:color w:val="000000"/>
                      </w:rPr>
                    </w:pPr>
                    <w:r>
                      <w:rPr>
                        <w:rFonts w:ascii="Calibri" w:hAnsi="Calibri"/>
                        <w:color w:val="00000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881AF" w14:textId="77777777" w:rsidR="00BD3C5E" w:rsidRDefault="00BD3C5E" w:rsidP="001B048C">
      <w:r>
        <w:separator/>
      </w:r>
    </w:p>
  </w:footnote>
  <w:footnote w:type="continuationSeparator" w:id="0">
    <w:p w14:paraId="2E0ECD5D" w14:textId="77777777" w:rsidR="00BD3C5E" w:rsidRDefault="00BD3C5E" w:rsidP="001B0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244"/>
    <w:multiLevelType w:val="hybridMultilevel"/>
    <w:tmpl w:val="33300F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02B2E"/>
    <w:multiLevelType w:val="hybridMultilevel"/>
    <w:tmpl w:val="98DCA1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35C7E23"/>
    <w:multiLevelType w:val="hybridMultilevel"/>
    <w:tmpl w:val="92706D8A"/>
    <w:lvl w:ilvl="0" w:tplc="CAD4AE2E">
      <w:start w:val="1"/>
      <w:numFmt w:val="bullet"/>
      <w:pStyle w:val="ListParagraph"/>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14C24"/>
    <w:multiLevelType w:val="hybridMultilevel"/>
    <w:tmpl w:val="4426F276"/>
    <w:lvl w:ilvl="0" w:tplc="4118945C">
      <w:start w:val="1"/>
      <w:numFmt w:val="decimal"/>
      <w:pStyle w:val="ExplanationList"/>
      <w:lvlText w:val="%1."/>
      <w:lvlJc w:val="left"/>
      <w:pPr>
        <w:tabs>
          <w:tab w:val="num" w:pos="720"/>
        </w:tabs>
        <w:ind w:left="720" w:hanging="360"/>
      </w:pPr>
    </w:lvl>
    <w:lvl w:ilvl="1" w:tplc="5B4E25B6" w:tentative="1">
      <w:start w:val="1"/>
      <w:numFmt w:val="decimal"/>
      <w:lvlText w:val="%2."/>
      <w:lvlJc w:val="left"/>
      <w:pPr>
        <w:tabs>
          <w:tab w:val="num" w:pos="1440"/>
        </w:tabs>
        <w:ind w:left="1440" w:hanging="360"/>
      </w:pPr>
    </w:lvl>
    <w:lvl w:ilvl="2" w:tplc="26AA929C" w:tentative="1">
      <w:start w:val="1"/>
      <w:numFmt w:val="decimal"/>
      <w:lvlText w:val="%3."/>
      <w:lvlJc w:val="left"/>
      <w:pPr>
        <w:tabs>
          <w:tab w:val="num" w:pos="2160"/>
        </w:tabs>
        <w:ind w:left="2160" w:hanging="360"/>
      </w:pPr>
    </w:lvl>
    <w:lvl w:ilvl="3" w:tplc="E6003256" w:tentative="1">
      <w:start w:val="1"/>
      <w:numFmt w:val="decimal"/>
      <w:lvlText w:val="%4."/>
      <w:lvlJc w:val="left"/>
      <w:pPr>
        <w:tabs>
          <w:tab w:val="num" w:pos="2880"/>
        </w:tabs>
        <w:ind w:left="2880" w:hanging="360"/>
      </w:pPr>
    </w:lvl>
    <w:lvl w:ilvl="4" w:tplc="83ACCCE0" w:tentative="1">
      <w:start w:val="1"/>
      <w:numFmt w:val="decimal"/>
      <w:lvlText w:val="%5."/>
      <w:lvlJc w:val="left"/>
      <w:pPr>
        <w:tabs>
          <w:tab w:val="num" w:pos="3600"/>
        </w:tabs>
        <w:ind w:left="3600" w:hanging="360"/>
      </w:pPr>
    </w:lvl>
    <w:lvl w:ilvl="5" w:tplc="2E8E4CA4" w:tentative="1">
      <w:start w:val="1"/>
      <w:numFmt w:val="decimal"/>
      <w:lvlText w:val="%6."/>
      <w:lvlJc w:val="left"/>
      <w:pPr>
        <w:tabs>
          <w:tab w:val="num" w:pos="4320"/>
        </w:tabs>
        <w:ind w:left="4320" w:hanging="360"/>
      </w:pPr>
    </w:lvl>
    <w:lvl w:ilvl="6" w:tplc="8B00F3F2" w:tentative="1">
      <w:start w:val="1"/>
      <w:numFmt w:val="decimal"/>
      <w:lvlText w:val="%7."/>
      <w:lvlJc w:val="left"/>
      <w:pPr>
        <w:tabs>
          <w:tab w:val="num" w:pos="5040"/>
        </w:tabs>
        <w:ind w:left="5040" w:hanging="360"/>
      </w:pPr>
    </w:lvl>
    <w:lvl w:ilvl="7" w:tplc="16E6CA4E" w:tentative="1">
      <w:start w:val="1"/>
      <w:numFmt w:val="decimal"/>
      <w:lvlText w:val="%8."/>
      <w:lvlJc w:val="left"/>
      <w:pPr>
        <w:tabs>
          <w:tab w:val="num" w:pos="5760"/>
        </w:tabs>
        <w:ind w:left="5760" w:hanging="360"/>
      </w:pPr>
    </w:lvl>
    <w:lvl w:ilvl="8" w:tplc="865ACB74" w:tentative="1">
      <w:start w:val="1"/>
      <w:numFmt w:val="decimal"/>
      <w:lvlText w:val="%9."/>
      <w:lvlJc w:val="left"/>
      <w:pPr>
        <w:tabs>
          <w:tab w:val="num" w:pos="6480"/>
        </w:tabs>
        <w:ind w:left="6480" w:hanging="360"/>
      </w:pPr>
    </w:lvl>
  </w:abstractNum>
  <w:abstractNum w:abstractNumId="10" w15:restartNumberingAfterBreak="0">
    <w:nsid w:val="7AA974F7"/>
    <w:multiLevelType w:val="hybridMultilevel"/>
    <w:tmpl w:val="7E7E1208"/>
    <w:lvl w:ilvl="0" w:tplc="8DCC6830">
      <w:start w:val="2"/>
      <w:numFmt w:val="bullet"/>
      <w:lvlText w:val="-"/>
      <w:lvlJc w:val="left"/>
      <w:pPr>
        <w:ind w:left="720" w:hanging="360"/>
      </w:pPr>
      <w:rPr>
        <w:rFonts w:ascii="Verdana" w:eastAsiaTheme="minorEastAs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709174">
    <w:abstractNumId w:val="1"/>
  </w:num>
  <w:num w:numId="2" w16cid:durableId="1485464458">
    <w:abstractNumId w:val="3"/>
  </w:num>
  <w:num w:numId="3" w16cid:durableId="2077507341">
    <w:abstractNumId w:val="6"/>
  </w:num>
  <w:num w:numId="4" w16cid:durableId="1743672204">
    <w:abstractNumId w:val="9"/>
  </w:num>
  <w:num w:numId="5" w16cid:durableId="956369959">
    <w:abstractNumId w:val="0"/>
  </w:num>
  <w:num w:numId="6" w16cid:durableId="1938364267">
    <w:abstractNumId w:val="9"/>
    <w:lvlOverride w:ilvl="0">
      <w:startOverride w:val="1"/>
    </w:lvlOverride>
  </w:num>
  <w:num w:numId="7" w16cid:durableId="602497224">
    <w:abstractNumId w:val="9"/>
    <w:lvlOverride w:ilvl="0">
      <w:startOverride w:val="1"/>
    </w:lvlOverride>
  </w:num>
  <w:num w:numId="8" w16cid:durableId="1243104073">
    <w:abstractNumId w:val="9"/>
    <w:lvlOverride w:ilvl="0">
      <w:startOverride w:val="1"/>
    </w:lvlOverride>
  </w:num>
  <w:num w:numId="9" w16cid:durableId="1978100795">
    <w:abstractNumId w:val="2"/>
  </w:num>
  <w:num w:numId="10" w16cid:durableId="797604713">
    <w:abstractNumId w:val="5"/>
  </w:num>
  <w:num w:numId="11" w16cid:durableId="2016108713">
    <w:abstractNumId w:val="8"/>
  </w:num>
  <w:num w:numId="12" w16cid:durableId="421803024">
    <w:abstractNumId w:val="7"/>
  </w:num>
  <w:num w:numId="13" w16cid:durableId="825826940">
    <w:abstractNumId w:val="10"/>
  </w:num>
  <w:num w:numId="14" w16cid:durableId="14280420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A0B"/>
    <w:rsid w:val="00006BBF"/>
    <w:rsid w:val="00010C9E"/>
    <w:rsid w:val="00024A09"/>
    <w:rsid w:val="00030CC0"/>
    <w:rsid w:val="00033612"/>
    <w:rsid w:val="0003434B"/>
    <w:rsid w:val="0005150F"/>
    <w:rsid w:val="000565B9"/>
    <w:rsid w:val="00065213"/>
    <w:rsid w:val="00065F88"/>
    <w:rsid w:val="00066A17"/>
    <w:rsid w:val="00067ECA"/>
    <w:rsid w:val="0007193E"/>
    <w:rsid w:val="00084F9F"/>
    <w:rsid w:val="000941CB"/>
    <w:rsid w:val="00096A14"/>
    <w:rsid w:val="000A10BE"/>
    <w:rsid w:val="000A3896"/>
    <w:rsid w:val="000B0324"/>
    <w:rsid w:val="000B42FE"/>
    <w:rsid w:val="000C36ED"/>
    <w:rsid w:val="000C5457"/>
    <w:rsid w:val="000E373B"/>
    <w:rsid w:val="000E7274"/>
    <w:rsid w:val="000F4365"/>
    <w:rsid w:val="000F5FB3"/>
    <w:rsid w:val="00103BBA"/>
    <w:rsid w:val="00106ABC"/>
    <w:rsid w:val="00113C26"/>
    <w:rsid w:val="00134925"/>
    <w:rsid w:val="0013503C"/>
    <w:rsid w:val="00137659"/>
    <w:rsid w:val="001418A3"/>
    <w:rsid w:val="00147030"/>
    <w:rsid w:val="00150E5E"/>
    <w:rsid w:val="00166927"/>
    <w:rsid w:val="0017388C"/>
    <w:rsid w:val="0018189F"/>
    <w:rsid w:val="00190541"/>
    <w:rsid w:val="00191AB3"/>
    <w:rsid w:val="001B048C"/>
    <w:rsid w:val="001B6A2C"/>
    <w:rsid w:val="001B7828"/>
    <w:rsid w:val="001C074E"/>
    <w:rsid w:val="001C431C"/>
    <w:rsid w:val="001F408C"/>
    <w:rsid w:val="001F4D30"/>
    <w:rsid w:val="00201AD0"/>
    <w:rsid w:val="002040EA"/>
    <w:rsid w:val="00204221"/>
    <w:rsid w:val="002140C6"/>
    <w:rsid w:val="00224867"/>
    <w:rsid w:val="00242E9E"/>
    <w:rsid w:val="00243808"/>
    <w:rsid w:val="002467E6"/>
    <w:rsid w:val="002553EC"/>
    <w:rsid w:val="00257AB8"/>
    <w:rsid w:val="00266F5C"/>
    <w:rsid w:val="002670E3"/>
    <w:rsid w:val="00267610"/>
    <w:rsid w:val="00271334"/>
    <w:rsid w:val="002725B1"/>
    <w:rsid w:val="00276BFB"/>
    <w:rsid w:val="00294050"/>
    <w:rsid w:val="002A3623"/>
    <w:rsid w:val="002B16AE"/>
    <w:rsid w:val="002B46F3"/>
    <w:rsid w:val="002C7166"/>
    <w:rsid w:val="002D57D6"/>
    <w:rsid w:val="002E6B86"/>
    <w:rsid w:val="002E6E16"/>
    <w:rsid w:val="002F38C4"/>
    <w:rsid w:val="002F5A84"/>
    <w:rsid w:val="003004DA"/>
    <w:rsid w:val="0030260E"/>
    <w:rsid w:val="00302A1B"/>
    <w:rsid w:val="00311319"/>
    <w:rsid w:val="00312FC7"/>
    <w:rsid w:val="00315FA2"/>
    <w:rsid w:val="003302F8"/>
    <w:rsid w:val="00343374"/>
    <w:rsid w:val="003441CC"/>
    <w:rsid w:val="00366185"/>
    <w:rsid w:val="00370F5A"/>
    <w:rsid w:val="00373E86"/>
    <w:rsid w:val="003764ED"/>
    <w:rsid w:val="00376DE2"/>
    <w:rsid w:val="003837E1"/>
    <w:rsid w:val="003860BE"/>
    <w:rsid w:val="00392C1B"/>
    <w:rsid w:val="003A4C81"/>
    <w:rsid w:val="003A6247"/>
    <w:rsid w:val="003B25BA"/>
    <w:rsid w:val="003B3BB3"/>
    <w:rsid w:val="003B57A7"/>
    <w:rsid w:val="003C5448"/>
    <w:rsid w:val="003C6BF3"/>
    <w:rsid w:val="003E7688"/>
    <w:rsid w:val="0040432A"/>
    <w:rsid w:val="00422540"/>
    <w:rsid w:val="0042605D"/>
    <w:rsid w:val="00426B65"/>
    <w:rsid w:val="00432124"/>
    <w:rsid w:val="00443E11"/>
    <w:rsid w:val="0044743A"/>
    <w:rsid w:val="00453FAC"/>
    <w:rsid w:val="004558F6"/>
    <w:rsid w:val="0046209F"/>
    <w:rsid w:val="0046330B"/>
    <w:rsid w:val="00467B15"/>
    <w:rsid w:val="00477CED"/>
    <w:rsid w:val="00480878"/>
    <w:rsid w:val="00481452"/>
    <w:rsid w:val="00483585"/>
    <w:rsid w:val="0048379D"/>
    <w:rsid w:val="00485DB4"/>
    <w:rsid w:val="00494645"/>
    <w:rsid w:val="004B4209"/>
    <w:rsid w:val="004C3EED"/>
    <w:rsid w:val="004D66C9"/>
    <w:rsid w:val="004E0717"/>
    <w:rsid w:val="004E566F"/>
    <w:rsid w:val="004F09A2"/>
    <w:rsid w:val="004F0FDA"/>
    <w:rsid w:val="004F6C7D"/>
    <w:rsid w:val="00501173"/>
    <w:rsid w:val="00525337"/>
    <w:rsid w:val="0053359D"/>
    <w:rsid w:val="005657F2"/>
    <w:rsid w:val="00567441"/>
    <w:rsid w:val="00583B60"/>
    <w:rsid w:val="005846B8"/>
    <w:rsid w:val="00590063"/>
    <w:rsid w:val="00591361"/>
    <w:rsid w:val="0059593D"/>
    <w:rsid w:val="005965D7"/>
    <w:rsid w:val="005A409A"/>
    <w:rsid w:val="005A50E0"/>
    <w:rsid w:val="005B2941"/>
    <w:rsid w:val="005B29BD"/>
    <w:rsid w:val="005C2CE2"/>
    <w:rsid w:val="005C70CE"/>
    <w:rsid w:val="005D5E95"/>
    <w:rsid w:val="005D7C35"/>
    <w:rsid w:val="005E1A34"/>
    <w:rsid w:val="005E36A1"/>
    <w:rsid w:val="005E389D"/>
    <w:rsid w:val="005E5334"/>
    <w:rsid w:val="005F001F"/>
    <w:rsid w:val="00602355"/>
    <w:rsid w:val="0060789C"/>
    <w:rsid w:val="006153B3"/>
    <w:rsid w:val="0062474F"/>
    <w:rsid w:val="00624AE3"/>
    <w:rsid w:val="00637818"/>
    <w:rsid w:val="00644F43"/>
    <w:rsid w:val="00652D0C"/>
    <w:rsid w:val="00657824"/>
    <w:rsid w:val="00660945"/>
    <w:rsid w:val="006610CC"/>
    <w:rsid w:val="00662F1B"/>
    <w:rsid w:val="00665B8C"/>
    <w:rsid w:val="00667A44"/>
    <w:rsid w:val="00670146"/>
    <w:rsid w:val="00671148"/>
    <w:rsid w:val="0067681E"/>
    <w:rsid w:val="00676B83"/>
    <w:rsid w:val="006A3D19"/>
    <w:rsid w:val="006B4442"/>
    <w:rsid w:val="006C0BCD"/>
    <w:rsid w:val="006C684D"/>
    <w:rsid w:val="006D3BF7"/>
    <w:rsid w:val="006D53CE"/>
    <w:rsid w:val="006E1B6E"/>
    <w:rsid w:val="006E285F"/>
    <w:rsid w:val="006E28A4"/>
    <w:rsid w:val="006F2326"/>
    <w:rsid w:val="006F2503"/>
    <w:rsid w:val="006F3E86"/>
    <w:rsid w:val="00706131"/>
    <w:rsid w:val="007070EF"/>
    <w:rsid w:val="00712036"/>
    <w:rsid w:val="00725023"/>
    <w:rsid w:val="00743263"/>
    <w:rsid w:val="0075186F"/>
    <w:rsid w:val="0075301B"/>
    <w:rsid w:val="007577A3"/>
    <w:rsid w:val="00761391"/>
    <w:rsid w:val="00773E67"/>
    <w:rsid w:val="00773F61"/>
    <w:rsid w:val="00780979"/>
    <w:rsid w:val="00791257"/>
    <w:rsid w:val="007A0697"/>
    <w:rsid w:val="007A32C6"/>
    <w:rsid w:val="007B016C"/>
    <w:rsid w:val="007B6BB7"/>
    <w:rsid w:val="007C2235"/>
    <w:rsid w:val="007D217B"/>
    <w:rsid w:val="007D35D5"/>
    <w:rsid w:val="007D4406"/>
    <w:rsid w:val="007E432B"/>
    <w:rsid w:val="007E691B"/>
    <w:rsid w:val="007F00E7"/>
    <w:rsid w:val="007F6223"/>
    <w:rsid w:val="007F62BB"/>
    <w:rsid w:val="00802618"/>
    <w:rsid w:val="00807338"/>
    <w:rsid w:val="00830226"/>
    <w:rsid w:val="00830D36"/>
    <w:rsid w:val="008402CB"/>
    <w:rsid w:val="00865444"/>
    <w:rsid w:val="00872A06"/>
    <w:rsid w:val="00874ACF"/>
    <w:rsid w:val="008779AB"/>
    <w:rsid w:val="008805E1"/>
    <w:rsid w:val="00893A68"/>
    <w:rsid w:val="00894B31"/>
    <w:rsid w:val="008A38A9"/>
    <w:rsid w:val="008A6F9A"/>
    <w:rsid w:val="008A7D14"/>
    <w:rsid w:val="008B2C7F"/>
    <w:rsid w:val="008B31D5"/>
    <w:rsid w:val="008B51F0"/>
    <w:rsid w:val="008B7337"/>
    <w:rsid w:val="008C3212"/>
    <w:rsid w:val="008C5775"/>
    <w:rsid w:val="008D2114"/>
    <w:rsid w:val="008E36E0"/>
    <w:rsid w:val="008E3B0A"/>
    <w:rsid w:val="008F0270"/>
    <w:rsid w:val="009023D7"/>
    <w:rsid w:val="00910A0B"/>
    <w:rsid w:val="00924E9C"/>
    <w:rsid w:val="00925A38"/>
    <w:rsid w:val="00937A3A"/>
    <w:rsid w:val="009423E1"/>
    <w:rsid w:val="00943D46"/>
    <w:rsid w:val="00962C54"/>
    <w:rsid w:val="009678F5"/>
    <w:rsid w:val="00970E74"/>
    <w:rsid w:val="009728DC"/>
    <w:rsid w:val="0097435B"/>
    <w:rsid w:val="009776D6"/>
    <w:rsid w:val="00990625"/>
    <w:rsid w:val="0099498D"/>
    <w:rsid w:val="009958F6"/>
    <w:rsid w:val="009A19DD"/>
    <w:rsid w:val="009A2004"/>
    <w:rsid w:val="009A6E23"/>
    <w:rsid w:val="009B10DB"/>
    <w:rsid w:val="009C1B85"/>
    <w:rsid w:val="009C3C0F"/>
    <w:rsid w:val="009C4F68"/>
    <w:rsid w:val="009D2B4A"/>
    <w:rsid w:val="009E631E"/>
    <w:rsid w:val="009E714B"/>
    <w:rsid w:val="00A079A6"/>
    <w:rsid w:val="00A13EC6"/>
    <w:rsid w:val="00A238BA"/>
    <w:rsid w:val="00A32FD5"/>
    <w:rsid w:val="00A33F1F"/>
    <w:rsid w:val="00A37126"/>
    <w:rsid w:val="00A477B7"/>
    <w:rsid w:val="00A542E8"/>
    <w:rsid w:val="00A55608"/>
    <w:rsid w:val="00A714DD"/>
    <w:rsid w:val="00A72044"/>
    <w:rsid w:val="00A77319"/>
    <w:rsid w:val="00A85FA8"/>
    <w:rsid w:val="00AB48E6"/>
    <w:rsid w:val="00AC3785"/>
    <w:rsid w:val="00AD003F"/>
    <w:rsid w:val="00AE50BC"/>
    <w:rsid w:val="00AF05D8"/>
    <w:rsid w:val="00B111E8"/>
    <w:rsid w:val="00B13089"/>
    <w:rsid w:val="00B15A80"/>
    <w:rsid w:val="00B202C6"/>
    <w:rsid w:val="00B3075E"/>
    <w:rsid w:val="00B35D2B"/>
    <w:rsid w:val="00B50ECF"/>
    <w:rsid w:val="00B532ED"/>
    <w:rsid w:val="00B55A2C"/>
    <w:rsid w:val="00B650D7"/>
    <w:rsid w:val="00B70758"/>
    <w:rsid w:val="00B84EAA"/>
    <w:rsid w:val="00B910D9"/>
    <w:rsid w:val="00B960D0"/>
    <w:rsid w:val="00BB3C24"/>
    <w:rsid w:val="00BB6EFE"/>
    <w:rsid w:val="00BC02CC"/>
    <w:rsid w:val="00BC2F94"/>
    <w:rsid w:val="00BC3018"/>
    <w:rsid w:val="00BC48B3"/>
    <w:rsid w:val="00BC646F"/>
    <w:rsid w:val="00BD0497"/>
    <w:rsid w:val="00BD3C5E"/>
    <w:rsid w:val="00BD3E76"/>
    <w:rsid w:val="00BD4796"/>
    <w:rsid w:val="00C0208B"/>
    <w:rsid w:val="00C0499C"/>
    <w:rsid w:val="00C04C88"/>
    <w:rsid w:val="00C06D48"/>
    <w:rsid w:val="00C113F6"/>
    <w:rsid w:val="00C42ADC"/>
    <w:rsid w:val="00C43A1E"/>
    <w:rsid w:val="00C4712C"/>
    <w:rsid w:val="00C546C6"/>
    <w:rsid w:val="00C71C14"/>
    <w:rsid w:val="00C75550"/>
    <w:rsid w:val="00C771C1"/>
    <w:rsid w:val="00C86A79"/>
    <w:rsid w:val="00C91E90"/>
    <w:rsid w:val="00C960BE"/>
    <w:rsid w:val="00CA5A7A"/>
    <w:rsid w:val="00CA7635"/>
    <w:rsid w:val="00CB1879"/>
    <w:rsid w:val="00CC6667"/>
    <w:rsid w:val="00CC6BC5"/>
    <w:rsid w:val="00CD1BB1"/>
    <w:rsid w:val="00CD3E75"/>
    <w:rsid w:val="00CE5307"/>
    <w:rsid w:val="00CF0B79"/>
    <w:rsid w:val="00CF609B"/>
    <w:rsid w:val="00CF64F8"/>
    <w:rsid w:val="00CF729D"/>
    <w:rsid w:val="00D04A15"/>
    <w:rsid w:val="00D050D3"/>
    <w:rsid w:val="00D070D5"/>
    <w:rsid w:val="00D202BB"/>
    <w:rsid w:val="00D2067A"/>
    <w:rsid w:val="00D20B20"/>
    <w:rsid w:val="00D20E80"/>
    <w:rsid w:val="00D21641"/>
    <w:rsid w:val="00D258E2"/>
    <w:rsid w:val="00D27CF6"/>
    <w:rsid w:val="00D372A5"/>
    <w:rsid w:val="00D3771A"/>
    <w:rsid w:val="00D50759"/>
    <w:rsid w:val="00D5149A"/>
    <w:rsid w:val="00D5579A"/>
    <w:rsid w:val="00D65F86"/>
    <w:rsid w:val="00D733F3"/>
    <w:rsid w:val="00D819B6"/>
    <w:rsid w:val="00D84809"/>
    <w:rsid w:val="00D8700E"/>
    <w:rsid w:val="00D9291B"/>
    <w:rsid w:val="00DA617A"/>
    <w:rsid w:val="00DB197C"/>
    <w:rsid w:val="00DB3C0C"/>
    <w:rsid w:val="00DE2E36"/>
    <w:rsid w:val="00DE303F"/>
    <w:rsid w:val="00DF3988"/>
    <w:rsid w:val="00DF3E5A"/>
    <w:rsid w:val="00DF4B28"/>
    <w:rsid w:val="00E23289"/>
    <w:rsid w:val="00E345D8"/>
    <w:rsid w:val="00E3717D"/>
    <w:rsid w:val="00E37ADB"/>
    <w:rsid w:val="00E57504"/>
    <w:rsid w:val="00E60B4D"/>
    <w:rsid w:val="00E72985"/>
    <w:rsid w:val="00E739F3"/>
    <w:rsid w:val="00E8475F"/>
    <w:rsid w:val="00E97179"/>
    <w:rsid w:val="00EA3B6B"/>
    <w:rsid w:val="00EA469B"/>
    <w:rsid w:val="00EB61CC"/>
    <w:rsid w:val="00EC1BA3"/>
    <w:rsid w:val="00ED08F3"/>
    <w:rsid w:val="00ED6446"/>
    <w:rsid w:val="00EE7E9D"/>
    <w:rsid w:val="00EF0957"/>
    <w:rsid w:val="00EF6162"/>
    <w:rsid w:val="00F03560"/>
    <w:rsid w:val="00F0521C"/>
    <w:rsid w:val="00F075D4"/>
    <w:rsid w:val="00F10808"/>
    <w:rsid w:val="00F12CB7"/>
    <w:rsid w:val="00F1388A"/>
    <w:rsid w:val="00F162D2"/>
    <w:rsid w:val="00F21453"/>
    <w:rsid w:val="00F2184F"/>
    <w:rsid w:val="00F26B74"/>
    <w:rsid w:val="00F32E63"/>
    <w:rsid w:val="00F33B4F"/>
    <w:rsid w:val="00F37F90"/>
    <w:rsid w:val="00F4040F"/>
    <w:rsid w:val="00F424A7"/>
    <w:rsid w:val="00F63614"/>
    <w:rsid w:val="00F8660A"/>
    <w:rsid w:val="00F876CD"/>
    <w:rsid w:val="00FB20DC"/>
    <w:rsid w:val="00FB4786"/>
    <w:rsid w:val="00FB5787"/>
    <w:rsid w:val="00FC52A7"/>
    <w:rsid w:val="00FE04B9"/>
    <w:rsid w:val="00FF49A9"/>
    <w:rsid w:val="019FDB80"/>
    <w:rsid w:val="02560264"/>
    <w:rsid w:val="0271A56F"/>
    <w:rsid w:val="02795D0B"/>
    <w:rsid w:val="02A92CAD"/>
    <w:rsid w:val="02B3A8AB"/>
    <w:rsid w:val="02B443A8"/>
    <w:rsid w:val="03B7498E"/>
    <w:rsid w:val="041C6042"/>
    <w:rsid w:val="043DBAE6"/>
    <w:rsid w:val="04578DAA"/>
    <w:rsid w:val="048929B4"/>
    <w:rsid w:val="051ADCCD"/>
    <w:rsid w:val="059E5455"/>
    <w:rsid w:val="07279748"/>
    <w:rsid w:val="075CE9AE"/>
    <w:rsid w:val="07D014D9"/>
    <w:rsid w:val="08F36531"/>
    <w:rsid w:val="08F8BA0F"/>
    <w:rsid w:val="0913944D"/>
    <w:rsid w:val="0917B7CE"/>
    <w:rsid w:val="092BE5FE"/>
    <w:rsid w:val="09A80D39"/>
    <w:rsid w:val="0A4FF12D"/>
    <w:rsid w:val="0A8BA1C6"/>
    <w:rsid w:val="0A8ECF97"/>
    <w:rsid w:val="0B3F8CF3"/>
    <w:rsid w:val="0C305AD1"/>
    <w:rsid w:val="0CE055C5"/>
    <w:rsid w:val="0D738C79"/>
    <w:rsid w:val="0D8E2DAC"/>
    <w:rsid w:val="0E117472"/>
    <w:rsid w:val="0E40C6E9"/>
    <w:rsid w:val="0E68F316"/>
    <w:rsid w:val="0E7083C1"/>
    <w:rsid w:val="0E7634BF"/>
    <w:rsid w:val="0F4E9635"/>
    <w:rsid w:val="0F634E63"/>
    <w:rsid w:val="0FE53188"/>
    <w:rsid w:val="143AE929"/>
    <w:rsid w:val="15240FB3"/>
    <w:rsid w:val="164B6CE9"/>
    <w:rsid w:val="1667ACFB"/>
    <w:rsid w:val="166F2722"/>
    <w:rsid w:val="16D21517"/>
    <w:rsid w:val="17688F1C"/>
    <w:rsid w:val="177F1057"/>
    <w:rsid w:val="17B555C6"/>
    <w:rsid w:val="19617ACB"/>
    <w:rsid w:val="1985FD71"/>
    <w:rsid w:val="1993DBA0"/>
    <w:rsid w:val="1A397CBE"/>
    <w:rsid w:val="1B4A9D47"/>
    <w:rsid w:val="1B8C2A09"/>
    <w:rsid w:val="1B9DBACA"/>
    <w:rsid w:val="1C264B0C"/>
    <w:rsid w:val="1C5F61A6"/>
    <w:rsid w:val="1CB46E96"/>
    <w:rsid w:val="1CC4D433"/>
    <w:rsid w:val="1D6CE355"/>
    <w:rsid w:val="1D889EF6"/>
    <w:rsid w:val="1EC8BF6C"/>
    <w:rsid w:val="1F860CE3"/>
    <w:rsid w:val="1F9C47B2"/>
    <w:rsid w:val="1FE355C3"/>
    <w:rsid w:val="1FF4A9C3"/>
    <w:rsid w:val="20BA3DD6"/>
    <w:rsid w:val="2339F2B8"/>
    <w:rsid w:val="23660B60"/>
    <w:rsid w:val="2383E368"/>
    <w:rsid w:val="23DEB81D"/>
    <w:rsid w:val="23F7E07A"/>
    <w:rsid w:val="24D26472"/>
    <w:rsid w:val="27236C22"/>
    <w:rsid w:val="283D262A"/>
    <w:rsid w:val="28C1D3C2"/>
    <w:rsid w:val="28D86E80"/>
    <w:rsid w:val="28E1040D"/>
    <w:rsid w:val="2938D99D"/>
    <w:rsid w:val="294F9C85"/>
    <w:rsid w:val="297F3107"/>
    <w:rsid w:val="2B19D8D0"/>
    <w:rsid w:val="2B774C5C"/>
    <w:rsid w:val="2B7C987B"/>
    <w:rsid w:val="2C80BACF"/>
    <w:rsid w:val="2CCDD7F0"/>
    <w:rsid w:val="2CD493AF"/>
    <w:rsid w:val="2E201332"/>
    <w:rsid w:val="2E2D81F9"/>
    <w:rsid w:val="2E7CA083"/>
    <w:rsid w:val="2FC848DA"/>
    <w:rsid w:val="30151FF2"/>
    <w:rsid w:val="302F0FB2"/>
    <w:rsid w:val="3056FA6C"/>
    <w:rsid w:val="31540DBC"/>
    <w:rsid w:val="31692C75"/>
    <w:rsid w:val="31AB86A0"/>
    <w:rsid w:val="335B236B"/>
    <w:rsid w:val="3363C1ED"/>
    <w:rsid w:val="33AB88A8"/>
    <w:rsid w:val="33AF56AB"/>
    <w:rsid w:val="33B36FAD"/>
    <w:rsid w:val="33F35E4A"/>
    <w:rsid w:val="344A445F"/>
    <w:rsid w:val="3492EDEE"/>
    <w:rsid w:val="34F02BCA"/>
    <w:rsid w:val="3501C737"/>
    <w:rsid w:val="359899CE"/>
    <w:rsid w:val="37153A62"/>
    <w:rsid w:val="3761341C"/>
    <w:rsid w:val="37DCEC1B"/>
    <w:rsid w:val="380D4733"/>
    <w:rsid w:val="381A3DBA"/>
    <w:rsid w:val="3842DC8A"/>
    <w:rsid w:val="39A823F2"/>
    <w:rsid w:val="39F71618"/>
    <w:rsid w:val="3AD584EC"/>
    <w:rsid w:val="3ADEC7E9"/>
    <w:rsid w:val="3AE771EF"/>
    <w:rsid w:val="3B7D4449"/>
    <w:rsid w:val="3C01D970"/>
    <w:rsid w:val="3D130922"/>
    <w:rsid w:val="3D6D6746"/>
    <w:rsid w:val="3DA47DD5"/>
    <w:rsid w:val="3DB0F11B"/>
    <w:rsid w:val="3E95A610"/>
    <w:rsid w:val="3EA78796"/>
    <w:rsid w:val="3F433E24"/>
    <w:rsid w:val="4015EFE7"/>
    <w:rsid w:val="40DD1303"/>
    <w:rsid w:val="414749E5"/>
    <w:rsid w:val="41E1B482"/>
    <w:rsid w:val="41EE66ED"/>
    <w:rsid w:val="42169B63"/>
    <w:rsid w:val="4218CB11"/>
    <w:rsid w:val="425D0122"/>
    <w:rsid w:val="43B2BF0F"/>
    <w:rsid w:val="43DA9BC0"/>
    <w:rsid w:val="44655515"/>
    <w:rsid w:val="448FE95B"/>
    <w:rsid w:val="44A49C8A"/>
    <w:rsid w:val="4694C1D9"/>
    <w:rsid w:val="47F1E2D5"/>
    <w:rsid w:val="487ED895"/>
    <w:rsid w:val="4A135572"/>
    <w:rsid w:val="4AC578A8"/>
    <w:rsid w:val="4B2FF881"/>
    <w:rsid w:val="4B9DA7DD"/>
    <w:rsid w:val="4CA153A0"/>
    <w:rsid w:val="4DE9C7AD"/>
    <w:rsid w:val="4E46D1DA"/>
    <w:rsid w:val="4F26B092"/>
    <w:rsid w:val="50303A74"/>
    <w:rsid w:val="50F915B6"/>
    <w:rsid w:val="5215771F"/>
    <w:rsid w:val="521B3C7F"/>
    <w:rsid w:val="52B7E042"/>
    <w:rsid w:val="52E5B030"/>
    <w:rsid w:val="5326467D"/>
    <w:rsid w:val="547A6FD5"/>
    <w:rsid w:val="54B54E2F"/>
    <w:rsid w:val="54CB88FE"/>
    <w:rsid w:val="550C922C"/>
    <w:rsid w:val="556D62F2"/>
    <w:rsid w:val="55A6F8FE"/>
    <w:rsid w:val="55FED7A5"/>
    <w:rsid w:val="5602D835"/>
    <w:rsid w:val="56489C1C"/>
    <w:rsid w:val="5664B39F"/>
    <w:rsid w:val="5682E0BB"/>
    <w:rsid w:val="568B964F"/>
    <w:rsid w:val="56CFFB72"/>
    <w:rsid w:val="57E57593"/>
    <w:rsid w:val="587F0693"/>
    <w:rsid w:val="590AB8C4"/>
    <w:rsid w:val="59201FEE"/>
    <w:rsid w:val="598F4B17"/>
    <w:rsid w:val="59C381BA"/>
    <w:rsid w:val="59FBFBA2"/>
    <w:rsid w:val="5A22CE4B"/>
    <w:rsid w:val="5A6FA33A"/>
    <w:rsid w:val="5A7DB135"/>
    <w:rsid w:val="5CD33C32"/>
    <w:rsid w:val="5D21F0F5"/>
    <w:rsid w:val="5DFD7CA7"/>
    <w:rsid w:val="5F028430"/>
    <w:rsid w:val="602AB111"/>
    <w:rsid w:val="62658323"/>
    <w:rsid w:val="62D5F192"/>
    <w:rsid w:val="641C1107"/>
    <w:rsid w:val="64E99A4E"/>
    <w:rsid w:val="6549C791"/>
    <w:rsid w:val="65B81D6C"/>
    <w:rsid w:val="65C5C0B1"/>
    <w:rsid w:val="65D620E4"/>
    <w:rsid w:val="6609ED57"/>
    <w:rsid w:val="660D9254"/>
    <w:rsid w:val="66BAEF50"/>
    <w:rsid w:val="66F002E8"/>
    <w:rsid w:val="66F5C1A4"/>
    <w:rsid w:val="672CCB38"/>
    <w:rsid w:val="68072200"/>
    <w:rsid w:val="69453316"/>
    <w:rsid w:val="69A63885"/>
    <w:rsid w:val="6A6B99E0"/>
    <w:rsid w:val="6B492CC8"/>
    <w:rsid w:val="6B943759"/>
    <w:rsid w:val="6C1BD9D8"/>
    <w:rsid w:val="6C63AB7B"/>
    <w:rsid w:val="6C7CD3D8"/>
    <w:rsid w:val="6CD2672A"/>
    <w:rsid w:val="6CF0436B"/>
    <w:rsid w:val="6D013CB7"/>
    <w:rsid w:val="6D068413"/>
    <w:rsid w:val="6D51B41A"/>
    <w:rsid w:val="6DE13C73"/>
    <w:rsid w:val="6DE7FDE2"/>
    <w:rsid w:val="6E5830BE"/>
    <w:rsid w:val="6F889CC7"/>
    <w:rsid w:val="6F954A5B"/>
    <w:rsid w:val="6FCE0948"/>
    <w:rsid w:val="6FFE95CF"/>
    <w:rsid w:val="70E6C694"/>
    <w:rsid w:val="7111B7CE"/>
    <w:rsid w:val="715BDD22"/>
    <w:rsid w:val="71778F2D"/>
    <w:rsid w:val="718B901F"/>
    <w:rsid w:val="71F4DC50"/>
    <w:rsid w:val="7220DDE4"/>
    <w:rsid w:val="73D2199D"/>
    <w:rsid w:val="7562728E"/>
    <w:rsid w:val="75B1F1A6"/>
    <w:rsid w:val="76BE09A9"/>
    <w:rsid w:val="77008715"/>
    <w:rsid w:val="7759F36F"/>
    <w:rsid w:val="775DD61C"/>
    <w:rsid w:val="7807FBAE"/>
    <w:rsid w:val="78B40310"/>
    <w:rsid w:val="7958F7EE"/>
    <w:rsid w:val="7B04229A"/>
    <w:rsid w:val="7B2A3006"/>
    <w:rsid w:val="7B2DE9A0"/>
    <w:rsid w:val="7BEEA51D"/>
    <w:rsid w:val="7C2DC33E"/>
    <w:rsid w:val="7C96F8C8"/>
    <w:rsid w:val="7D66E24A"/>
    <w:rsid w:val="7DC2039B"/>
    <w:rsid w:val="7E32F43A"/>
    <w:rsid w:val="7ED8BDFD"/>
    <w:rsid w:val="7F1A5C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BEFBD"/>
  <w15:docId w15:val="{681C3033-1D12-48C6-8B7A-59D1A1B8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3B"/>
    <w:pPr>
      <w:spacing w:after="120" w:line="240" w:lineRule="auto"/>
    </w:pPr>
    <w:rPr>
      <w:rFonts w:ascii="Arial" w:eastAsiaTheme="minorEastAsia" w:hAnsi="Arial" w:cs="Times New Roman"/>
      <w:sz w:val="20"/>
      <w:szCs w:val="20"/>
    </w:rPr>
  </w:style>
  <w:style w:type="paragraph" w:styleId="Heading1">
    <w:name w:val="heading 1"/>
    <w:basedOn w:val="Normal"/>
    <w:next w:val="Normal"/>
    <w:link w:val="Heading1Char"/>
    <w:uiPriority w:val="9"/>
    <w:rsid w:val="000E373B"/>
    <w:pPr>
      <w:spacing w:before="360" w:after="240"/>
      <w:jc w:val="left"/>
      <w:outlineLvl w:val="0"/>
    </w:pPr>
    <w:rPr>
      <w:b/>
      <w:sz w:val="40"/>
      <w:szCs w:val="52"/>
    </w:rPr>
  </w:style>
  <w:style w:type="paragraph" w:styleId="Heading2">
    <w:name w:val="heading 2"/>
    <w:basedOn w:val="Normal"/>
    <w:next w:val="Normal"/>
    <w:link w:val="Heading2Char"/>
    <w:autoRedefine/>
    <w:uiPriority w:val="9"/>
    <w:unhideWhenUsed/>
    <w:qFormat/>
    <w:rsid w:val="000E373B"/>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0E373B"/>
    <w:pPr>
      <w:keepNext/>
      <w:spacing w:before="240"/>
      <w:jc w:val="left"/>
      <w:outlineLvl w:val="2"/>
    </w:pPr>
    <w:rPr>
      <w:b/>
      <w:sz w:val="22"/>
      <w:szCs w:val="24"/>
    </w:rPr>
  </w:style>
  <w:style w:type="paragraph" w:styleId="Heading4">
    <w:name w:val="heading 4"/>
    <w:basedOn w:val="Normal"/>
    <w:next w:val="Normal"/>
    <w:link w:val="Heading4Char"/>
    <w:uiPriority w:val="9"/>
    <w:unhideWhenUsed/>
    <w:qFormat/>
    <w:rsid w:val="00065F88"/>
    <w:pPr>
      <w:keepNext/>
      <w:keepLines/>
      <w:spacing w:before="200"/>
      <w:outlineLvl w:val="3"/>
    </w:pPr>
    <w:rPr>
      <w:rFonts w:asciiTheme="majorHAnsi" w:eastAsiaTheme="majorEastAsia" w:hAnsiTheme="maj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373B"/>
    <w:rPr>
      <w:rFonts w:ascii="Arial" w:eastAsiaTheme="minorEastAsia" w:hAnsi="Arial" w:cs="Times New Roman"/>
      <w:b/>
      <w:szCs w:val="24"/>
      <w:lang w:val="fr-FR"/>
    </w:rPr>
  </w:style>
  <w:style w:type="paragraph" w:styleId="ListParagraph">
    <w:name w:val="List Paragraph"/>
    <w:aliases w:val="Bullet 3"/>
    <w:basedOn w:val="Normal"/>
    <w:link w:val="ListParagraphChar"/>
    <w:uiPriority w:val="34"/>
    <w:qFormat/>
    <w:rsid w:val="000E373B"/>
    <w:pPr>
      <w:numPr>
        <w:numId w:val="11"/>
      </w:numPr>
      <w:spacing w:before="120"/>
      <w:ind w:right="425"/>
      <w:contextualSpacing/>
    </w:pPr>
    <w:rPr>
      <w:rFonts w:eastAsiaTheme="minorHAnsi" w:cs="Arial"/>
      <w:i/>
      <w:iCs/>
      <w:szCs w:val="22"/>
    </w:rPr>
  </w:style>
  <w:style w:type="table" w:styleId="TableGrid">
    <w:name w:val="Table Grid"/>
    <w:basedOn w:val="TableNormal"/>
    <w:uiPriority w:val="59"/>
    <w:rsid w:val="000E373B"/>
    <w:pPr>
      <w:spacing w:line="240" w:lineRule="auto"/>
      <w:jc w:val="left"/>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3 Char"/>
    <w:basedOn w:val="DefaultParagraphFont"/>
    <w:link w:val="ListParagraph"/>
    <w:rsid w:val="000E373B"/>
    <w:rPr>
      <w:rFonts w:ascii="Arial" w:hAnsi="Arial" w:cs="Arial"/>
      <w:i/>
      <w:iCs/>
      <w:sz w:val="20"/>
      <w:lang w:val="fr-FR"/>
    </w:rPr>
  </w:style>
  <w:style w:type="paragraph" w:styleId="NoSpacing">
    <w:name w:val="No Spacing"/>
    <w:uiPriority w:val="1"/>
    <w:qFormat/>
    <w:rsid w:val="008C5775"/>
    <w:pPr>
      <w:spacing w:line="240" w:lineRule="auto"/>
    </w:pPr>
  </w:style>
  <w:style w:type="paragraph" w:styleId="BodyText2">
    <w:name w:val="Body Text 2"/>
    <w:basedOn w:val="Normal"/>
    <w:link w:val="BodyText2Char"/>
    <w:rsid w:val="008C5775"/>
    <w:pPr>
      <w:spacing w:line="480" w:lineRule="auto"/>
      <w:jc w:val="left"/>
    </w:pPr>
    <w:rPr>
      <w:rFonts w:ascii="Times New Roman" w:eastAsia="Times New Roman" w:hAnsi="Times New Roman"/>
    </w:rPr>
  </w:style>
  <w:style w:type="character" w:customStyle="1" w:styleId="BodyText2Char">
    <w:name w:val="Body Text 2 Char"/>
    <w:basedOn w:val="DefaultParagraphFont"/>
    <w:link w:val="BodyText2"/>
    <w:rsid w:val="008C577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373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73B"/>
    <w:rPr>
      <w:rFonts w:ascii="Lucida Grande" w:eastAsiaTheme="minorEastAsia" w:hAnsi="Lucida Grande" w:cs="Lucida Grande"/>
      <w:sz w:val="18"/>
      <w:szCs w:val="18"/>
      <w:lang w:val="fr-FR"/>
    </w:rPr>
  </w:style>
  <w:style w:type="paragraph" w:customStyle="1" w:styleId="Explanation">
    <w:name w:val="Explanation"/>
    <w:basedOn w:val="Normal"/>
    <w:qFormat/>
    <w:rsid w:val="00665B8C"/>
    <w:pPr>
      <w:shd w:val="clear" w:color="auto" w:fill="FFFFE1"/>
      <w:ind w:left="113" w:right="113"/>
    </w:pPr>
    <w:rPr>
      <w:rFonts w:ascii="Calibri" w:eastAsia="Times New Roman" w:hAnsi="Calibri"/>
      <w:i/>
      <w:iCs/>
      <w:szCs w:val="24"/>
    </w:rPr>
  </w:style>
  <w:style w:type="paragraph" w:customStyle="1" w:styleId="Exaplanationbullets">
    <w:name w:val="Exaplanation bullets"/>
    <w:basedOn w:val="Explanation"/>
    <w:qFormat/>
    <w:rsid w:val="00665B8C"/>
    <w:pPr>
      <w:numPr>
        <w:numId w:val="1"/>
      </w:numPr>
    </w:pPr>
  </w:style>
  <w:style w:type="paragraph" w:styleId="Header">
    <w:name w:val="header"/>
    <w:basedOn w:val="Normal"/>
    <w:link w:val="HeaderChar"/>
    <w:uiPriority w:val="99"/>
    <w:unhideWhenUsed/>
    <w:rsid w:val="000E373B"/>
    <w:pPr>
      <w:spacing w:after="0" w:line="288" w:lineRule="auto"/>
      <w:jc w:val="left"/>
    </w:pPr>
    <w:rPr>
      <w:sz w:val="16"/>
    </w:rPr>
  </w:style>
  <w:style w:type="character" w:customStyle="1" w:styleId="HeaderChar">
    <w:name w:val="Header Char"/>
    <w:basedOn w:val="DefaultParagraphFont"/>
    <w:link w:val="Header"/>
    <w:uiPriority w:val="99"/>
    <w:rsid w:val="000E373B"/>
    <w:rPr>
      <w:rFonts w:ascii="Arial" w:eastAsiaTheme="minorEastAsia" w:hAnsi="Arial" w:cs="Times New Roman"/>
      <w:sz w:val="16"/>
      <w:szCs w:val="20"/>
      <w:lang w:val="fr-FR"/>
    </w:rPr>
  </w:style>
  <w:style w:type="paragraph" w:styleId="Footer">
    <w:name w:val="footer"/>
    <w:basedOn w:val="Normal"/>
    <w:link w:val="FooterChar"/>
    <w:uiPriority w:val="99"/>
    <w:unhideWhenUsed/>
    <w:rsid w:val="000E373B"/>
    <w:pPr>
      <w:spacing w:after="0"/>
      <w:jc w:val="left"/>
    </w:pPr>
    <w:rPr>
      <w:sz w:val="16"/>
      <w:szCs w:val="18"/>
    </w:rPr>
  </w:style>
  <w:style w:type="character" w:customStyle="1" w:styleId="FooterChar">
    <w:name w:val="Footer Char"/>
    <w:basedOn w:val="DefaultParagraphFont"/>
    <w:link w:val="Footer"/>
    <w:uiPriority w:val="99"/>
    <w:rsid w:val="000E373B"/>
    <w:rPr>
      <w:rFonts w:ascii="Arial" w:eastAsiaTheme="minorEastAsia" w:hAnsi="Arial" w:cs="Times New Roman"/>
      <w:sz w:val="16"/>
      <w:szCs w:val="18"/>
      <w:lang w:val="fr-FR"/>
    </w:rPr>
  </w:style>
  <w:style w:type="paragraph" w:customStyle="1" w:styleId="ecxmsonormal">
    <w:name w:val="ecxmsonormal"/>
    <w:basedOn w:val="Normal"/>
    <w:rsid w:val="005E5334"/>
    <w:pPr>
      <w:spacing w:before="100" w:beforeAutospacing="1" w:after="100" w:afterAutospacing="1"/>
      <w:jc w:val="left"/>
    </w:pPr>
    <w:rPr>
      <w:rFonts w:ascii="Times New Roman" w:eastAsia="Times New Roman" w:hAnsi="Times New Roman"/>
      <w:sz w:val="24"/>
      <w:szCs w:val="24"/>
      <w:lang w:eastAsia="en-GB"/>
    </w:rPr>
  </w:style>
  <w:style w:type="paragraph" w:customStyle="1" w:styleId="ecxmsolistparagraph">
    <w:name w:val="ecxmsolistparagraph"/>
    <w:basedOn w:val="Normal"/>
    <w:rsid w:val="005E5334"/>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5E5334"/>
  </w:style>
  <w:style w:type="character" w:styleId="CommentReference">
    <w:name w:val="annotation reference"/>
    <w:basedOn w:val="DefaultParagraphFont"/>
    <w:uiPriority w:val="99"/>
    <w:semiHidden/>
    <w:unhideWhenUsed/>
    <w:rsid w:val="000E373B"/>
    <w:rPr>
      <w:sz w:val="18"/>
      <w:szCs w:val="18"/>
    </w:rPr>
  </w:style>
  <w:style w:type="paragraph" w:styleId="CommentText">
    <w:name w:val="annotation text"/>
    <w:basedOn w:val="Normal"/>
    <w:link w:val="CommentTextChar"/>
    <w:uiPriority w:val="99"/>
    <w:unhideWhenUsed/>
    <w:rsid w:val="00CC6BC5"/>
    <w:rPr>
      <w:sz w:val="24"/>
      <w:szCs w:val="24"/>
    </w:rPr>
  </w:style>
  <w:style w:type="character" w:customStyle="1" w:styleId="CommentTextChar">
    <w:name w:val="Comment Text Char"/>
    <w:basedOn w:val="DefaultParagraphFont"/>
    <w:link w:val="CommentText"/>
    <w:uiPriority w:val="99"/>
    <w:rsid w:val="00CC6BC5"/>
    <w:rPr>
      <w:rFonts w:ascii="Arial" w:eastAsiaTheme="minorEastAsia" w:hAnsi="Arial" w:cs="Arial"/>
      <w:sz w:val="24"/>
      <w:szCs w:val="24"/>
    </w:rPr>
  </w:style>
  <w:style w:type="paragraph" w:styleId="CommentSubject">
    <w:name w:val="annotation subject"/>
    <w:basedOn w:val="Normal"/>
    <w:link w:val="CommentSubjectChar"/>
    <w:uiPriority w:val="99"/>
    <w:semiHidden/>
    <w:unhideWhenUsed/>
    <w:rsid w:val="000E373B"/>
    <w:rPr>
      <w:b/>
      <w:bCs/>
    </w:rPr>
  </w:style>
  <w:style w:type="character" w:customStyle="1" w:styleId="CommentSubjectChar">
    <w:name w:val="Comment Subject Char"/>
    <w:basedOn w:val="DefaultParagraphFont"/>
    <w:link w:val="CommentSubject"/>
    <w:uiPriority w:val="99"/>
    <w:semiHidden/>
    <w:rsid w:val="000E373B"/>
    <w:rPr>
      <w:rFonts w:ascii="Arial" w:eastAsiaTheme="minorEastAsia" w:hAnsi="Arial" w:cs="Times New Roman"/>
      <w:b/>
      <w:bCs/>
      <w:sz w:val="20"/>
      <w:szCs w:val="20"/>
      <w:lang w:val="fr-FR"/>
    </w:rPr>
  </w:style>
  <w:style w:type="paragraph" w:customStyle="1" w:styleId="BasicParagraph">
    <w:name w:val="[Basic Paragraph]"/>
    <w:basedOn w:val="Normal"/>
    <w:uiPriority w:val="99"/>
    <w:rsid w:val="000E373B"/>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Bullet1">
    <w:name w:val="Bullet 1"/>
    <w:basedOn w:val="Normal"/>
    <w:rsid w:val="000E373B"/>
    <w:pPr>
      <w:numPr>
        <w:numId w:val="2"/>
      </w:numPr>
      <w:spacing w:after="60"/>
      <w:jc w:val="left"/>
    </w:pPr>
    <w:rPr>
      <w:rFonts w:eastAsia="Times New Roman"/>
      <w:color w:val="000000"/>
    </w:rPr>
  </w:style>
  <w:style w:type="paragraph" w:customStyle="1" w:styleId="Default">
    <w:name w:val="Default"/>
    <w:rsid w:val="000E373B"/>
    <w:pPr>
      <w:widowControl w:val="0"/>
      <w:autoSpaceDE w:val="0"/>
      <w:autoSpaceDN w:val="0"/>
      <w:adjustRightInd w:val="0"/>
      <w:spacing w:line="240" w:lineRule="auto"/>
      <w:jc w:val="left"/>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0E373B"/>
    <w:rPr>
      <w:color w:val="800080" w:themeColor="followedHyperlink"/>
      <w:u w:val="single"/>
    </w:rPr>
  </w:style>
  <w:style w:type="paragraph" w:customStyle="1" w:styleId="H1">
    <w:name w:val="H1"/>
    <w:basedOn w:val="Normal"/>
    <w:link w:val="H1Char"/>
    <w:qFormat/>
    <w:rsid w:val="000E373B"/>
    <w:pPr>
      <w:spacing w:before="360" w:after="240"/>
      <w:jc w:val="left"/>
      <w:outlineLvl w:val="0"/>
    </w:pPr>
    <w:rPr>
      <w:b/>
      <w:sz w:val="40"/>
      <w:szCs w:val="52"/>
    </w:rPr>
  </w:style>
  <w:style w:type="character" w:customStyle="1" w:styleId="H1Char">
    <w:name w:val="H1 Char"/>
    <w:basedOn w:val="DefaultParagraphFont"/>
    <w:link w:val="H1"/>
    <w:rsid w:val="000E373B"/>
    <w:rPr>
      <w:rFonts w:ascii="Arial" w:eastAsiaTheme="minorEastAsia" w:hAnsi="Arial" w:cs="Times New Roman"/>
      <w:b/>
      <w:sz w:val="40"/>
      <w:szCs w:val="52"/>
      <w:lang w:val="fr-FR"/>
    </w:rPr>
  </w:style>
  <w:style w:type="paragraph" w:customStyle="1" w:styleId="Header1">
    <w:name w:val="Header 1"/>
    <w:basedOn w:val="Header"/>
    <w:rsid w:val="000E373B"/>
    <w:rPr>
      <w:b/>
      <w:sz w:val="24"/>
      <w:szCs w:val="24"/>
    </w:rPr>
  </w:style>
  <w:style w:type="character" w:customStyle="1" w:styleId="Heading1Char">
    <w:name w:val="Heading 1 Char"/>
    <w:basedOn w:val="DefaultParagraphFont"/>
    <w:link w:val="Heading1"/>
    <w:uiPriority w:val="9"/>
    <w:rsid w:val="000E373B"/>
    <w:rPr>
      <w:rFonts w:ascii="Arial" w:eastAsiaTheme="minorEastAsia" w:hAnsi="Arial" w:cs="Times New Roman"/>
      <w:b/>
      <w:sz w:val="40"/>
      <w:szCs w:val="52"/>
      <w:lang w:val="fr-FR"/>
    </w:rPr>
  </w:style>
  <w:style w:type="character" w:customStyle="1" w:styleId="Heading2Char">
    <w:name w:val="Heading 2 Char"/>
    <w:basedOn w:val="DefaultParagraphFont"/>
    <w:link w:val="Heading2"/>
    <w:uiPriority w:val="9"/>
    <w:rsid w:val="000E373B"/>
    <w:rPr>
      <w:rFonts w:ascii="Arial" w:eastAsiaTheme="minorEastAsia" w:hAnsi="Arial" w:cs="Times New Roman"/>
      <w:b/>
      <w:caps/>
      <w:sz w:val="24"/>
      <w:szCs w:val="26"/>
      <w:lang w:val="fr-FR"/>
    </w:rPr>
  </w:style>
  <w:style w:type="character" w:styleId="Hyperlink">
    <w:name w:val="Hyperlink"/>
    <w:basedOn w:val="DefaultParagraphFont"/>
    <w:uiPriority w:val="99"/>
    <w:unhideWhenUsed/>
    <w:rsid w:val="000E373B"/>
    <w:rPr>
      <w:color w:val="0000FF" w:themeColor="hyperlink"/>
      <w:u w:val="single"/>
    </w:rPr>
  </w:style>
  <w:style w:type="character" w:styleId="PageNumber">
    <w:name w:val="page number"/>
    <w:basedOn w:val="DefaultParagraphFont"/>
    <w:uiPriority w:val="99"/>
    <w:unhideWhenUsed/>
    <w:rsid w:val="000E373B"/>
    <w:rPr>
      <w:b/>
    </w:rPr>
  </w:style>
  <w:style w:type="character" w:customStyle="1" w:styleId="Pantone485">
    <w:name w:val="Pantone 485"/>
    <w:basedOn w:val="DefaultParagraphFont"/>
    <w:uiPriority w:val="1"/>
    <w:qFormat/>
    <w:rsid w:val="000E373B"/>
    <w:rPr>
      <w:rFonts w:cs="Caecilia-Light"/>
      <w:color w:val="DC281E"/>
      <w:szCs w:val="16"/>
    </w:rPr>
  </w:style>
  <w:style w:type="paragraph" w:customStyle="1" w:styleId="RefItem1">
    <w:name w:val="Ref Item 1"/>
    <w:basedOn w:val="Normal"/>
    <w:rsid w:val="000E373B"/>
    <w:pPr>
      <w:jc w:val="left"/>
    </w:pPr>
    <w:rPr>
      <w:color w:val="000000"/>
      <w:szCs w:val="24"/>
      <w:lang w:eastAsia="it-IT"/>
    </w:rPr>
  </w:style>
  <w:style w:type="paragraph" w:customStyle="1" w:styleId="RefTitre">
    <w:name w:val="Ref Titre"/>
    <w:basedOn w:val="Normal"/>
    <w:rsid w:val="000E373B"/>
    <w:pPr>
      <w:jc w:val="left"/>
    </w:pPr>
    <w:rPr>
      <w:rFonts w:eastAsia="Times New Roman"/>
      <w:b/>
      <w:bCs/>
      <w:sz w:val="26"/>
      <w:szCs w:val="26"/>
    </w:rPr>
  </w:style>
  <w:style w:type="table" w:customStyle="1" w:styleId="TableGray">
    <w:name w:val="Table Gray"/>
    <w:basedOn w:val="TableNormal"/>
    <w:uiPriority w:val="99"/>
    <w:rsid w:val="000E373B"/>
    <w:pPr>
      <w:spacing w:line="240" w:lineRule="auto"/>
      <w:jc w:val="left"/>
    </w:pPr>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0E373B"/>
    <w:pPr>
      <w:numPr>
        <w:numId w:val="3"/>
      </w:numPr>
      <w:tabs>
        <w:tab w:val="left" w:pos="7230"/>
      </w:tabs>
      <w:spacing w:before="240" w:after="240"/>
      <w:ind w:right="0"/>
    </w:pPr>
    <w:rPr>
      <w:i w:val="0"/>
      <w:iCs w:val="0"/>
    </w:rPr>
  </w:style>
  <w:style w:type="character" w:customStyle="1" w:styleId="Heading4Char">
    <w:name w:val="Heading 4 Char"/>
    <w:basedOn w:val="DefaultParagraphFont"/>
    <w:link w:val="Heading4"/>
    <w:uiPriority w:val="9"/>
    <w:rsid w:val="00065F88"/>
    <w:rPr>
      <w:rFonts w:asciiTheme="majorHAnsi" w:eastAsiaTheme="majorEastAsia" w:hAnsiTheme="majorHAnsi" w:cstheme="majorBidi"/>
      <w:bCs/>
      <w:i/>
      <w:iCs/>
      <w:sz w:val="20"/>
      <w:szCs w:val="21"/>
    </w:rPr>
  </w:style>
  <w:style w:type="paragraph" w:customStyle="1" w:styleId="H2">
    <w:name w:val="H2"/>
    <w:basedOn w:val="Normal"/>
    <w:link w:val="H2Char"/>
    <w:qFormat/>
    <w:rsid w:val="00CC6BC5"/>
    <w:pPr>
      <w:keepNext/>
      <w:pBdr>
        <w:top w:val="single" w:sz="4" w:space="11" w:color="auto"/>
        <w:bottom w:val="single" w:sz="4" w:space="11" w:color="auto"/>
      </w:pBdr>
      <w:spacing w:before="360" w:after="360"/>
      <w:jc w:val="left"/>
      <w:outlineLvl w:val="1"/>
    </w:pPr>
    <w:rPr>
      <w:b/>
      <w:caps/>
      <w:color w:val="C00000"/>
      <w:sz w:val="24"/>
      <w:szCs w:val="26"/>
    </w:rPr>
  </w:style>
  <w:style w:type="character" w:customStyle="1" w:styleId="H2Char">
    <w:name w:val="H2 Char"/>
    <w:basedOn w:val="DefaultParagraphFont"/>
    <w:link w:val="H2"/>
    <w:rsid w:val="00CC6BC5"/>
    <w:rPr>
      <w:rFonts w:ascii="Arial" w:eastAsiaTheme="minorEastAsia" w:hAnsi="Arial" w:cs="Arial"/>
      <w:b/>
      <w:caps/>
      <w:color w:val="C00000"/>
      <w:sz w:val="24"/>
      <w:szCs w:val="26"/>
    </w:rPr>
  </w:style>
  <w:style w:type="paragraph" w:customStyle="1" w:styleId="H3">
    <w:name w:val="H3"/>
    <w:basedOn w:val="Normal"/>
    <w:link w:val="H3Char"/>
    <w:autoRedefine/>
    <w:qFormat/>
    <w:rsid w:val="00CC6667"/>
    <w:pPr>
      <w:keepNext/>
      <w:tabs>
        <w:tab w:val="left" w:pos="0"/>
      </w:tabs>
      <w:spacing w:before="360" w:after="240"/>
    </w:pPr>
    <w:rPr>
      <w:b/>
      <w:sz w:val="24"/>
      <w:szCs w:val="24"/>
    </w:rPr>
  </w:style>
  <w:style w:type="character" w:customStyle="1" w:styleId="H3Char">
    <w:name w:val="H3 Char"/>
    <w:basedOn w:val="DefaultParagraphFont"/>
    <w:link w:val="H3"/>
    <w:rsid w:val="00CC6667"/>
    <w:rPr>
      <w:rFonts w:ascii="Arial" w:eastAsiaTheme="minorEastAsia" w:hAnsi="Arial" w:cs="Arial"/>
      <w:b/>
      <w:sz w:val="24"/>
      <w:szCs w:val="24"/>
    </w:rPr>
  </w:style>
  <w:style w:type="paragraph" w:customStyle="1" w:styleId="NormalBold">
    <w:name w:val="Normal+Bold"/>
    <w:basedOn w:val="Normal"/>
    <w:autoRedefine/>
    <w:rsid w:val="00D04A15"/>
    <w:pPr>
      <w:tabs>
        <w:tab w:val="left" w:pos="0"/>
      </w:tabs>
      <w:spacing w:before="240"/>
      <w:ind w:right="386"/>
    </w:pPr>
    <w:rPr>
      <w:b/>
      <w:sz w:val="21"/>
    </w:rPr>
  </w:style>
  <w:style w:type="paragraph" w:customStyle="1" w:styleId="NormalItalic">
    <w:name w:val="Normal+Italic"/>
    <w:basedOn w:val="Normal"/>
    <w:rsid w:val="00CC6BC5"/>
    <w:rPr>
      <w:i/>
    </w:rPr>
  </w:style>
  <w:style w:type="paragraph" w:customStyle="1" w:styleId="ExplanationList">
    <w:name w:val="Explanation List"/>
    <w:basedOn w:val="Explanation"/>
    <w:rsid w:val="00485DB4"/>
    <w:pPr>
      <w:numPr>
        <w:numId w:val="4"/>
      </w:numPr>
      <w:shd w:val="clear" w:color="auto" w:fill="auto"/>
    </w:pPr>
    <w:rPr>
      <w:rFonts w:ascii="Arial" w:hAnsi="Arial" w:cs="Arial"/>
      <w:sz w:val="18"/>
      <w:szCs w:val="18"/>
    </w:rPr>
  </w:style>
  <w:style w:type="paragraph" w:styleId="FootnoteText">
    <w:name w:val="footnote text"/>
    <w:basedOn w:val="Normal"/>
    <w:link w:val="FootnoteTextChar"/>
    <w:uiPriority w:val="99"/>
    <w:unhideWhenUsed/>
    <w:rsid w:val="000E373B"/>
    <w:pPr>
      <w:spacing w:after="0"/>
    </w:pPr>
    <w:rPr>
      <w:sz w:val="16"/>
      <w:szCs w:val="22"/>
    </w:rPr>
  </w:style>
  <w:style w:type="character" w:customStyle="1" w:styleId="FootnoteTextChar">
    <w:name w:val="Footnote Text Char"/>
    <w:basedOn w:val="DefaultParagraphFont"/>
    <w:link w:val="FootnoteText"/>
    <w:uiPriority w:val="99"/>
    <w:rsid w:val="000E373B"/>
    <w:rPr>
      <w:rFonts w:ascii="Arial" w:eastAsiaTheme="minorEastAsia" w:hAnsi="Arial" w:cs="Times New Roman"/>
      <w:sz w:val="16"/>
      <w:lang w:val="fr-FR"/>
    </w:rPr>
  </w:style>
  <w:style w:type="character" w:styleId="FootnoteReference">
    <w:name w:val="footnote reference"/>
    <w:basedOn w:val="DefaultParagraphFont"/>
    <w:uiPriority w:val="99"/>
    <w:unhideWhenUsed/>
    <w:rsid w:val="000E373B"/>
    <w:rPr>
      <w:vertAlign w:val="superscript"/>
    </w:rPr>
  </w:style>
  <w:style w:type="paragraph" w:styleId="Revision">
    <w:name w:val="Revision"/>
    <w:hidden/>
    <w:uiPriority w:val="99"/>
    <w:semiHidden/>
    <w:rsid w:val="000E373B"/>
    <w:pPr>
      <w:spacing w:line="240" w:lineRule="auto"/>
      <w:jc w:val="left"/>
    </w:pPr>
    <w:rPr>
      <w:rFonts w:ascii="Arial" w:eastAsiaTheme="minorEastAsia" w:hAnsi="Arial" w:cs="Arial"/>
      <w:sz w:val="21"/>
      <w:szCs w:val="21"/>
    </w:rPr>
  </w:style>
  <w:style w:type="paragraph" w:customStyle="1" w:styleId="Info">
    <w:name w:val="Info"/>
    <w:basedOn w:val="Normal"/>
    <w:rsid w:val="00652D0C"/>
    <w:pPr>
      <w:shd w:val="clear" w:color="auto" w:fill="D9D9D9" w:themeFill="background1" w:themeFillShade="D9"/>
    </w:pPr>
    <w:rPr>
      <w:i/>
      <w:sz w:val="18"/>
    </w:rPr>
  </w:style>
  <w:style w:type="paragraph" w:customStyle="1" w:styleId="ListNumber1">
    <w:name w:val="List Number 1"/>
    <w:basedOn w:val="Normal"/>
    <w:rsid w:val="000E373B"/>
    <w:pPr>
      <w:numPr>
        <w:ilvl w:val="1"/>
        <w:numId w:val="9"/>
      </w:numPr>
      <w:contextualSpacing/>
    </w:pPr>
    <w:rPr>
      <w:rFonts w:eastAsiaTheme="minorHAnsi" w:cstheme="minorHAnsi"/>
      <w:szCs w:val="22"/>
    </w:rPr>
  </w:style>
  <w:style w:type="paragraph" w:customStyle="1" w:styleId="NormalNo">
    <w:name w:val="Normal + No"/>
    <w:basedOn w:val="Normal"/>
    <w:qFormat/>
    <w:rsid w:val="000E373B"/>
    <w:pPr>
      <w:numPr>
        <w:numId w:val="10"/>
      </w:numPr>
    </w:pPr>
    <w:rPr>
      <w:rFonts w:eastAsia="MS Mincho"/>
      <w:b/>
      <w:sz w:val="22"/>
    </w:rPr>
  </w:style>
  <w:style w:type="paragraph" w:customStyle="1" w:styleId="Indent">
    <w:name w:val="Indent"/>
    <w:basedOn w:val="Normal"/>
    <w:qFormat/>
    <w:rsid w:val="000E373B"/>
    <w:pPr>
      <w:ind w:left="567"/>
    </w:pPr>
    <w:rPr>
      <w:rFonts w:cs="Arial"/>
      <w:b/>
    </w:rPr>
  </w:style>
  <w:style w:type="paragraph" w:customStyle="1" w:styleId="TitreTableau">
    <w:name w:val="Titre Tableau"/>
    <w:basedOn w:val="Normal"/>
    <w:qFormat/>
    <w:rsid w:val="000E373B"/>
    <w:pPr>
      <w:spacing w:before="120"/>
      <w:jc w:val="center"/>
    </w:pPr>
    <w:rPr>
      <w:rFonts w:cs="Arial"/>
      <w:b/>
      <w:bCs/>
      <w:color w:val="FFFFFF" w:themeColor="background1"/>
    </w:rPr>
  </w:style>
  <w:style w:type="paragraph" w:customStyle="1" w:styleId="BulletTableau">
    <w:name w:val="Bullet Tableau"/>
    <w:basedOn w:val="Bullet2"/>
    <w:qFormat/>
    <w:rsid w:val="000E373B"/>
    <w:pPr>
      <w:keepNext/>
      <w:keepLines/>
      <w:framePr w:hSpace="141" w:wrap="around" w:vAnchor="text" w:hAnchor="margin" w:y="402"/>
      <w:numPr>
        <w:numId w:val="12"/>
      </w:numPr>
      <w:spacing w:beforeLines="60" w:before="60" w:afterLines="20" w:after="20"/>
    </w:pPr>
  </w:style>
  <w:style w:type="paragraph" w:customStyle="1" w:styleId="Subheading">
    <w:name w:val="Subheading"/>
    <w:basedOn w:val="Normal"/>
    <w:uiPriority w:val="99"/>
    <w:qFormat/>
    <w:rsid w:val="002E6B86"/>
    <w:pPr>
      <w:spacing w:before="60" w:after="60"/>
      <w:jc w:val="left"/>
    </w:pPr>
    <w:rPr>
      <w:rFonts w:eastAsia="Times New Roman"/>
      <w:b/>
      <w:color w:val="C00000"/>
      <w:sz w:val="28"/>
      <w:szCs w:val="22"/>
      <w:lang w:eastAsia="en-GB"/>
    </w:rPr>
  </w:style>
  <w:style w:type="character" w:styleId="UnresolvedMention">
    <w:name w:val="Unresolved Mention"/>
    <w:basedOn w:val="DefaultParagraphFont"/>
    <w:uiPriority w:val="99"/>
    <w:semiHidden/>
    <w:unhideWhenUsed/>
    <w:rsid w:val="00FB2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540">
      <w:bodyDiv w:val="1"/>
      <w:marLeft w:val="0"/>
      <w:marRight w:val="0"/>
      <w:marTop w:val="0"/>
      <w:marBottom w:val="0"/>
      <w:divBdr>
        <w:top w:val="none" w:sz="0" w:space="0" w:color="auto"/>
        <w:left w:val="none" w:sz="0" w:space="0" w:color="auto"/>
        <w:bottom w:val="none" w:sz="0" w:space="0" w:color="auto"/>
        <w:right w:val="none" w:sz="0" w:space="0" w:color="auto"/>
      </w:divBdr>
      <w:divsChild>
        <w:div w:id="1745762748">
          <w:marLeft w:val="432"/>
          <w:marRight w:val="0"/>
          <w:marTop w:val="58"/>
          <w:marBottom w:val="0"/>
          <w:divBdr>
            <w:top w:val="none" w:sz="0" w:space="0" w:color="auto"/>
            <w:left w:val="none" w:sz="0" w:space="0" w:color="auto"/>
            <w:bottom w:val="none" w:sz="0" w:space="0" w:color="auto"/>
            <w:right w:val="none" w:sz="0" w:space="0" w:color="auto"/>
          </w:divBdr>
        </w:div>
        <w:div w:id="1824203717">
          <w:marLeft w:val="432"/>
          <w:marRight w:val="0"/>
          <w:marTop w:val="58"/>
          <w:marBottom w:val="0"/>
          <w:divBdr>
            <w:top w:val="none" w:sz="0" w:space="0" w:color="auto"/>
            <w:left w:val="none" w:sz="0" w:space="0" w:color="auto"/>
            <w:bottom w:val="none" w:sz="0" w:space="0" w:color="auto"/>
            <w:right w:val="none" w:sz="0" w:space="0" w:color="auto"/>
          </w:divBdr>
        </w:div>
        <w:div w:id="1040394106">
          <w:marLeft w:val="432"/>
          <w:marRight w:val="0"/>
          <w:marTop w:val="58"/>
          <w:marBottom w:val="0"/>
          <w:divBdr>
            <w:top w:val="none" w:sz="0" w:space="0" w:color="auto"/>
            <w:left w:val="none" w:sz="0" w:space="0" w:color="auto"/>
            <w:bottom w:val="none" w:sz="0" w:space="0" w:color="auto"/>
            <w:right w:val="none" w:sz="0" w:space="0" w:color="auto"/>
          </w:divBdr>
        </w:div>
      </w:divsChild>
    </w:div>
    <w:div w:id="404887361">
      <w:bodyDiv w:val="1"/>
      <w:marLeft w:val="0"/>
      <w:marRight w:val="0"/>
      <w:marTop w:val="0"/>
      <w:marBottom w:val="0"/>
      <w:divBdr>
        <w:top w:val="none" w:sz="0" w:space="0" w:color="auto"/>
        <w:left w:val="none" w:sz="0" w:space="0" w:color="auto"/>
        <w:bottom w:val="none" w:sz="0" w:space="0" w:color="auto"/>
        <w:right w:val="none" w:sz="0" w:space="0" w:color="auto"/>
      </w:divBdr>
      <w:divsChild>
        <w:div w:id="149909916">
          <w:marLeft w:val="432"/>
          <w:marRight w:val="0"/>
          <w:marTop w:val="55"/>
          <w:marBottom w:val="0"/>
          <w:divBdr>
            <w:top w:val="none" w:sz="0" w:space="0" w:color="auto"/>
            <w:left w:val="none" w:sz="0" w:space="0" w:color="auto"/>
            <w:bottom w:val="none" w:sz="0" w:space="0" w:color="auto"/>
            <w:right w:val="none" w:sz="0" w:space="0" w:color="auto"/>
          </w:divBdr>
        </w:div>
      </w:divsChild>
    </w:div>
    <w:div w:id="693771134">
      <w:bodyDiv w:val="1"/>
      <w:marLeft w:val="0"/>
      <w:marRight w:val="0"/>
      <w:marTop w:val="0"/>
      <w:marBottom w:val="0"/>
      <w:divBdr>
        <w:top w:val="none" w:sz="0" w:space="0" w:color="auto"/>
        <w:left w:val="none" w:sz="0" w:space="0" w:color="auto"/>
        <w:bottom w:val="none" w:sz="0" w:space="0" w:color="auto"/>
        <w:right w:val="none" w:sz="0" w:space="0" w:color="auto"/>
      </w:divBdr>
      <w:divsChild>
        <w:div w:id="1987053083">
          <w:marLeft w:val="432"/>
          <w:marRight w:val="0"/>
          <w:marTop w:val="58"/>
          <w:marBottom w:val="0"/>
          <w:divBdr>
            <w:top w:val="none" w:sz="0" w:space="0" w:color="auto"/>
            <w:left w:val="none" w:sz="0" w:space="0" w:color="auto"/>
            <w:bottom w:val="none" w:sz="0" w:space="0" w:color="auto"/>
            <w:right w:val="none" w:sz="0" w:space="0" w:color="auto"/>
          </w:divBdr>
        </w:div>
        <w:div w:id="1208570819">
          <w:marLeft w:val="432"/>
          <w:marRight w:val="0"/>
          <w:marTop w:val="58"/>
          <w:marBottom w:val="0"/>
          <w:divBdr>
            <w:top w:val="none" w:sz="0" w:space="0" w:color="auto"/>
            <w:left w:val="none" w:sz="0" w:space="0" w:color="auto"/>
            <w:bottom w:val="none" w:sz="0" w:space="0" w:color="auto"/>
            <w:right w:val="none" w:sz="0" w:space="0" w:color="auto"/>
          </w:divBdr>
        </w:div>
        <w:div w:id="2101024802">
          <w:marLeft w:val="432"/>
          <w:marRight w:val="0"/>
          <w:marTop w:val="58"/>
          <w:marBottom w:val="0"/>
          <w:divBdr>
            <w:top w:val="none" w:sz="0" w:space="0" w:color="auto"/>
            <w:left w:val="none" w:sz="0" w:space="0" w:color="auto"/>
            <w:bottom w:val="none" w:sz="0" w:space="0" w:color="auto"/>
            <w:right w:val="none" w:sz="0" w:space="0" w:color="auto"/>
          </w:divBdr>
        </w:div>
        <w:div w:id="1327631127">
          <w:marLeft w:val="432"/>
          <w:marRight w:val="0"/>
          <w:marTop w:val="58"/>
          <w:marBottom w:val="0"/>
          <w:divBdr>
            <w:top w:val="none" w:sz="0" w:space="0" w:color="auto"/>
            <w:left w:val="none" w:sz="0" w:space="0" w:color="auto"/>
            <w:bottom w:val="none" w:sz="0" w:space="0" w:color="auto"/>
            <w:right w:val="none" w:sz="0" w:space="0" w:color="auto"/>
          </w:divBdr>
        </w:div>
        <w:div w:id="201943916">
          <w:marLeft w:val="432"/>
          <w:marRight w:val="0"/>
          <w:marTop w:val="58"/>
          <w:marBottom w:val="0"/>
          <w:divBdr>
            <w:top w:val="none" w:sz="0" w:space="0" w:color="auto"/>
            <w:left w:val="none" w:sz="0" w:space="0" w:color="auto"/>
            <w:bottom w:val="none" w:sz="0" w:space="0" w:color="auto"/>
            <w:right w:val="none" w:sz="0" w:space="0" w:color="auto"/>
          </w:divBdr>
        </w:div>
        <w:div w:id="765421550">
          <w:marLeft w:val="432"/>
          <w:marRight w:val="0"/>
          <w:marTop w:val="58"/>
          <w:marBottom w:val="0"/>
          <w:divBdr>
            <w:top w:val="none" w:sz="0" w:space="0" w:color="auto"/>
            <w:left w:val="none" w:sz="0" w:space="0" w:color="auto"/>
            <w:bottom w:val="none" w:sz="0" w:space="0" w:color="auto"/>
            <w:right w:val="none" w:sz="0" w:space="0" w:color="auto"/>
          </w:divBdr>
        </w:div>
      </w:divsChild>
    </w:div>
    <w:div w:id="1236936832">
      <w:bodyDiv w:val="1"/>
      <w:marLeft w:val="0"/>
      <w:marRight w:val="0"/>
      <w:marTop w:val="0"/>
      <w:marBottom w:val="0"/>
      <w:divBdr>
        <w:top w:val="none" w:sz="0" w:space="0" w:color="auto"/>
        <w:left w:val="none" w:sz="0" w:space="0" w:color="auto"/>
        <w:bottom w:val="none" w:sz="0" w:space="0" w:color="auto"/>
        <w:right w:val="none" w:sz="0" w:space="0" w:color="auto"/>
      </w:divBdr>
      <w:divsChild>
        <w:div w:id="156311286">
          <w:marLeft w:val="432"/>
          <w:marRight w:val="0"/>
          <w:marTop w:val="55"/>
          <w:marBottom w:val="0"/>
          <w:divBdr>
            <w:top w:val="none" w:sz="0" w:space="0" w:color="auto"/>
            <w:left w:val="none" w:sz="0" w:space="0" w:color="auto"/>
            <w:bottom w:val="none" w:sz="0" w:space="0" w:color="auto"/>
            <w:right w:val="none" w:sz="0" w:space="0" w:color="auto"/>
          </w:divBdr>
        </w:div>
      </w:divsChild>
    </w:div>
    <w:div w:id="2060398951">
      <w:bodyDiv w:val="1"/>
      <w:marLeft w:val="0"/>
      <w:marRight w:val="0"/>
      <w:marTop w:val="0"/>
      <w:marBottom w:val="0"/>
      <w:divBdr>
        <w:top w:val="none" w:sz="0" w:space="0" w:color="auto"/>
        <w:left w:val="none" w:sz="0" w:space="0" w:color="auto"/>
        <w:bottom w:val="none" w:sz="0" w:space="0" w:color="auto"/>
        <w:right w:val="none" w:sz="0" w:space="0" w:color="auto"/>
      </w:divBdr>
      <w:divsChild>
        <w:div w:id="1554660319">
          <w:marLeft w:val="432"/>
          <w:marRight w:val="0"/>
          <w:marTop w:val="55"/>
          <w:marBottom w:val="0"/>
          <w:divBdr>
            <w:top w:val="none" w:sz="0" w:space="0" w:color="auto"/>
            <w:left w:val="none" w:sz="0" w:space="0" w:color="auto"/>
            <w:bottom w:val="none" w:sz="0" w:space="0" w:color="auto"/>
            <w:right w:val="none" w:sz="0" w:space="0" w:color="auto"/>
          </w:divBdr>
        </w:div>
        <w:div w:id="2089615596">
          <w:marLeft w:val="432"/>
          <w:marRight w:val="0"/>
          <w:marTop w:val="55"/>
          <w:marBottom w:val="0"/>
          <w:divBdr>
            <w:top w:val="none" w:sz="0" w:space="0" w:color="auto"/>
            <w:left w:val="none" w:sz="0" w:space="0" w:color="auto"/>
            <w:bottom w:val="none" w:sz="0" w:space="0" w:color="auto"/>
            <w:right w:val="none" w:sz="0" w:space="0" w:color="auto"/>
          </w:divBdr>
        </w:div>
        <w:div w:id="1515538245">
          <w:marLeft w:val="432"/>
          <w:marRight w:val="0"/>
          <w:marTop w:val="55"/>
          <w:marBottom w:val="0"/>
          <w:divBdr>
            <w:top w:val="none" w:sz="0" w:space="0" w:color="auto"/>
            <w:left w:val="none" w:sz="0" w:space="0" w:color="auto"/>
            <w:bottom w:val="none" w:sz="0" w:space="0" w:color="auto"/>
            <w:right w:val="none" w:sz="0" w:space="0" w:color="auto"/>
          </w:divBdr>
        </w:div>
        <w:div w:id="1162161600">
          <w:marLeft w:val="432"/>
          <w:marRight w:val="0"/>
          <w:marTop w:val="55"/>
          <w:marBottom w:val="0"/>
          <w:divBdr>
            <w:top w:val="none" w:sz="0" w:space="0" w:color="auto"/>
            <w:left w:val="none" w:sz="0" w:space="0" w:color="auto"/>
            <w:bottom w:val="none" w:sz="0" w:space="0" w:color="auto"/>
            <w:right w:val="none" w:sz="0" w:space="0" w:color="auto"/>
          </w:divBdr>
        </w:div>
        <w:div w:id="755786712">
          <w:marLeft w:val="432"/>
          <w:marRight w:val="0"/>
          <w:marTop w:val="5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sh-hub.org/wp-content/uploads/sites/3/2024/10/1.3.c-outil-dauto-evaluation-de-la-capacite-de-TM-SN.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h-hub.org/wp-content/uploads/sites/3/2024/10/1.1.c-dispositions-pour-la-discussion-sur-la-vision-TM.doc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ash-hub.org/wp-content/uploads/sites/3/2024/10/1.1.d-Modele-denonce-de-vision-T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manualLayout>
          <c:layoutTarget val="inner"/>
          <c:xMode val="edge"/>
          <c:yMode val="edge"/>
          <c:x val="0.236251165325646"/>
          <c:y val="0.136094298453657"/>
          <c:w val="0.46563458256242601"/>
          <c:h val="0.751862899490505"/>
        </c:manualLayout>
      </c:layout>
      <c:radarChart>
        <c:radarStyle val="marker"/>
        <c:varyColors val="0"/>
        <c:ser>
          <c:idx val="0"/>
          <c:order val="0"/>
          <c:marker>
            <c:symbol val="none"/>
          </c:marker>
          <c:cat>
            <c:strRef>
              <c:f>'1 Enabling systems'!$B$2:$D$2</c:f>
              <c:strCache>
                <c:ptCount val="3"/>
                <c:pt idx="0">
                  <c:v>Vision and strategy</c:v>
                </c:pt>
                <c:pt idx="1">
                  <c:v>Organisational structure</c:v>
                </c:pt>
                <c:pt idx="2">
                  <c:v>Managing processes</c:v>
                </c:pt>
              </c:strCache>
            </c:strRef>
          </c:cat>
          <c:val>
            <c:numRef>
              <c:f>'1 Enabling systems'!$B$9:$D$9</c:f>
              <c:numCache>
                <c:formatCode>General</c:formatCode>
                <c:ptCount val="3"/>
                <c:pt idx="0">
                  <c:v>1.4</c:v>
                </c:pt>
                <c:pt idx="1">
                  <c:v>2.25</c:v>
                </c:pt>
                <c:pt idx="2" formatCode="0.00">
                  <c:v>1.166666666666667</c:v>
                </c:pt>
              </c:numCache>
            </c:numRef>
          </c:val>
          <c:extLst>
            <c:ext xmlns:c16="http://schemas.microsoft.com/office/drawing/2014/chart" uri="{C3380CC4-5D6E-409C-BE32-E72D297353CC}">
              <c16:uniqueId val="{00000000-F9BA-4640-A823-EE76DE061813}"/>
            </c:ext>
          </c:extLst>
        </c:ser>
        <c:dLbls>
          <c:showLegendKey val="0"/>
          <c:showVal val="0"/>
          <c:showCatName val="0"/>
          <c:showSerName val="0"/>
          <c:showPercent val="0"/>
          <c:showBubbleSize val="0"/>
        </c:dLbls>
        <c:axId val="2064499896"/>
        <c:axId val="2064490744"/>
      </c:radarChart>
      <c:catAx>
        <c:axId val="2064499896"/>
        <c:scaling>
          <c:orientation val="minMax"/>
        </c:scaling>
        <c:delete val="0"/>
        <c:axPos val="b"/>
        <c:majorGridlines/>
        <c:numFmt formatCode="General" sourceLinked="0"/>
        <c:majorTickMark val="none"/>
        <c:minorTickMark val="none"/>
        <c:tickLblPos val="nextTo"/>
        <c:txPr>
          <a:bodyPr/>
          <a:lstStyle/>
          <a:p>
            <a:pPr>
              <a:defRPr sz="900"/>
            </a:pPr>
            <a:endParaRPr lang="en-US"/>
          </a:p>
        </c:txPr>
        <c:crossAx val="2064490744"/>
        <c:crosses val="autoZero"/>
        <c:auto val="1"/>
        <c:lblAlgn val="ctr"/>
        <c:lblOffset val="100"/>
        <c:noMultiLvlLbl val="0"/>
      </c:catAx>
      <c:valAx>
        <c:axId val="2064490744"/>
        <c:scaling>
          <c:orientation val="minMax"/>
          <c:max val="5"/>
          <c:min val="0"/>
        </c:scaling>
        <c:delete val="0"/>
        <c:axPos val="l"/>
        <c:majorGridlines/>
        <c:numFmt formatCode="General" sourceLinked="1"/>
        <c:majorTickMark val="out"/>
        <c:minorTickMark val="none"/>
        <c:tickLblPos val="nextTo"/>
        <c:txPr>
          <a:bodyPr/>
          <a:lstStyle/>
          <a:p>
            <a:pPr>
              <a:defRPr sz="900"/>
            </a:pPr>
            <a:endParaRPr lang="en-US"/>
          </a:p>
        </c:txPr>
        <c:crossAx val="206449989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IFRC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DD7E19-546E-4CA5-AC9D-13E1BA51EF07}">
  <ds:schemaRefs>
    <ds:schemaRef ds:uri="http://schemas.microsoft.com/sharepoint/v3/contenttype/forms"/>
  </ds:schemaRefs>
</ds:datastoreItem>
</file>

<file path=customXml/itemProps2.xml><?xml version="1.0" encoding="utf-8"?>
<ds:datastoreItem xmlns:ds="http://schemas.openxmlformats.org/officeDocument/2006/customXml" ds:itemID="{A5CC104A-172F-40AC-8FDE-E2C1C2EE8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B3F54-C69D-4258-830C-3089CC93BA02}">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ICRC_Template</Template>
  <TotalTime>57</TotalTime>
  <Pages>6</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Aisha Yusuf</cp:lastModifiedBy>
  <cp:revision>45</cp:revision>
  <cp:lastPrinted>2022-11-08T21:13:00Z</cp:lastPrinted>
  <dcterms:created xsi:type="dcterms:W3CDTF">2023-06-29T12:10:00Z</dcterms:created>
  <dcterms:modified xsi:type="dcterms:W3CDTF">2024-10-21T09:13:00Z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2023-06-29T12:10:24Z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6b1f506c-5e1a-40b1-94ab-3d9d424bc1d4</vt:lpwstr>
  </property>
  <property fmtid="{D5CDD505-2E9C-101B-9397-08002B2CF9AE}" pid="13" name="MSIP_Label_6627b15a-80ec-4ef7-8353-f32e3c89bf3e_ContentBits">
    <vt:lpwstr>2</vt:lpwstr>
  </property>
</Properties>
</file>