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57CE" w14:textId="2451A942" w:rsidR="00C34300" w:rsidRPr="0000741D" w:rsidRDefault="007618D2" w:rsidP="006669E8">
      <w:pPr>
        <w:pStyle w:val="Heading1"/>
        <w:jc w:val="center"/>
        <w:rPr>
          <w:rStyle w:val="BoldEmphasis"/>
          <w:rFonts w:ascii="Verdana" w:hAnsi="Verdana" w:cs="Times New Roman"/>
          <w:b/>
          <w:color w:val="auto"/>
          <w:sz w:val="28"/>
          <w:szCs w:val="28"/>
        </w:rPr>
      </w:pPr>
      <w:r>
        <w:rPr>
          <w:rStyle w:val="BoldEmphasis"/>
          <w:rFonts w:ascii="Verdana" w:hAnsi="Verdana"/>
          <w:b/>
          <w:sz w:val="28"/>
        </w:rPr>
        <w:t>Termes de Références</w:t>
      </w:r>
      <w:r w:rsidR="00D9212C">
        <w:rPr>
          <w:rStyle w:val="BoldEmphasis"/>
          <w:rFonts w:ascii="Verdana" w:hAnsi="Verdana"/>
          <w:b/>
          <w:sz w:val="28"/>
        </w:rPr>
        <w:t xml:space="preserve"> pour la révision à mi-parcours de </w:t>
      </w:r>
      <w:r>
        <w:rPr>
          <w:rStyle w:val="BoldEmphasis"/>
          <w:rFonts w:ascii="Verdana" w:hAnsi="Verdana"/>
          <w:b/>
          <w:sz w:val="28"/>
        </w:rPr>
        <w:t>la PTM</w:t>
      </w:r>
    </w:p>
    <w:p w14:paraId="2739BC1F" w14:textId="32E94192" w:rsidR="00936F80" w:rsidRPr="0000741D" w:rsidRDefault="009E1ABF" w:rsidP="00BC579E">
      <w:pPr>
        <w:pStyle w:val="Heading1"/>
        <w:jc w:val="center"/>
      </w:pPr>
      <w:r>
        <w:rPr>
          <w:rStyle w:val="BoldEmphasis"/>
          <w:rFonts w:ascii="Verdana" w:hAnsi="Verdana"/>
          <w:b/>
          <w:i/>
          <w:sz w:val="28"/>
        </w:rPr>
        <w:t>&lt;Inscrire le nom de la SN et le programme/année de TM&gt;</w:t>
      </w:r>
    </w:p>
    <w:p w14:paraId="36CD8D3C" w14:textId="77777777" w:rsidR="00F96721" w:rsidRDefault="00F96721" w:rsidP="00B52BEB">
      <w:pPr>
        <w:pStyle w:val="Subheading"/>
        <w:jc w:val="both"/>
        <w:rPr>
          <w:rFonts w:cs="Arial"/>
        </w:rPr>
      </w:pPr>
    </w:p>
    <w:p w14:paraId="663C74BB" w14:textId="457D27A9" w:rsidR="00936F80" w:rsidRPr="008B039D" w:rsidRDefault="00936F80" w:rsidP="00B52BEB">
      <w:pPr>
        <w:pStyle w:val="Subheading"/>
        <w:jc w:val="both"/>
        <w:rPr>
          <w:rFonts w:ascii="Verdana" w:hAnsi="Verdana" w:cs="Arial"/>
          <w:sz w:val="22"/>
        </w:rPr>
      </w:pPr>
      <w:r>
        <w:rPr>
          <w:rFonts w:ascii="Verdana" w:hAnsi="Verdana"/>
          <w:sz w:val="22"/>
        </w:rPr>
        <w:t xml:space="preserve">Récapitulatif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0C5A79" w14:paraId="3B8F42B6" w14:textId="77777777" w:rsidTr="1115FBD5">
        <w:trPr>
          <w:trHeight w:val="1672"/>
        </w:trPr>
        <w:tc>
          <w:tcPr>
            <w:tcW w:w="9765" w:type="dxa"/>
            <w:shd w:val="clear" w:color="auto" w:fill="F2F2F2" w:themeFill="background1" w:themeFillShade="F2"/>
            <w:vAlign w:val="center"/>
          </w:tcPr>
          <w:p w14:paraId="6BDEA646" w14:textId="6BD6FDA6" w:rsidR="0069539F" w:rsidRPr="00BD3C0C" w:rsidRDefault="203BDB14" w:rsidP="364D6FEE">
            <w:pPr>
              <w:jc w:val="both"/>
              <w:rPr>
                <w:rFonts w:ascii="Verdana" w:hAnsi="Verdana"/>
                <w:sz w:val="16"/>
                <w:szCs w:val="16"/>
              </w:rPr>
            </w:pPr>
            <w:r>
              <w:rPr>
                <w:rFonts w:ascii="Verdana" w:hAnsi="Verdana"/>
                <w:b/>
                <w:bCs/>
                <w:sz w:val="16"/>
              </w:rPr>
              <w:t>Objectif</w:t>
            </w:r>
            <w:r>
              <w:rPr>
                <w:rFonts w:ascii="Verdana" w:hAnsi="Verdana"/>
                <w:sz w:val="16"/>
              </w:rPr>
              <w:t xml:space="preserve"> : Un examen participatif en atelier pour saisir les progrès et éclairer la prise de décision concernant les prochaines étapes des activités </w:t>
            </w:r>
            <w:r w:rsidR="007618D2">
              <w:rPr>
                <w:rFonts w:ascii="Verdana" w:hAnsi="Verdana"/>
                <w:sz w:val="16"/>
              </w:rPr>
              <w:t>de PTM</w:t>
            </w:r>
            <w:r>
              <w:rPr>
                <w:rFonts w:ascii="Verdana" w:hAnsi="Verdana"/>
                <w:sz w:val="16"/>
              </w:rPr>
              <w:t>, en réfléchissant sur ce qui fonctionne, ce qui ne fonctionne pas et ce qui devrait être fait à l’avenir. Cela inclut l’examen des progrès par rapport à la capacité de préparation organisationnelle des TM de la SN (auto-évaluation de la capacité des TM) et la mise en œuvre par rapport au Plan d’action des TM (</w:t>
            </w:r>
            <w:proofErr w:type="spellStart"/>
            <w:r>
              <w:rPr>
                <w:rFonts w:ascii="Verdana" w:hAnsi="Verdana"/>
                <w:sz w:val="16"/>
              </w:rPr>
              <w:t>PoA</w:t>
            </w:r>
            <w:proofErr w:type="spellEnd"/>
            <w:r>
              <w:rPr>
                <w:rFonts w:ascii="Verdana" w:hAnsi="Verdana"/>
                <w:sz w:val="16"/>
              </w:rPr>
              <w:t xml:space="preserve">), aux niveaux de préparation opérationnelle des TM du mouvement et à la vision des TM de la SN. Un plan d’action révisé sera également publié. </w:t>
            </w:r>
          </w:p>
          <w:p w14:paraId="58B36881" w14:textId="1CDBBF11" w:rsidR="00DC3D1C" w:rsidRDefault="00DC3D1C" w:rsidP="1115FBD5">
            <w:pPr>
              <w:jc w:val="both"/>
              <w:rPr>
                <w:rFonts w:ascii="Verdana" w:hAnsi="Verdana" w:cs="Arial"/>
                <w:sz w:val="16"/>
                <w:szCs w:val="16"/>
              </w:rPr>
            </w:pPr>
            <w:r>
              <w:rPr>
                <w:rFonts w:ascii="Verdana" w:hAnsi="Verdana"/>
                <w:b/>
                <w:sz w:val="16"/>
              </w:rPr>
              <w:t xml:space="preserve">Animateurs de l’atelier : </w:t>
            </w:r>
            <w:r>
              <w:rPr>
                <w:rFonts w:ascii="Verdana" w:hAnsi="Verdana"/>
                <w:sz w:val="16"/>
              </w:rPr>
              <w:t xml:space="preserve">  Point focal TM + PMER, soutenu par le délégué de préparation TM, si nécessaire. Le GTT des TM doit également être nécessaire pour soutenir le processus global.</w:t>
            </w:r>
          </w:p>
          <w:p w14:paraId="6812FD60" w14:textId="73B4C91C" w:rsidR="00034343" w:rsidRPr="000C5A79" w:rsidRDefault="00DC3D1C" w:rsidP="0000741D">
            <w:pPr>
              <w:pStyle w:val="TableBullets"/>
              <w:numPr>
                <w:ilvl w:val="0"/>
                <w:numId w:val="0"/>
              </w:numPr>
              <w:jc w:val="both"/>
              <w:rPr>
                <w:rFonts w:cs="Arial"/>
              </w:rPr>
            </w:pPr>
            <w:r>
              <w:rPr>
                <w:rFonts w:ascii="Verdana" w:hAnsi="Verdana"/>
                <w:b/>
                <w:sz w:val="16"/>
              </w:rPr>
              <w:t>Exemple d’emploi du temps :</w:t>
            </w:r>
            <w:r>
              <w:rPr>
                <w:rFonts w:ascii="Verdana" w:hAnsi="Verdana"/>
                <w:sz w:val="16"/>
              </w:rPr>
              <w:t xml:space="preserve">  2 jours, plus le temps de préparation avant l’atelier</w:t>
            </w:r>
          </w:p>
        </w:tc>
      </w:tr>
    </w:tbl>
    <w:p w14:paraId="0A07C8DA" w14:textId="2981D5AC" w:rsidR="00936F80" w:rsidRPr="000C5A79" w:rsidRDefault="00936F80" w:rsidP="00B52BEB">
      <w:pPr>
        <w:jc w:val="both"/>
        <w:rPr>
          <w:rFonts w:cs="Arial"/>
        </w:rPr>
      </w:pPr>
    </w:p>
    <w:p w14:paraId="2436E68A" w14:textId="5C690F4F" w:rsidR="00DC3D1C" w:rsidRPr="0000741D" w:rsidRDefault="00E411B5" w:rsidP="00144A07">
      <w:pPr>
        <w:pStyle w:val="Heading1"/>
      </w:pPr>
      <w:bookmarkStart w:id="0" w:name="_Toc535934241"/>
      <w:r>
        <w:t>Contexte</w:t>
      </w:r>
      <w:bookmarkEnd w:id="0"/>
      <w:r>
        <w:t xml:space="preserve"> </w:t>
      </w:r>
    </w:p>
    <w:p w14:paraId="511D527C" w14:textId="3CF5065A" w:rsidR="002C372B" w:rsidRDefault="002C372B" w:rsidP="002C372B">
      <w:pPr>
        <w:jc w:val="both"/>
        <w:rPr>
          <w:rFonts w:ascii="Verdana" w:hAnsi="Verdana" w:cs="Arial"/>
          <w:i/>
          <w:iCs/>
          <w:sz w:val="18"/>
          <w:szCs w:val="18"/>
        </w:rPr>
      </w:pPr>
      <w:r>
        <w:rPr>
          <w:rFonts w:ascii="Verdana" w:hAnsi="Verdana"/>
          <w:sz w:val="18"/>
        </w:rPr>
        <w:t xml:space="preserve">La vision pour le </w:t>
      </w:r>
      <w:r w:rsidRPr="004C1D02">
        <w:rPr>
          <w:rFonts w:ascii="Verdana" w:hAnsi="Verdana"/>
          <w:sz w:val="18"/>
        </w:rPr>
        <w:t xml:space="preserve">programme </w:t>
      </w:r>
      <w:r w:rsidR="007618D2">
        <w:rPr>
          <w:rFonts w:ascii="Verdana" w:hAnsi="Verdana"/>
          <w:sz w:val="18"/>
        </w:rPr>
        <w:t>de PTM</w:t>
      </w:r>
      <w:r>
        <w:rPr>
          <w:rFonts w:ascii="Verdana" w:hAnsi="Verdana"/>
          <w:i/>
          <w:sz w:val="18"/>
        </w:rPr>
        <w:t xml:space="preserve"> &lt;insérer nom de la SN&gt;</w:t>
      </w:r>
      <w:r>
        <w:rPr>
          <w:rFonts w:ascii="Verdana" w:hAnsi="Verdana"/>
          <w:sz w:val="18"/>
        </w:rPr>
        <w:t xml:space="preserve"> est de </w:t>
      </w:r>
      <w:r>
        <w:rPr>
          <w:rFonts w:ascii="Verdana" w:hAnsi="Verdana"/>
          <w:i/>
          <w:sz w:val="18"/>
        </w:rPr>
        <w:t xml:space="preserve">&lt;insérer </w:t>
      </w:r>
      <w:proofErr w:type="gramStart"/>
      <w:r>
        <w:rPr>
          <w:rFonts w:ascii="Verdana" w:hAnsi="Verdana"/>
          <w:i/>
          <w:sz w:val="18"/>
        </w:rPr>
        <w:t>énoncé</w:t>
      </w:r>
      <w:proofErr w:type="gramEnd"/>
      <w:r>
        <w:rPr>
          <w:rFonts w:ascii="Verdana" w:hAnsi="Verdana"/>
          <w:i/>
          <w:sz w:val="18"/>
        </w:rPr>
        <w:t xml:space="preserve"> de vision&gt; et &lt;récapituler objectifs </w:t>
      </w:r>
      <w:r w:rsidR="007618D2">
        <w:rPr>
          <w:rFonts w:ascii="Verdana" w:hAnsi="Verdana"/>
          <w:i/>
          <w:sz w:val="18"/>
        </w:rPr>
        <w:t>de PTM</w:t>
      </w:r>
      <w:r>
        <w:rPr>
          <w:rFonts w:ascii="Verdana" w:hAnsi="Verdana"/>
          <w:i/>
          <w:sz w:val="18"/>
        </w:rPr>
        <w:t xml:space="preserve">&gt;. </w:t>
      </w:r>
      <w:r>
        <w:rPr>
          <w:rFonts w:ascii="Verdana" w:hAnsi="Verdana"/>
          <w:sz w:val="18"/>
        </w:rPr>
        <w:t xml:space="preserve">Ceci est lié à l’ambition plus large de la FICR en termes de TM de fournir 50 % de l’aide humanitaire par le biais des TM d’ici 2025 et au contexte de la stratégie SN </w:t>
      </w:r>
      <w:r>
        <w:rPr>
          <w:rFonts w:ascii="Verdana" w:hAnsi="Verdana"/>
          <w:i/>
          <w:sz w:val="18"/>
        </w:rPr>
        <w:t>&lt;insérer les objectifs pertinents et comment la TM s’y intègre&gt;.</w:t>
      </w:r>
    </w:p>
    <w:p w14:paraId="1524FAC4" w14:textId="1A420382" w:rsidR="007F7273" w:rsidRPr="00A71B9B" w:rsidRDefault="002C372B" w:rsidP="00A71B9B">
      <w:pPr>
        <w:jc w:val="both"/>
        <w:rPr>
          <w:rFonts w:ascii="Verdana" w:hAnsi="Verdana" w:cs="Arial"/>
          <w:b/>
          <w:bCs/>
          <w:sz w:val="18"/>
          <w:szCs w:val="18"/>
        </w:rPr>
      </w:pPr>
      <w:r>
        <w:rPr>
          <w:rFonts w:ascii="Verdana" w:hAnsi="Verdana"/>
          <w:sz w:val="18"/>
        </w:rPr>
        <w:t xml:space="preserve">Le programme </w:t>
      </w:r>
      <w:r w:rsidR="007618D2">
        <w:rPr>
          <w:rFonts w:ascii="Verdana" w:hAnsi="Verdana"/>
          <w:sz w:val="18"/>
        </w:rPr>
        <w:t>de PTM</w:t>
      </w:r>
      <w:r>
        <w:rPr>
          <w:rFonts w:ascii="Verdana" w:hAnsi="Verdana"/>
          <w:sz w:val="18"/>
        </w:rPr>
        <w:t xml:space="preserve"> de la SN </w:t>
      </w:r>
      <w:r>
        <w:rPr>
          <w:rFonts w:ascii="Verdana" w:hAnsi="Verdana"/>
          <w:i/>
          <w:sz w:val="18"/>
        </w:rPr>
        <w:t xml:space="preserve">&lt;insérer le nom du projet&gt; </w:t>
      </w:r>
      <w:r>
        <w:rPr>
          <w:rFonts w:ascii="Verdana" w:hAnsi="Verdana"/>
          <w:sz w:val="18"/>
        </w:rPr>
        <w:t xml:space="preserve">se déroule entre </w:t>
      </w:r>
      <w:r>
        <w:rPr>
          <w:rFonts w:ascii="Verdana" w:hAnsi="Verdana"/>
          <w:i/>
          <w:sz w:val="18"/>
        </w:rPr>
        <w:t xml:space="preserve">&lt;insérer le mois et l’année&gt; et &lt;insérer le mois et l’année&gt; </w:t>
      </w:r>
      <w:r>
        <w:rPr>
          <w:rFonts w:ascii="Verdana" w:hAnsi="Verdana"/>
          <w:sz w:val="18"/>
        </w:rPr>
        <w:t>et est financé par</w:t>
      </w:r>
      <w:r>
        <w:rPr>
          <w:rFonts w:ascii="Verdana" w:hAnsi="Verdana"/>
          <w:b/>
          <w:sz w:val="18"/>
        </w:rPr>
        <w:t xml:space="preserve"> </w:t>
      </w:r>
      <w:r>
        <w:rPr>
          <w:rFonts w:ascii="Verdana" w:hAnsi="Verdana"/>
          <w:i/>
          <w:sz w:val="18"/>
        </w:rPr>
        <w:t>&lt;insérer le nom SN partenaire et/ou FICR&gt;</w:t>
      </w:r>
      <w:r>
        <w:rPr>
          <w:rFonts w:ascii="Verdana" w:hAnsi="Verdana"/>
          <w:sz w:val="18"/>
        </w:rPr>
        <w:t xml:space="preserve"> le programme </w:t>
      </w:r>
      <w:r w:rsidR="007618D2">
        <w:rPr>
          <w:rFonts w:ascii="Verdana" w:hAnsi="Verdana"/>
          <w:sz w:val="18"/>
        </w:rPr>
        <w:t>de PTM</w:t>
      </w:r>
      <w:r>
        <w:rPr>
          <w:rFonts w:ascii="Verdana" w:hAnsi="Verdana"/>
          <w:sz w:val="18"/>
        </w:rPr>
        <w:t xml:space="preserve"> suit le modèle standard de renforcement des capacités de préparation TM dans les cinq domaines d’investissement de la direction de </w:t>
      </w:r>
      <w:r w:rsidR="007618D2">
        <w:rPr>
          <w:rFonts w:ascii="Verdana" w:hAnsi="Verdana"/>
          <w:sz w:val="18"/>
        </w:rPr>
        <w:t>la PTM</w:t>
      </w:r>
      <w:r>
        <w:rPr>
          <w:rFonts w:ascii="Verdana" w:hAnsi="Verdana"/>
          <w:sz w:val="18"/>
        </w:rPr>
        <w:t> ; processus, systèmes et outils ; ressources et capacités financières et humaines ; CEA, coordination et partenariats ; tester, apprendre et améliorer.</w:t>
      </w:r>
      <w:r>
        <w:rPr>
          <w:rFonts w:ascii="Verdana" w:hAnsi="Verdana"/>
          <w:b/>
          <w:sz w:val="18"/>
        </w:rPr>
        <w:t xml:space="preserve"> </w:t>
      </w:r>
      <w:r>
        <w:rPr>
          <w:rFonts w:ascii="Verdana" w:hAnsi="Verdana"/>
          <w:sz w:val="18"/>
        </w:rPr>
        <w:t xml:space="preserve">Pour évaluer les progrès, la SN mesure à la fois sa capacité de préparation organisationnelle TM dans les 5 domaines </w:t>
      </w:r>
      <w:r w:rsidR="007618D2">
        <w:rPr>
          <w:rFonts w:ascii="Verdana" w:hAnsi="Verdana"/>
          <w:sz w:val="18"/>
        </w:rPr>
        <w:t>de PTM</w:t>
      </w:r>
      <w:r>
        <w:rPr>
          <w:rFonts w:ascii="Verdana" w:hAnsi="Verdana"/>
          <w:sz w:val="18"/>
        </w:rPr>
        <w:t xml:space="preserve"> (par le biais de l’auto-évaluation de la capacité TM) et son niveau de préparation opérationnelle TM (par les cinq indicateurs de préparation opérationnelle TM du mouvement, qui déterminent le niveau global </w:t>
      </w:r>
      <w:r w:rsidR="007618D2">
        <w:rPr>
          <w:rFonts w:ascii="Verdana" w:hAnsi="Verdana"/>
          <w:sz w:val="18"/>
        </w:rPr>
        <w:t>de PTM</w:t>
      </w:r>
      <w:r>
        <w:rPr>
          <w:rFonts w:ascii="Verdana" w:hAnsi="Verdana"/>
          <w:sz w:val="18"/>
        </w:rPr>
        <w:t xml:space="preserve"> atteint par la SN.</w:t>
      </w:r>
    </w:p>
    <w:p w14:paraId="5747F559" w14:textId="77777777" w:rsidR="00595676" w:rsidRPr="004076D3" w:rsidRDefault="00595676" w:rsidP="00EB283F">
      <w:pPr>
        <w:jc w:val="both"/>
        <w:rPr>
          <w:rFonts w:ascii="Verdana" w:hAnsi="Verdana" w:cs="Arial"/>
          <w:sz w:val="18"/>
          <w:szCs w:val="18"/>
        </w:rPr>
      </w:pPr>
    </w:p>
    <w:p w14:paraId="11D1DD3C" w14:textId="4A21AD1F" w:rsidR="0034618C" w:rsidRPr="00E50752" w:rsidRDefault="00E411B5" w:rsidP="00144A07">
      <w:pPr>
        <w:pStyle w:val="Heading1"/>
      </w:pPr>
      <w:bookmarkStart w:id="1" w:name="_Toc535934242"/>
      <w:r>
        <w:t xml:space="preserve">Objectif de </w:t>
      </w:r>
      <w:bookmarkEnd w:id="1"/>
      <w:r>
        <w:t>l’évaluation</w:t>
      </w:r>
    </w:p>
    <w:p w14:paraId="56C557BD" w14:textId="718D4673" w:rsidR="007D5E25" w:rsidRPr="007D5E25" w:rsidRDefault="0034618C" w:rsidP="007D5E25">
      <w:pPr>
        <w:rPr>
          <w:rFonts w:ascii="Verdana" w:hAnsi="Verdana"/>
          <w:sz w:val="18"/>
          <w:szCs w:val="18"/>
        </w:rPr>
      </w:pPr>
      <w:r>
        <w:rPr>
          <w:rFonts w:ascii="Verdana" w:hAnsi="Verdana"/>
          <w:sz w:val="18"/>
        </w:rPr>
        <w:t xml:space="preserve">Le but de l’examen à mi-parcours est d’éclairer la prise de décision concernant les prochaines étapes du projet </w:t>
      </w:r>
      <w:r w:rsidR="007618D2">
        <w:rPr>
          <w:rFonts w:ascii="Verdana" w:hAnsi="Verdana"/>
          <w:sz w:val="18"/>
        </w:rPr>
        <w:t>de PTM</w:t>
      </w:r>
      <w:r>
        <w:rPr>
          <w:rFonts w:ascii="Verdana" w:hAnsi="Verdana"/>
          <w:sz w:val="18"/>
        </w:rPr>
        <w:t>. Il comprend une mise à jour sur la capacité de préparation organisationnelle de TM de SN (par le biais de l’évaluation de l’</w:t>
      </w:r>
      <w:proofErr w:type="spellStart"/>
      <w:r>
        <w:rPr>
          <w:rFonts w:ascii="Verdana" w:hAnsi="Verdana"/>
          <w:sz w:val="18"/>
        </w:rPr>
        <w:t>autocapacité</w:t>
      </w:r>
      <w:proofErr w:type="spellEnd"/>
      <w:r>
        <w:rPr>
          <w:rFonts w:ascii="Verdana" w:hAnsi="Verdana"/>
          <w:sz w:val="18"/>
        </w:rPr>
        <w:t xml:space="preserve"> de TM), une mise à jour sur les niveaux de préparation opérationnelle de Mouvement de TM, un réexamen de la vision de TM de SN pour s’assurer qu’elle reste pertinente, et un examen et une révision du plan d’action</w:t>
      </w:r>
      <w:r w:rsidR="00AC2D12">
        <w:rPr>
          <w:rFonts w:ascii="Verdana" w:hAnsi="Verdana"/>
          <w:sz w:val="18"/>
        </w:rPr>
        <w:t xml:space="preserve"> (</w:t>
      </w:r>
      <w:proofErr w:type="spellStart"/>
      <w:r w:rsidR="00AC2D12">
        <w:rPr>
          <w:rFonts w:ascii="Verdana" w:hAnsi="Verdana"/>
          <w:sz w:val="18"/>
        </w:rPr>
        <w:t>P</w:t>
      </w:r>
      <w:r w:rsidR="002D3908">
        <w:rPr>
          <w:rFonts w:ascii="Verdana" w:hAnsi="Verdana"/>
          <w:sz w:val="18"/>
        </w:rPr>
        <w:t>oA</w:t>
      </w:r>
      <w:proofErr w:type="spellEnd"/>
      <w:r w:rsidR="002D3908">
        <w:rPr>
          <w:rFonts w:ascii="Verdana" w:hAnsi="Verdana"/>
          <w:sz w:val="18"/>
        </w:rPr>
        <w:t>)</w:t>
      </w:r>
      <w:r>
        <w:rPr>
          <w:rFonts w:ascii="Verdana" w:hAnsi="Verdana"/>
          <w:sz w:val="18"/>
        </w:rPr>
        <w:t>, y compris une présentation à la direction.</w:t>
      </w:r>
    </w:p>
    <w:p w14:paraId="7D2B8E0A" w14:textId="53D49AC5" w:rsidR="00B27344" w:rsidRPr="00B27344" w:rsidRDefault="007D5E25" w:rsidP="00E50752">
      <w:pPr>
        <w:rPr>
          <w:rFonts w:ascii="Verdana" w:hAnsi="Verdana"/>
          <w:sz w:val="18"/>
          <w:szCs w:val="18"/>
        </w:rPr>
      </w:pPr>
      <w:r>
        <w:rPr>
          <w:rFonts w:ascii="Verdana" w:hAnsi="Verdana"/>
          <w:sz w:val="18"/>
        </w:rPr>
        <w:t xml:space="preserve">L’examen donne l’occasion à la SN d’affiner ou de recentrer les objectifs généraux du projet </w:t>
      </w:r>
      <w:r w:rsidR="007618D2">
        <w:rPr>
          <w:rFonts w:ascii="Verdana" w:hAnsi="Verdana"/>
          <w:sz w:val="18"/>
        </w:rPr>
        <w:t>de la PTM</w:t>
      </w:r>
      <w:r>
        <w:rPr>
          <w:rFonts w:ascii="Verdana" w:hAnsi="Verdana"/>
          <w:sz w:val="18"/>
        </w:rPr>
        <w:t>, ainsi que de réfléchir aux progrès réalisés au niveau des extrants/activités et de réfléchir aux facteurs habilitants et aux difficultés.</w:t>
      </w:r>
    </w:p>
    <w:p w14:paraId="5FFDE962" w14:textId="1E424E1C" w:rsidR="00DD37DB" w:rsidRDefault="00E50752" w:rsidP="00A440A9">
      <w:pPr>
        <w:rPr>
          <w:rFonts w:ascii="Verdana" w:hAnsi="Verdana"/>
          <w:sz w:val="18"/>
          <w:szCs w:val="18"/>
        </w:rPr>
      </w:pPr>
      <w:r>
        <w:rPr>
          <w:rFonts w:ascii="Verdana" w:hAnsi="Verdana"/>
          <w:sz w:val="18"/>
        </w:rPr>
        <w:t xml:space="preserve">L’examen couvrira la période allant du début du projet </w:t>
      </w:r>
      <w:r w:rsidR="007618D2">
        <w:rPr>
          <w:rFonts w:ascii="Verdana" w:hAnsi="Verdana"/>
          <w:sz w:val="18"/>
        </w:rPr>
        <w:t>de PTM</w:t>
      </w:r>
      <w:r>
        <w:rPr>
          <w:rFonts w:ascii="Verdana" w:hAnsi="Verdana"/>
          <w:sz w:val="18"/>
        </w:rPr>
        <w:t xml:space="preserve"> à aujourd’hui (à mi-parcours).</w:t>
      </w:r>
    </w:p>
    <w:p w14:paraId="40471060" w14:textId="77777777" w:rsidR="000F6DBD" w:rsidRDefault="000F6DBD" w:rsidP="00144A07">
      <w:pPr>
        <w:pStyle w:val="Heading1"/>
      </w:pPr>
    </w:p>
    <w:p w14:paraId="67019A11" w14:textId="0A06C1D7" w:rsidR="00C03A3A" w:rsidRPr="00CE5C22" w:rsidRDefault="00C03A3A" w:rsidP="00144A07">
      <w:pPr>
        <w:pStyle w:val="Heading1"/>
      </w:pPr>
      <w:r>
        <w:t xml:space="preserve">Objectifs </w:t>
      </w:r>
    </w:p>
    <w:p w14:paraId="3FE624D1" w14:textId="1A22BF49" w:rsidR="00530B4A" w:rsidRPr="00C34300" w:rsidRDefault="00530B4A" w:rsidP="00EB283F">
      <w:pPr>
        <w:jc w:val="both"/>
        <w:rPr>
          <w:rFonts w:ascii="Verdana" w:hAnsi="Verdana" w:cs="Arial"/>
          <w:sz w:val="18"/>
          <w:szCs w:val="18"/>
        </w:rPr>
      </w:pPr>
      <w:r>
        <w:rPr>
          <w:rFonts w:ascii="Verdana" w:hAnsi="Verdana"/>
          <w:sz w:val="18"/>
        </w:rPr>
        <w:t>Les objectifs spécifiques de l’examen sont les suivants :</w:t>
      </w:r>
    </w:p>
    <w:p w14:paraId="22E8AD56" w14:textId="70BB5A24" w:rsidR="0081429D" w:rsidRPr="00BC579E" w:rsidRDefault="0081429D" w:rsidP="0081429D">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Évaluer les changements dans la capacité de préparation organisationnelle de </w:t>
      </w:r>
      <w:r w:rsidR="007618D2">
        <w:rPr>
          <w:rFonts w:ascii="Verdana" w:hAnsi="Verdana"/>
          <w:sz w:val="18"/>
        </w:rPr>
        <w:t xml:space="preserve">la </w:t>
      </w:r>
      <w:r>
        <w:rPr>
          <w:rFonts w:ascii="Verdana" w:hAnsi="Verdana"/>
          <w:sz w:val="18"/>
        </w:rPr>
        <w:t>SN</w:t>
      </w:r>
      <w:r w:rsidR="007618D2">
        <w:rPr>
          <w:rFonts w:ascii="Verdana" w:hAnsi="Verdana"/>
          <w:sz w:val="18"/>
        </w:rPr>
        <w:t xml:space="preserve"> en</w:t>
      </w:r>
      <w:r>
        <w:rPr>
          <w:rFonts w:ascii="Verdana" w:hAnsi="Verdana"/>
          <w:sz w:val="18"/>
        </w:rPr>
        <w:t xml:space="preserve"> TM en utilisant l’auto-évaluation de la capacité de TM comme référence et mettre à jour toute augmentation des niveaux de préparation organisationnelle de </w:t>
      </w:r>
      <w:r w:rsidR="007618D2">
        <w:rPr>
          <w:rFonts w:ascii="Verdana" w:hAnsi="Verdana"/>
          <w:sz w:val="18"/>
        </w:rPr>
        <w:t>la SN en TM</w:t>
      </w:r>
      <w:r>
        <w:rPr>
          <w:rFonts w:ascii="Verdana" w:hAnsi="Verdana"/>
          <w:sz w:val="18"/>
        </w:rPr>
        <w:t xml:space="preserve"> atteinte à mi-parcours.</w:t>
      </w:r>
    </w:p>
    <w:p w14:paraId="2595A2FE" w14:textId="142DA7B2" w:rsidR="00572F93" w:rsidRPr="00DD37DB" w:rsidRDefault="00183F66">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Évaluer les progrès par rapport aux niveaux de préparation opérationnelle de l’évaluation des mouvements atteints à mi-parcours, tels qu’ils ont été saisis par comptage des espèces si le SN participe ou de manière indépendante </w:t>
      </w:r>
    </w:p>
    <w:p w14:paraId="52404322" w14:textId="5E7E0C57" w:rsidR="00572F93" w:rsidRPr="00DD37DB" w:rsidRDefault="00A440A9">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Examiner la mise en œuvre du </w:t>
      </w:r>
      <w:r w:rsidR="00812605">
        <w:rPr>
          <w:rFonts w:ascii="Verdana" w:hAnsi="Verdana"/>
          <w:sz w:val="18"/>
        </w:rPr>
        <w:t>plan</w:t>
      </w:r>
      <w:r>
        <w:rPr>
          <w:rFonts w:ascii="Verdana" w:hAnsi="Verdana"/>
          <w:sz w:val="18"/>
        </w:rPr>
        <w:t xml:space="preserve"> d’action, afin d’orienter les activités restantes du projet et les ressources nécessaires pour assurer la réalisation des objectifs du programme </w:t>
      </w:r>
      <w:r w:rsidR="007618D2">
        <w:rPr>
          <w:rFonts w:ascii="Verdana" w:hAnsi="Verdana"/>
          <w:sz w:val="18"/>
        </w:rPr>
        <w:t>de PTM</w:t>
      </w:r>
      <w:r>
        <w:rPr>
          <w:rFonts w:ascii="Verdana" w:hAnsi="Verdana"/>
          <w:sz w:val="18"/>
        </w:rPr>
        <w:t>.</w:t>
      </w:r>
    </w:p>
    <w:p w14:paraId="7D31D387" w14:textId="654D6816" w:rsidR="0000741D" w:rsidRPr="0000741D" w:rsidRDefault="006C3837">
      <w:pPr>
        <w:pStyle w:val="ListParagraph"/>
        <w:numPr>
          <w:ilvl w:val="0"/>
          <w:numId w:val="7"/>
        </w:numPr>
        <w:spacing w:after="200" w:line="276" w:lineRule="auto"/>
        <w:jc w:val="both"/>
      </w:pPr>
      <w:r>
        <w:rPr>
          <w:rFonts w:ascii="Verdana" w:hAnsi="Verdana"/>
          <w:sz w:val="18"/>
        </w:rPr>
        <w:t xml:space="preserve">En fonction des progrès enregistrés, possibilité de revoir et de mettre à jour la vision de TM. </w:t>
      </w:r>
      <w:bookmarkStart w:id="2" w:name="_Toc535934244"/>
    </w:p>
    <w:p w14:paraId="135C021E" w14:textId="62535A91" w:rsidR="000F6DBD" w:rsidRPr="000F6DBD" w:rsidRDefault="0034618C">
      <w:pPr>
        <w:pStyle w:val="ListParagraph"/>
        <w:numPr>
          <w:ilvl w:val="0"/>
          <w:numId w:val="7"/>
        </w:numPr>
        <w:spacing w:after="200" w:line="276" w:lineRule="auto"/>
        <w:jc w:val="both"/>
      </w:pPr>
      <w:r>
        <w:rPr>
          <w:rFonts w:ascii="Verdana" w:hAnsi="Verdana"/>
          <w:sz w:val="18"/>
        </w:rPr>
        <w:lastRenderedPageBreak/>
        <w:t xml:space="preserve">Présenter un </w:t>
      </w:r>
      <w:r w:rsidR="00133298">
        <w:rPr>
          <w:rFonts w:ascii="Verdana" w:hAnsi="Verdana"/>
          <w:sz w:val="18"/>
        </w:rPr>
        <w:t xml:space="preserve">plan d’action </w:t>
      </w:r>
      <w:r>
        <w:rPr>
          <w:rFonts w:ascii="Verdana" w:hAnsi="Verdana"/>
          <w:sz w:val="18"/>
        </w:rPr>
        <w:t>révisé à la direction</w:t>
      </w:r>
    </w:p>
    <w:p w14:paraId="41F63578" w14:textId="77777777" w:rsidR="00EC592B" w:rsidRDefault="00EC592B" w:rsidP="000F6DBD">
      <w:pPr>
        <w:spacing w:after="200" w:line="276" w:lineRule="auto"/>
        <w:jc w:val="both"/>
        <w:rPr>
          <w:rFonts w:ascii="Verdana" w:hAnsi="Verdana"/>
          <w:b/>
          <w:bCs/>
          <w:color w:val="C00000"/>
        </w:rPr>
      </w:pPr>
    </w:p>
    <w:p w14:paraId="10EA1B58" w14:textId="4413AD90" w:rsidR="00F00E8A" w:rsidRPr="000F6DBD" w:rsidRDefault="00794DAA" w:rsidP="000F6DBD">
      <w:pPr>
        <w:spacing w:after="200" w:line="276" w:lineRule="auto"/>
        <w:jc w:val="both"/>
        <w:rPr>
          <w:rFonts w:ascii="Verdana" w:hAnsi="Verdana"/>
          <w:b/>
          <w:bCs/>
          <w:color w:val="C00000"/>
        </w:rPr>
      </w:pPr>
      <w:r>
        <w:rPr>
          <w:rFonts w:ascii="Verdana" w:hAnsi="Verdana"/>
          <w:b/>
          <w:color w:val="C00000"/>
        </w:rPr>
        <w:t xml:space="preserve">Méthodologie, portée et approche </w:t>
      </w:r>
    </w:p>
    <w:p w14:paraId="518FDD53" w14:textId="24AC49C9" w:rsidR="00E50752" w:rsidRPr="007D5E25" w:rsidRDefault="00E50752" w:rsidP="00E50752">
      <w:pPr>
        <w:rPr>
          <w:rFonts w:ascii="Verdana" w:hAnsi="Verdana" w:cstheme="minorHAnsi"/>
          <w:sz w:val="18"/>
          <w:szCs w:val="18"/>
        </w:rPr>
      </w:pPr>
      <w:r>
        <w:rPr>
          <w:rFonts w:ascii="Verdana" w:hAnsi="Verdana"/>
          <w:sz w:val="18"/>
        </w:rPr>
        <w:t xml:space="preserve">Si le projet </w:t>
      </w:r>
      <w:r w:rsidR="007618D2">
        <w:rPr>
          <w:rFonts w:ascii="Verdana" w:hAnsi="Verdana"/>
          <w:sz w:val="18"/>
        </w:rPr>
        <w:t>de PTM</w:t>
      </w:r>
      <w:r>
        <w:rPr>
          <w:rFonts w:ascii="Verdana" w:hAnsi="Verdana"/>
          <w:sz w:val="18"/>
        </w:rPr>
        <w:t xml:space="preserve"> est toujours en cours, l’examen à mi-parcours sera axé sur le processus, en réfléchissant à ce qui fonctionne, ne fonctionne pas et ce qui devrait être fait ou ajusté à l’avenir. </w:t>
      </w:r>
    </w:p>
    <w:p w14:paraId="7C7CEE55" w14:textId="7DCD8C64" w:rsidR="00655485" w:rsidRDefault="00655485" w:rsidP="00EB283F">
      <w:pPr>
        <w:jc w:val="both"/>
        <w:rPr>
          <w:rFonts w:ascii="Verdana" w:hAnsi="Verdana"/>
          <w:color w:val="000000" w:themeColor="text1"/>
          <w:sz w:val="18"/>
          <w:szCs w:val="18"/>
        </w:rPr>
      </w:pPr>
      <w:r>
        <w:rPr>
          <w:rFonts w:ascii="Verdana" w:hAnsi="Verdana"/>
          <w:color w:val="000000" w:themeColor="text1"/>
          <w:sz w:val="18"/>
        </w:rPr>
        <w:t>L’examen portera sur les questions suivantes :</w:t>
      </w:r>
    </w:p>
    <w:p w14:paraId="2387B2B5" w14:textId="2F823EC3" w:rsidR="00655485" w:rsidRPr="00655485" w:rsidRDefault="00655485">
      <w:pPr>
        <w:pStyle w:val="ListParagraph"/>
        <w:numPr>
          <w:ilvl w:val="0"/>
          <w:numId w:val="8"/>
        </w:numPr>
        <w:jc w:val="both"/>
        <w:rPr>
          <w:rFonts w:ascii="Verdana" w:hAnsi="Verdana"/>
          <w:color w:val="000000" w:themeColor="text1"/>
          <w:sz w:val="18"/>
          <w:szCs w:val="18"/>
        </w:rPr>
      </w:pPr>
      <w:r>
        <w:rPr>
          <w:rFonts w:ascii="Verdana" w:hAnsi="Verdana"/>
          <w:color w:val="000000" w:themeColor="text1"/>
          <w:sz w:val="18"/>
        </w:rPr>
        <w:t>Quels résultats globaux la SN veut-elle obtenir et est sur la bonne voie pour y parvenir ?</w:t>
      </w:r>
    </w:p>
    <w:p w14:paraId="7EF33F99" w14:textId="102B11D5" w:rsidR="00655485" w:rsidRPr="00655485" w:rsidRDefault="00655485">
      <w:pPr>
        <w:pStyle w:val="ListParagraph"/>
        <w:numPr>
          <w:ilvl w:val="0"/>
          <w:numId w:val="8"/>
        </w:numPr>
        <w:jc w:val="both"/>
        <w:rPr>
          <w:rFonts w:ascii="Verdana" w:hAnsi="Verdana"/>
          <w:color w:val="000000" w:themeColor="text1"/>
          <w:sz w:val="18"/>
          <w:szCs w:val="18"/>
        </w:rPr>
      </w:pPr>
      <w:r>
        <w:rPr>
          <w:rFonts w:ascii="Verdana" w:hAnsi="Verdana"/>
          <w:color w:val="000000" w:themeColor="text1"/>
          <w:sz w:val="18"/>
        </w:rPr>
        <w:t>Quels facteurs ont facilité ou au contraire bloqué les progrès ?</w:t>
      </w:r>
    </w:p>
    <w:p w14:paraId="5F57CA0E" w14:textId="0097783E" w:rsidR="00655485" w:rsidRDefault="00655485">
      <w:pPr>
        <w:pStyle w:val="ListParagraph"/>
        <w:numPr>
          <w:ilvl w:val="0"/>
          <w:numId w:val="8"/>
        </w:numPr>
        <w:jc w:val="both"/>
        <w:rPr>
          <w:rFonts w:ascii="Verdana" w:hAnsi="Verdana"/>
          <w:color w:val="000000" w:themeColor="text1"/>
          <w:sz w:val="18"/>
          <w:szCs w:val="18"/>
        </w:rPr>
      </w:pPr>
      <w:r>
        <w:rPr>
          <w:rFonts w:ascii="Verdana" w:hAnsi="Verdana"/>
          <w:color w:val="000000" w:themeColor="text1"/>
          <w:sz w:val="18"/>
        </w:rPr>
        <w:t xml:space="preserve">Que faut-il faire au cours des mois restants du programme </w:t>
      </w:r>
      <w:r w:rsidR="007618D2">
        <w:rPr>
          <w:rFonts w:ascii="Verdana" w:hAnsi="Verdana"/>
          <w:color w:val="000000" w:themeColor="text1"/>
          <w:sz w:val="18"/>
        </w:rPr>
        <w:t>de PTM</w:t>
      </w:r>
      <w:r>
        <w:rPr>
          <w:rFonts w:ascii="Verdana" w:hAnsi="Verdana"/>
          <w:color w:val="000000" w:themeColor="text1"/>
          <w:sz w:val="18"/>
        </w:rPr>
        <w:t xml:space="preserve"> pour s’assurer que les SN réalisent leur vision ?</w:t>
      </w:r>
    </w:p>
    <w:p w14:paraId="40C1FB9C" w14:textId="43EDA775" w:rsidR="00A66CCC" w:rsidRDefault="00A66CCC" w:rsidP="00A66CCC">
      <w:pPr>
        <w:jc w:val="both"/>
        <w:rPr>
          <w:rFonts w:ascii="Verdana" w:hAnsi="Verdana"/>
          <w:color w:val="000000" w:themeColor="text1"/>
          <w:sz w:val="18"/>
          <w:szCs w:val="18"/>
        </w:rPr>
      </w:pPr>
      <w:r>
        <w:rPr>
          <w:rFonts w:ascii="Verdana" w:hAnsi="Verdana"/>
          <w:color w:val="000000" w:themeColor="text1"/>
          <w:sz w:val="18"/>
        </w:rPr>
        <w:t>L’accent sera mis sur une méthodologie de style atelier pleinement participative avec la SN pleinement impliquée. Si des partenaires SN ou FICR sont disponibles, l’examen peut être facilité avec le soutien (par exemple, par le délégué à la préparation TM), mais avec des conclusions dirigées par la SN. Toutefois, les SN doivent se sentir en mesure de mener eux-mêmes l’examen de manière autonome, si nécessaire, avec le matériel d’atelier conçu en conséquence.</w:t>
      </w:r>
    </w:p>
    <w:p w14:paraId="6917D19C" w14:textId="37ABBEC3" w:rsidR="00A66CCC" w:rsidRPr="00A66CCC" w:rsidRDefault="00A66CCC" w:rsidP="00A66CCC">
      <w:pPr>
        <w:jc w:val="both"/>
        <w:rPr>
          <w:rFonts w:ascii="Verdana" w:hAnsi="Verdana"/>
          <w:color w:val="000000" w:themeColor="text1"/>
          <w:sz w:val="18"/>
          <w:szCs w:val="18"/>
        </w:rPr>
      </w:pPr>
      <w:r>
        <w:rPr>
          <w:rFonts w:ascii="Verdana" w:hAnsi="Verdana"/>
          <w:color w:val="000000" w:themeColor="text1"/>
          <w:sz w:val="18"/>
        </w:rPr>
        <w:t>L’examen suit une méthodologie en trois étapes comme suit.</w:t>
      </w:r>
    </w:p>
    <w:bookmarkEnd w:id="2"/>
    <w:p w14:paraId="35875D82" w14:textId="69BE46D8" w:rsidR="007D5E25" w:rsidRPr="00BC579E" w:rsidRDefault="00705423" w:rsidP="00144A07">
      <w:pPr>
        <w:pStyle w:val="Heading1"/>
        <w:rPr>
          <w:rFonts w:cs="Times New Roman"/>
          <w:b w:val="0"/>
          <w:bCs w:val="0"/>
          <w:sz w:val="18"/>
          <w:szCs w:val="18"/>
        </w:rPr>
      </w:pPr>
      <w:r>
        <w:rPr>
          <w:b w:val="0"/>
          <w:sz w:val="18"/>
        </w:rPr>
        <w:t>L’étape 1</w:t>
      </w:r>
      <w:r>
        <w:t xml:space="preserve"> </w:t>
      </w:r>
      <w:r>
        <w:rPr>
          <w:b w:val="0"/>
          <w:color w:val="000000" w:themeColor="text1"/>
          <w:sz w:val="18"/>
        </w:rPr>
        <w:t xml:space="preserve">consiste en un examen des objectifs généraux du projet </w:t>
      </w:r>
      <w:r w:rsidR="007618D2">
        <w:rPr>
          <w:b w:val="0"/>
          <w:color w:val="000000" w:themeColor="text1"/>
          <w:sz w:val="18"/>
        </w:rPr>
        <w:t>de la PTM</w:t>
      </w:r>
      <w:r>
        <w:rPr>
          <w:b w:val="0"/>
          <w:color w:val="000000" w:themeColor="text1"/>
          <w:sz w:val="18"/>
        </w:rPr>
        <w:t>, y compris les cibles prévues et leurs résultats. Cela comprend une mise à jour de l’évaluation de l’</w:t>
      </w:r>
      <w:proofErr w:type="spellStart"/>
      <w:r>
        <w:rPr>
          <w:b w:val="0"/>
          <w:color w:val="000000" w:themeColor="text1"/>
          <w:sz w:val="18"/>
        </w:rPr>
        <w:t>autocapacité</w:t>
      </w:r>
      <w:proofErr w:type="spellEnd"/>
      <w:r>
        <w:rPr>
          <w:b w:val="0"/>
          <w:color w:val="000000" w:themeColor="text1"/>
          <w:sz w:val="18"/>
        </w:rPr>
        <w:t xml:space="preserve"> de TM et de tout changement dans la capacité de préparation organisationnelle de TM atteint, ainsi qu’un examen des progrès réalisés par rapport aux niveaux de préparation opérationnelle de TM atteints.</w:t>
      </w:r>
      <w:r>
        <w:rPr>
          <w:color w:val="000000" w:themeColor="text1"/>
          <w:sz w:val="18"/>
        </w:rPr>
        <w:t xml:space="preserve"> </w:t>
      </w:r>
      <w:r>
        <w:rPr>
          <w:b w:val="0"/>
          <w:color w:val="000000" w:themeColor="text1"/>
          <w:sz w:val="18"/>
        </w:rPr>
        <w:t xml:space="preserve">Il identifie également les facteurs qui ont permis ou bloqué les progrès réalisés jusqu’à présent. </w:t>
      </w:r>
    </w:p>
    <w:p w14:paraId="28A54494" w14:textId="4D4BF3EB" w:rsidR="00705423" w:rsidRPr="00705423" w:rsidRDefault="00705423" w:rsidP="00705423">
      <w:pPr>
        <w:rPr>
          <w:rFonts w:ascii="Verdana" w:hAnsi="Verdana"/>
          <w:color w:val="000000" w:themeColor="text1"/>
          <w:sz w:val="18"/>
          <w:szCs w:val="18"/>
        </w:rPr>
      </w:pPr>
      <w:r>
        <w:rPr>
          <w:rFonts w:ascii="Verdana" w:hAnsi="Verdana"/>
          <w:color w:val="C00000"/>
          <w:sz w:val="18"/>
        </w:rPr>
        <w:t xml:space="preserve">L’étape 2 </w:t>
      </w:r>
      <w:r>
        <w:rPr>
          <w:rFonts w:ascii="Verdana" w:hAnsi="Verdana"/>
          <w:color w:val="000000" w:themeColor="text1"/>
          <w:sz w:val="18"/>
        </w:rPr>
        <w:t>consiste en une analyse des progrès accomplis par rapport à la mise en œuvre des résultats/activités du plan d’action, et en un examen de la hiérarchisation actuelle des activités, suggérant tout changement à apporter.</w:t>
      </w:r>
    </w:p>
    <w:p w14:paraId="78D04391" w14:textId="267755BA" w:rsidR="00A66CCC" w:rsidRPr="00BC579E" w:rsidRDefault="00705423" w:rsidP="00BC579E">
      <w:pPr>
        <w:pStyle w:val="Heading1"/>
      </w:pPr>
      <w:r>
        <w:rPr>
          <w:b w:val="0"/>
          <w:sz w:val="18"/>
        </w:rPr>
        <w:t>L’étape 3</w:t>
      </w:r>
      <w:r>
        <w:rPr>
          <w:color w:val="000000" w:themeColor="text1"/>
          <w:sz w:val="18"/>
        </w:rPr>
        <w:t xml:space="preserve"> </w:t>
      </w:r>
      <w:r>
        <w:rPr>
          <w:b w:val="0"/>
          <w:color w:val="000000" w:themeColor="text1"/>
          <w:sz w:val="18"/>
        </w:rPr>
        <w:t>inclut la leadership</w:t>
      </w:r>
      <w:r>
        <w:rPr>
          <w:color w:val="000000" w:themeColor="text1"/>
          <w:sz w:val="18"/>
        </w:rPr>
        <w:t xml:space="preserve"> </w:t>
      </w:r>
      <w:r>
        <w:rPr>
          <w:b w:val="0"/>
          <w:color w:val="000000" w:themeColor="text1"/>
          <w:sz w:val="18"/>
        </w:rPr>
        <w:t>et est l’occasion de revoir la vision de l’évaluation de la conformité pour s’assurer qu’elle reste réaliste/pertinente et fournit une présentation du programme d’action révisé, qui prendra en charge le reste de la période du programme.</w:t>
      </w:r>
    </w:p>
    <w:p w14:paraId="7407BE2C" w14:textId="77777777" w:rsidR="0034618C" w:rsidRPr="00DF35AE" w:rsidRDefault="0034618C" w:rsidP="0034618C">
      <w:pPr>
        <w:rPr>
          <w:rFonts w:ascii="Verdana" w:hAnsi="Verdana"/>
          <w:b/>
          <w:bCs/>
          <w:color w:val="000000" w:themeColor="text1"/>
          <w:sz w:val="18"/>
          <w:szCs w:val="18"/>
        </w:rPr>
      </w:pPr>
    </w:p>
    <w:p w14:paraId="2851E187" w14:textId="2B04F8F9" w:rsidR="00672061" w:rsidRPr="00DF35AE" w:rsidRDefault="00672061" w:rsidP="00144A07">
      <w:pPr>
        <w:pStyle w:val="Heading1"/>
      </w:pPr>
      <w:r>
        <w:t xml:space="preserve">Participants </w:t>
      </w:r>
    </w:p>
    <w:p w14:paraId="7E5CAB70" w14:textId="17E131F4" w:rsidR="006D6346" w:rsidRDefault="006D6346" w:rsidP="006669E8">
      <w:pPr>
        <w:tabs>
          <w:tab w:val="left" w:pos="860"/>
        </w:tabs>
        <w:spacing w:after="0" w:line="264" w:lineRule="auto"/>
        <w:ind w:right="115"/>
        <w:jc w:val="both"/>
        <w:rPr>
          <w:rFonts w:ascii="Verdana" w:eastAsia="Arial" w:hAnsi="Verdana" w:cstheme="minorBidi"/>
          <w:sz w:val="18"/>
          <w:szCs w:val="18"/>
        </w:rPr>
      </w:pPr>
      <w:r>
        <w:rPr>
          <w:rFonts w:ascii="Verdana" w:hAnsi="Verdana"/>
          <w:sz w:val="18"/>
        </w:rPr>
        <w:t>Idéalement, le personnel qui a le plus participé aux activités de TM devrait participer à l’atelier. Il est particulièrement important d’avoir des représentants/responsables de programmes, Logistique, PMER, RH, Finance, etc. Environ 15 participants au total serait idéal.</w:t>
      </w:r>
    </w:p>
    <w:p w14:paraId="5085F179" w14:textId="77777777" w:rsidR="000F3810" w:rsidRDefault="000F3810" w:rsidP="006669E8">
      <w:pPr>
        <w:tabs>
          <w:tab w:val="left" w:pos="860"/>
        </w:tabs>
        <w:spacing w:after="0" w:line="264" w:lineRule="auto"/>
        <w:ind w:right="115"/>
        <w:jc w:val="both"/>
        <w:rPr>
          <w:rFonts w:ascii="Verdana" w:eastAsia="Arial" w:hAnsi="Verdana" w:cstheme="minorBidi"/>
          <w:sz w:val="18"/>
          <w:szCs w:val="18"/>
        </w:rPr>
      </w:pPr>
    </w:p>
    <w:p w14:paraId="6D02FE64" w14:textId="77777777" w:rsidR="000F3810" w:rsidRDefault="000F3810" w:rsidP="000F3810">
      <w:pPr>
        <w:pStyle w:val="Heading1"/>
      </w:pPr>
      <w:r>
        <w:t>Équipe d’évaluation</w:t>
      </w:r>
    </w:p>
    <w:p w14:paraId="7B46FA73" w14:textId="1B547801" w:rsidR="000F3810" w:rsidRDefault="000F3810" w:rsidP="000F3810">
      <w:pPr>
        <w:rPr>
          <w:rFonts w:ascii="Verdana" w:hAnsi="Verdana"/>
          <w:sz w:val="18"/>
          <w:szCs w:val="18"/>
        </w:rPr>
      </w:pPr>
      <w:r>
        <w:rPr>
          <w:rFonts w:ascii="Verdana" w:hAnsi="Verdana"/>
          <w:sz w:val="18"/>
        </w:rPr>
        <w:t>L’examen sera effectué par le point focal TM de la SN et le PMER. Le cas échéant, le délégué à la préparation TM et/ou les conseillers MEAL ou PMER partenaires SN ou FICR peuvent apporter leur soutien et assumer les rôles appropriés si nécessaire, soit en tant que co-responsables de l’examen dans le pays, soit par le biais d’un soutien à distance. Le GTT TM est également tenu de soutenir l’ensemble du processus et peut assumer divers rôles au besoin pendant l’atelier.</w:t>
      </w:r>
    </w:p>
    <w:p w14:paraId="7C83DE48" w14:textId="77777777" w:rsidR="00B20949" w:rsidRDefault="00B20949" w:rsidP="000F3810">
      <w:pPr>
        <w:rPr>
          <w:rFonts w:ascii="Verdana" w:hAnsi="Verdana"/>
          <w:sz w:val="18"/>
          <w:szCs w:val="18"/>
        </w:rPr>
      </w:pPr>
    </w:p>
    <w:p w14:paraId="60CC49C2" w14:textId="57193144" w:rsidR="00B20949" w:rsidRPr="00B20949" w:rsidRDefault="00B20949" w:rsidP="00B20949">
      <w:pPr>
        <w:pStyle w:val="Heading1"/>
      </w:pPr>
      <w:r>
        <w:t>Résultats attendus</w:t>
      </w:r>
    </w:p>
    <w:p w14:paraId="7F861D26" w14:textId="29436BA6" w:rsidR="00B20949" w:rsidRPr="000F3810" w:rsidRDefault="00107595" w:rsidP="004D3A09">
      <w:pPr>
        <w:pStyle w:val="BodyText"/>
        <w:spacing w:line="276" w:lineRule="auto"/>
        <w:jc w:val="both"/>
        <w:rPr>
          <w:rFonts w:ascii="Verdana" w:hAnsi="Verdana"/>
          <w:sz w:val="18"/>
          <w:szCs w:val="18"/>
        </w:rPr>
      </w:pPr>
      <w:r>
        <w:rPr>
          <w:rFonts w:ascii="Verdana" w:hAnsi="Verdana"/>
          <w:sz w:val="18"/>
        </w:rPr>
        <w:t xml:space="preserve">Un rapport doit être rempli pour l’examen, détaillant les conclusions, l’apprentissage, la préparation organisationnelle des TM et les niveaux de préparation opérationnelle à mi-parcours, toute révision apportée au </w:t>
      </w:r>
      <w:r w:rsidR="001A430C">
        <w:rPr>
          <w:rFonts w:ascii="Verdana" w:hAnsi="Verdana"/>
          <w:color w:val="000000" w:themeColor="text1"/>
          <w:sz w:val="18"/>
        </w:rPr>
        <w:t>plan d’action</w:t>
      </w:r>
      <w:r>
        <w:rPr>
          <w:rFonts w:ascii="Verdana" w:hAnsi="Verdana"/>
          <w:sz w:val="18"/>
        </w:rPr>
        <w:t xml:space="preserve"> et les recommandations. Le projet de rapport devrait également être transmis à la SN partenaire ou à la FICR pour évaluation et soutien dans la compilation de la version finale.</w:t>
      </w:r>
    </w:p>
    <w:p w14:paraId="34716C83" w14:textId="71A281BE" w:rsidR="006D6346" w:rsidRDefault="006D6346" w:rsidP="00EB283F">
      <w:pPr>
        <w:pStyle w:val="Level1Bullets"/>
        <w:numPr>
          <w:ilvl w:val="0"/>
          <w:numId w:val="0"/>
        </w:numPr>
        <w:jc w:val="both"/>
        <w:rPr>
          <w:rFonts w:ascii="Verdana" w:hAnsi="Verdana"/>
          <w:sz w:val="18"/>
          <w:szCs w:val="18"/>
        </w:rPr>
      </w:pPr>
    </w:p>
    <w:p w14:paraId="3EA05333" w14:textId="7C0C8E8A" w:rsidR="00DF35AE" w:rsidRDefault="00DF35AE" w:rsidP="00DF35AE">
      <w:pPr>
        <w:pStyle w:val="Level1Bullets"/>
        <w:numPr>
          <w:ilvl w:val="0"/>
          <w:numId w:val="0"/>
        </w:numPr>
        <w:jc w:val="both"/>
        <w:rPr>
          <w:color w:val="C00000"/>
        </w:rPr>
      </w:pPr>
      <w:r>
        <w:rPr>
          <w:rFonts w:ascii="Verdana" w:hAnsi="Verdana"/>
          <w:b/>
          <w:color w:val="C00000"/>
        </w:rPr>
        <w:t>Exemple de programme</w:t>
      </w:r>
      <w:r>
        <w:rPr>
          <w:color w:val="C00000"/>
        </w:rPr>
        <w:t xml:space="preserve"> </w:t>
      </w:r>
    </w:p>
    <w:p w14:paraId="08C5428A" w14:textId="77777777" w:rsidR="00516ED7" w:rsidRPr="008B039D" w:rsidRDefault="00516ED7" w:rsidP="00DF35AE">
      <w:pPr>
        <w:pStyle w:val="Level1Bullets"/>
        <w:numPr>
          <w:ilvl w:val="0"/>
          <w:numId w:val="0"/>
        </w:numPr>
        <w:jc w:val="both"/>
        <w:rPr>
          <w:color w:val="C00000"/>
        </w:rPr>
      </w:pPr>
    </w:p>
    <w:tbl>
      <w:tblPr>
        <w:tblW w:w="9776" w:type="dxa"/>
        <w:tblLook w:val="04A0" w:firstRow="1" w:lastRow="0" w:firstColumn="1" w:lastColumn="0" w:noHBand="0" w:noVBand="1"/>
      </w:tblPr>
      <w:tblGrid>
        <w:gridCol w:w="2122"/>
        <w:gridCol w:w="7654"/>
      </w:tblGrid>
      <w:tr w:rsidR="008533D7" w:rsidRPr="00E64EB6" w14:paraId="492EC36A" w14:textId="77777777" w:rsidTr="1115FBD5">
        <w:trPr>
          <w:trHeight w:val="300"/>
        </w:trPr>
        <w:tc>
          <w:tcPr>
            <w:tcW w:w="2122"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5EC30E5D" w14:textId="77777777" w:rsidR="008533D7" w:rsidRPr="00E64EB6" w:rsidRDefault="008533D7" w:rsidP="00A51F43">
            <w:pPr>
              <w:spacing w:after="0"/>
              <w:rPr>
                <w:rFonts w:ascii="Calibri" w:hAnsi="Calibri" w:cs="Calibri"/>
                <w:b/>
                <w:bCs/>
                <w:color w:val="000000"/>
              </w:rPr>
            </w:pPr>
            <w:r>
              <w:rPr>
                <w:rFonts w:ascii="Calibri" w:hAnsi="Calibri"/>
                <w:b/>
                <w:color w:val="000000"/>
              </w:rPr>
              <w:t>Jour 1</w:t>
            </w:r>
          </w:p>
        </w:tc>
        <w:tc>
          <w:tcPr>
            <w:tcW w:w="76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0AE637" w14:textId="77777777" w:rsidR="008533D7" w:rsidRPr="00E64EB6" w:rsidRDefault="008533D7" w:rsidP="00A51F43">
            <w:pPr>
              <w:spacing w:after="0"/>
              <w:rPr>
                <w:rFonts w:ascii="Calibri" w:hAnsi="Calibri" w:cs="Calibri"/>
                <w:color w:val="000000"/>
              </w:rPr>
            </w:pPr>
            <w:r>
              <w:rPr>
                <w:rFonts w:ascii="Calibri" w:hAnsi="Calibri"/>
                <w:color w:val="000000"/>
              </w:rPr>
              <w:t> </w:t>
            </w:r>
          </w:p>
        </w:tc>
      </w:tr>
      <w:tr w:rsidR="008533D7" w:rsidRPr="00E64EB6" w14:paraId="2D051C94"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20BA807" w14:textId="4B208128" w:rsidR="008533D7" w:rsidRPr="00E64EB6" w:rsidRDefault="000C366A" w:rsidP="00A51F43">
            <w:pPr>
              <w:spacing w:after="0"/>
              <w:rPr>
                <w:rFonts w:ascii="Calibri" w:hAnsi="Calibri" w:cs="Calibri"/>
                <w:color w:val="000000"/>
              </w:rPr>
            </w:pPr>
            <w:r>
              <w:rPr>
                <w:rFonts w:ascii="Calibri" w:hAnsi="Calibri"/>
                <w:color w:val="000000"/>
              </w:rPr>
              <w:t>9:00 - 9:30</w:t>
            </w:r>
          </w:p>
        </w:tc>
        <w:tc>
          <w:tcPr>
            <w:tcW w:w="7654" w:type="dxa"/>
            <w:tcBorders>
              <w:top w:val="nil"/>
              <w:left w:val="nil"/>
              <w:bottom w:val="single" w:sz="4" w:space="0" w:color="auto"/>
              <w:right w:val="single" w:sz="4" w:space="0" w:color="auto"/>
            </w:tcBorders>
            <w:shd w:val="clear" w:color="auto" w:fill="auto"/>
            <w:noWrap/>
            <w:vAlign w:val="bottom"/>
            <w:hideMark/>
          </w:tcPr>
          <w:p w14:paraId="3439EB50" w14:textId="43B0B8F7" w:rsidR="008533D7" w:rsidRPr="00E64EB6" w:rsidRDefault="08048CD5" w:rsidP="00A51F43">
            <w:pPr>
              <w:spacing w:after="0"/>
              <w:rPr>
                <w:rFonts w:ascii="Calibri" w:hAnsi="Calibri" w:cs="Calibri"/>
                <w:b/>
                <w:bCs/>
                <w:color w:val="000000"/>
              </w:rPr>
            </w:pPr>
            <w:r>
              <w:rPr>
                <w:rFonts w:ascii="Calibri" w:hAnsi="Calibri"/>
                <w:b/>
                <w:color w:val="000000" w:themeColor="text1"/>
              </w:rPr>
              <w:t xml:space="preserve">Bienvenue ; Introduction et aperçu </w:t>
            </w:r>
            <w:r w:rsidR="007618D2">
              <w:rPr>
                <w:rFonts w:ascii="Calibri" w:hAnsi="Calibri"/>
                <w:b/>
                <w:color w:val="000000" w:themeColor="text1"/>
              </w:rPr>
              <w:t>de PTM</w:t>
            </w:r>
            <w:r>
              <w:rPr>
                <w:rFonts w:ascii="Calibri" w:hAnsi="Calibri"/>
                <w:b/>
                <w:color w:val="000000" w:themeColor="text1"/>
              </w:rPr>
              <w:t xml:space="preserve"> </w:t>
            </w:r>
          </w:p>
        </w:tc>
      </w:tr>
      <w:tr w:rsidR="000C366A" w:rsidRPr="00E64EB6" w14:paraId="59292F5A"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390256D9" w14:textId="4752BA9B" w:rsidR="000C366A" w:rsidRPr="00E64EB6" w:rsidRDefault="000C366A" w:rsidP="000C366A">
            <w:pPr>
              <w:spacing w:after="0"/>
              <w:rPr>
                <w:rFonts w:ascii="Calibri" w:hAnsi="Calibri" w:cs="Calibri"/>
                <w:color w:val="000000"/>
              </w:rPr>
            </w:pPr>
            <w:r>
              <w:rPr>
                <w:rFonts w:ascii="Calibri" w:hAnsi="Calibri"/>
                <w:color w:val="000000"/>
              </w:rPr>
              <w:lastRenderedPageBreak/>
              <w:t xml:space="preserve">09:30 – 11:30 </w:t>
            </w:r>
          </w:p>
        </w:tc>
        <w:tc>
          <w:tcPr>
            <w:tcW w:w="7654" w:type="dxa"/>
            <w:tcBorders>
              <w:top w:val="nil"/>
              <w:left w:val="nil"/>
              <w:bottom w:val="single" w:sz="4" w:space="0" w:color="auto"/>
              <w:right w:val="single" w:sz="4" w:space="0" w:color="auto"/>
            </w:tcBorders>
            <w:shd w:val="clear" w:color="auto" w:fill="auto"/>
            <w:noWrap/>
            <w:vAlign w:val="bottom"/>
          </w:tcPr>
          <w:p w14:paraId="29CA83A6" w14:textId="7F7230EB" w:rsidR="000C366A" w:rsidRPr="00E64EB6" w:rsidDel="00D2380E" w:rsidRDefault="4FC63E07" w:rsidP="000C366A">
            <w:pPr>
              <w:spacing w:after="0"/>
              <w:rPr>
                <w:rFonts w:ascii="Calibri" w:hAnsi="Calibri" w:cs="Calibri"/>
                <w:b/>
                <w:bCs/>
                <w:color w:val="000000"/>
              </w:rPr>
            </w:pPr>
            <w:r>
              <w:rPr>
                <w:rFonts w:ascii="Calibri" w:hAnsi="Calibri"/>
                <w:b/>
                <w:color w:val="000000" w:themeColor="text1"/>
              </w:rPr>
              <w:t>Mise à jour de l’évaluation de l’</w:t>
            </w:r>
            <w:proofErr w:type="spellStart"/>
            <w:r>
              <w:rPr>
                <w:rFonts w:ascii="Calibri" w:hAnsi="Calibri"/>
                <w:b/>
                <w:color w:val="000000" w:themeColor="text1"/>
              </w:rPr>
              <w:t>autocapacité</w:t>
            </w:r>
            <w:proofErr w:type="spellEnd"/>
            <w:r>
              <w:rPr>
                <w:rFonts w:ascii="Calibri" w:hAnsi="Calibri"/>
                <w:b/>
                <w:color w:val="000000" w:themeColor="text1"/>
              </w:rPr>
              <w:t xml:space="preserve"> de TM et de la capacité de préparation organisationnelle de TM (à mi-parcours)</w:t>
            </w:r>
          </w:p>
        </w:tc>
      </w:tr>
      <w:tr w:rsidR="000C366A" w:rsidRPr="00E64EB6" w14:paraId="219B35A7"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260838B6" w14:textId="06383A57" w:rsidR="000C366A" w:rsidRPr="00E64EB6" w:rsidRDefault="000C366A" w:rsidP="000C366A">
            <w:pPr>
              <w:spacing w:after="0"/>
              <w:rPr>
                <w:rFonts w:ascii="Calibri" w:hAnsi="Calibri" w:cs="Calibri"/>
                <w:color w:val="000000"/>
              </w:rPr>
            </w:pPr>
            <w:r>
              <w:rPr>
                <w:rFonts w:ascii="Calibri" w:hAnsi="Calibri"/>
                <w:color w:val="000000"/>
              </w:rPr>
              <w:t>11:30 – 12:00</w:t>
            </w:r>
          </w:p>
        </w:tc>
        <w:tc>
          <w:tcPr>
            <w:tcW w:w="7654" w:type="dxa"/>
            <w:tcBorders>
              <w:top w:val="nil"/>
              <w:left w:val="nil"/>
              <w:bottom w:val="single" w:sz="4" w:space="0" w:color="auto"/>
              <w:right w:val="single" w:sz="4" w:space="0" w:color="auto"/>
            </w:tcBorders>
            <w:shd w:val="clear" w:color="auto" w:fill="auto"/>
            <w:noWrap/>
            <w:vAlign w:val="bottom"/>
          </w:tcPr>
          <w:p w14:paraId="24746D8B" w14:textId="243B26DC" w:rsidR="000C366A" w:rsidRPr="00E64EB6" w:rsidDel="00D2380E" w:rsidRDefault="000C366A" w:rsidP="000C366A">
            <w:pPr>
              <w:spacing w:after="0"/>
              <w:rPr>
                <w:rFonts w:ascii="Calibri" w:hAnsi="Calibri" w:cs="Calibri"/>
                <w:b/>
                <w:bCs/>
                <w:color w:val="000000"/>
              </w:rPr>
            </w:pPr>
            <w:r>
              <w:rPr>
                <w:rFonts w:ascii="Calibri" w:hAnsi="Calibri"/>
                <w:color w:val="000000"/>
              </w:rPr>
              <w:t>Pause café/thé</w:t>
            </w:r>
          </w:p>
        </w:tc>
      </w:tr>
      <w:tr w:rsidR="008533D7" w:rsidRPr="00E64EB6" w14:paraId="3006DC94"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261C4E" w14:textId="29B2D09D" w:rsidR="008533D7" w:rsidRPr="00E64EB6" w:rsidRDefault="000C366A" w:rsidP="00A51F43">
            <w:pPr>
              <w:spacing w:after="0"/>
              <w:rPr>
                <w:rFonts w:ascii="Calibri" w:hAnsi="Calibri" w:cs="Calibri"/>
                <w:color w:val="000000"/>
              </w:rPr>
            </w:pPr>
            <w:r>
              <w:rPr>
                <w:rFonts w:ascii="Calibri" w:hAnsi="Calibri"/>
                <w:color w:val="000000"/>
              </w:rPr>
              <w:t>12:00 – 12:50</w:t>
            </w:r>
          </w:p>
        </w:tc>
        <w:tc>
          <w:tcPr>
            <w:tcW w:w="7654" w:type="dxa"/>
            <w:tcBorders>
              <w:top w:val="nil"/>
              <w:left w:val="nil"/>
              <w:bottom w:val="single" w:sz="4" w:space="0" w:color="auto"/>
              <w:right w:val="single" w:sz="4" w:space="0" w:color="auto"/>
            </w:tcBorders>
            <w:shd w:val="clear" w:color="auto" w:fill="auto"/>
            <w:noWrap/>
            <w:vAlign w:val="bottom"/>
            <w:hideMark/>
          </w:tcPr>
          <w:p w14:paraId="29189B34" w14:textId="10E75AEF" w:rsidR="008533D7" w:rsidRPr="00E64EB6" w:rsidRDefault="00D2380E" w:rsidP="00A51F43">
            <w:pPr>
              <w:spacing w:after="0"/>
              <w:rPr>
                <w:rFonts w:ascii="Calibri" w:hAnsi="Calibri" w:cs="Calibri"/>
                <w:b/>
                <w:bCs/>
                <w:color w:val="000000"/>
              </w:rPr>
            </w:pPr>
            <w:r>
              <w:rPr>
                <w:rFonts w:ascii="Calibri" w:hAnsi="Calibri"/>
                <w:b/>
                <w:color w:val="000000" w:themeColor="text1"/>
              </w:rPr>
              <w:t>Réflexion sur les niveaux de préparation opérationnelle des TM du mouvement (à mi-parcours)</w:t>
            </w:r>
          </w:p>
        </w:tc>
      </w:tr>
      <w:tr w:rsidR="008533D7" w:rsidRPr="00E64EB6" w14:paraId="60BE4799"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1248E692" w14:textId="4AE60702" w:rsidR="008533D7" w:rsidRPr="00E64EB6" w:rsidRDefault="000C366A" w:rsidP="00A51F43">
            <w:pPr>
              <w:spacing w:after="0"/>
              <w:rPr>
                <w:rFonts w:ascii="Calibri" w:hAnsi="Calibri" w:cs="Calibri"/>
                <w:color w:val="000000"/>
              </w:rPr>
            </w:pPr>
            <w:r>
              <w:rPr>
                <w:rFonts w:ascii="Calibri" w:hAnsi="Calibri"/>
                <w:color w:val="000000"/>
              </w:rPr>
              <w:t>12:15 – 13:15</w:t>
            </w:r>
          </w:p>
        </w:tc>
        <w:tc>
          <w:tcPr>
            <w:tcW w:w="7654" w:type="dxa"/>
            <w:tcBorders>
              <w:top w:val="nil"/>
              <w:left w:val="nil"/>
              <w:bottom w:val="single" w:sz="4" w:space="0" w:color="auto"/>
              <w:right w:val="single" w:sz="4" w:space="0" w:color="auto"/>
            </w:tcBorders>
            <w:shd w:val="clear" w:color="auto" w:fill="auto"/>
            <w:noWrap/>
            <w:vAlign w:val="bottom"/>
          </w:tcPr>
          <w:p w14:paraId="11C2297C" w14:textId="75A7B9A8" w:rsidR="008533D7" w:rsidRPr="00E64EB6" w:rsidRDefault="000C366A" w:rsidP="00A51F43">
            <w:pPr>
              <w:spacing w:after="0"/>
              <w:rPr>
                <w:rFonts w:ascii="Calibri" w:hAnsi="Calibri" w:cs="Calibri"/>
                <w:color w:val="000000"/>
              </w:rPr>
            </w:pPr>
            <w:r>
              <w:rPr>
                <w:rFonts w:ascii="Calibri" w:hAnsi="Calibri"/>
                <w:color w:val="000000"/>
              </w:rPr>
              <w:t xml:space="preserve">Pause déjeuner </w:t>
            </w:r>
          </w:p>
        </w:tc>
      </w:tr>
      <w:tr w:rsidR="008533D7" w:rsidRPr="00E64EB6" w14:paraId="7F22D4B3"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2862C02" w14:textId="61B54CB5" w:rsidR="008533D7" w:rsidRPr="00E64EB6" w:rsidRDefault="008533D7" w:rsidP="00A51F43">
            <w:pPr>
              <w:spacing w:after="0"/>
              <w:rPr>
                <w:rFonts w:ascii="Calibri" w:hAnsi="Calibri" w:cs="Calibri"/>
                <w:color w:val="000000"/>
              </w:rPr>
            </w:pPr>
            <w:r>
              <w:rPr>
                <w:rFonts w:ascii="Calibri" w:hAnsi="Calibri"/>
                <w:color w:val="000000"/>
              </w:rPr>
              <w:t>13:15 - 15:15</w:t>
            </w:r>
          </w:p>
        </w:tc>
        <w:tc>
          <w:tcPr>
            <w:tcW w:w="7654" w:type="dxa"/>
            <w:tcBorders>
              <w:top w:val="nil"/>
              <w:left w:val="nil"/>
              <w:bottom w:val="single" w:sz="4" w:space="0" w:color="auto"/>
              <w:right w:val="single" w:sz="4" w:space="0" w:color="auto"/>
            </w:tcBorders>
            <w:shd w:val="clear" w:color="auto" w:fill="auto"/>
            <w:noWrap/>
            <w:vAlign w:val="bottom"/>
            <w:hideMark/>
          </w:tcPr>
          <w:p w14:paraId="30531A40" w14:textId="457CA416" w:rsidR="008533D7" w:rsidRPr="00E64EB6" w:rsidRDefault="08048CD5" w:rsidP="00A51F43">
            <w:pPr>
              <w:spacing w:after="0"/>
              <w:rPr>
                <w:rFonts w:ascii="Calibri" w:hAnsi="Calibri" w:cs="Calibri"/>
                <w:b/>
                <w:bCs/>
                <w:color w:val="000000"/>
              </w:rPr>
            </w:pPr>
            <w:r>
              <w:rPr>
                <w:rFonts w:ascii="Calibri" w:hAnsi="Calibri"/>
                <w:b/>
                <w:color w:val="000000" w:themeColor="text1"/>
              </w:rPr>
              <w:t>Examen des progrès accomplis par rapport au Plan d’action des TM (1)</w:t>
            </w:r>
          </w:p>
        </w:tc>
      </w:tr>
      <w:tr w:rsidR="008533D7" w:rsidRPr="00E64EB6" w14:paraId="5A043BEF"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646D3DB" w14:textId="59E41713" w:rsidR="008533D7" w:rsidRPr="00E64EB6" w:rsidRDefault="008533D7" w:rsidP="00A51F43">
            <w:pPr>
              <w:spacing w:after="0"/>
              <w:rPr>
                <w:rFonts w:ascii="Calibri" w:hAnsi="Calibri" w:cs="Calibri"/>
                <w:color w:val="000000"/>
              </w:rPr>
            </w:pPr>
            <w:r>
              <w:rPr>
                <w:rFonts w:ascii="Calibri" w:hAnsi="Calibri"/>
                <w:color w:val="000000"/>
              </w:rPr>
              <w:t>15:15 – 15:45</w:t>
            </w:r>
          </w:p>
        </w:tc>
        <w:tc>
          <w:tcPr>
            <w:tcW w:w="7654" w:type="dxa"/>
            <w:tcBorders>
              <w:top w:val="nil"/>
              <w:left w:val="nil"/>
              <w:bottom w:val="single" w:sz="4" w:space="0" w:color="auto"/>
              <w:right w:val="single" w:sz="4" w:space="0" w:color="auto"/>
            </w:tcBorders>
            <w:shd w:val="clear" w:color="auto" w:fill="auto"/>
            <w:noWrap/>
            <w:vAlign w:val="bottom"/>
            <w:hideMark/>
          </w:tcPr>
          <w:p w14:paraId="163A6A14" w14:textId="77777777" w:rsidR="008533D7" w:rsidRPr="00E64EB6" w:rsidRDefault="008533D7" w:rsidP="00A51F43">
            <w:pPr>
              <w:spacing w:after="0"/>
              <w:rPr>
                <w:rFonts w:ascii="Calibri" w:hAnsi="Calibri" w:cs="Calibri"/>
                <w:color w:val="000000"/>
              </w:rPr>
            </w:pPr>
            <w:r>
              <w:rPr>
                <w:rFonts w:ascii="Calibri" w:hAnsi="Calibri"/>
                <w:color w:val="000000"/>
              </w:rPr>
              <w:t>Pause café/thé</w:t>
            </w:r>
          </w:p>
        </w:tc>
      </w:tr>
      <w:tr w:rsidR="008533D7" w:rsidRPr="00E64EB6" w14:paraId="47D0E903"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2FE9A3F" w14:textId="0049E0FF" w:rsidR="008533D7" w:rsidRDefault="008533D7" w:rsidP="008533D7">
            <w:pPr>
              <w:spacing w:after="0"/>
              <w:rPr>
                <w:rFonts w:ascii="Calibri" w:hAnsi="Calibri" w:cs="Calibri"/>
                <w:color w:val="000000"/>
              </w:rPr>
            </w:pPr>
            <w:r>
              <w:rPr>
                <w:rFonts w:ascii="Calibri" w:hAnsi="Calibri"/>
                <w:color w:val="000000"/>
              </w:rPr>
              <w:t>15:45 - 16:45</w:t>
            </w:r>
          </w:p>
        </w:tc>
        <w:tc>
          <w:tcPr>
            <w:tcW w:w="7654" w:type="dxa"/>
            <w:tcBorders>
              <w:top w:val="nil"/>
              <w:left w:val="nil"/>
              <w:bottom w:val="single" w:sz="4" w:space="0" w:color="auto"/>
              <w:right w:val="single" w:sz="4" w:space="0" w:color="auto"/>
            </w:tcBorders>
            <w:shd w:val="clear" w:color="auto" w:fill="auto"/>
            <w:noWrap/>
            <w:vAlign w:val="bottom"/>
          </w:tcPr>
          <w:p w14:paraId="0C7035E9" w14:textId="0CA3A12E" w:rsidR="008533D7" w:rsidRDefault="08048CD5" w:rsidP="008533D7">
            <w:pPr>
              <w:spacing w:after="0"/>
              <w:rPr>
                <w:rFonts w:ascii="Calibri" w:hAnsi="Calibri" w:cs="Calibri"/>
                <w:b/>
                <w:bCs/>
                <w:color w:val="000000"/>
              </w:rPr>
            </w:pPr>
            <w:r>
              <w:rPr>
                <w:rFonts w:ascii="Calibri" w:hAnsi="Calibri"/>
                <w:b/>
                <w:color w:val="000000" w:themeColor="text1"/>
              </w:rPr>
              <w:t>Examen des progrès accomplis par rapport au Plan d’action des TM (2)</w:t>
            </w:r>
          </w:p>
        </w:tc>
      </w:tr>
      <w:tr w:rsidR="008533D7" w:rsidRPr="00E64EB6" w14:paraId="7EAEC6D9"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7C2247" w14:textId="77F63F75" w:rsidR="008533D7" w:rsidRPr="00E64EB6" w:rsidRDefault="008533D7" w:rsidP="00A51F43">
            <w:pPr>
              <w:spacing w:after="0"/>
              <w:rPr>
                <w:rFonts w:ascii="Calibri" w:hAnsi="Calibri" w:cs="Calibri"/>
                <w:color w:val="000000"/>
              </w:rPr>
            </w:pPr>
            <w:r>
              <w:rPr>
                <w:rFonts w:ascii="Calibri" w:hAnsi="Calibri"/>
                <w:color w:val="000000"/>
              </w:rPr>
              <w:t>16:45 - 17:00</w:t>
            </w:r>
          </w:p>
        </w:tc>
        <w:tc>
          <w:tcPr>
            <w:tcW w:w="7654" w:type="dxa"/>
            <w:tcBorders>
              <w:top w:val="nil"/>
              <w:left w:val="nil"/>
              <w:bottom w:val="single" w:sz="4" w:space="0" w:color="auto"/>
              <w:right w:val="single" w:sz="4" w:space="0" w:color="auto"/>
            </w:tcBorders>
            <w:shd w:val="clear" w:color="auto" w:fill="auto"/>
            <w:noWrap/>
            <w:vAlign w:val="bottom"/>
            <w:hideMark/>
          </w:tcPr>
          <w:p w14:paraId="083BF190" w14:textId="2EB66DB1" w:rsidR="008533D7" w:rsidRPr="00E64EB6" w:rsidRDefault="008533D7" w:rsidP="00A51F43">
            <w:pPr>
              <w:spacing w:after="0"/>
              <w:rPr>
                <w:rFonts w:ascii="Calibri" w:hAnsi="Calibri" w:cs="Calibri"/>
                <w:b/>
                <w:bCs/>
                <w:color w:val="000000"/>
              </w:rPr>
            </w:pPr>
            <w:r>
              <w:rPr>
                <w:rFonts w:ascii="Calibri" w:hAnsi="Calibri"/>
                <w:b/>
                <w:color w:val="000000"/>
              </w:rPr>
              <w:t>Conclusion et étapes suivantes</w:t>
            </w:r>
          </w:p>
        </w:tc>
      </w:tr>
      <w:tr w:rsidR="008533D7" w:rsidRPr="00E64EB6" w14:paraId="5AE0EDD4" w14:textId="77777777" w:rsidTr="1115FBD5">
        <w:trPr>
          <w:trHeight w:val="300"/>
        </w:trPr>
        <w:tc>
          <w:tcPr>
            <w:tcW w:w="2122" w:type="dxa"/>
            <w:tcBorders>
              <w:top w:val="nil"/>
              <w:left w:val="nil"/>
              <w:bottom w:val="nil"/>
              <w:right w:val="nil"/>
            </w:tcBorders>
            <w:shd w:val="clear" w:color="auto" w:fill="auto"/>
            <w:noWrap/>
            <w:vAlign w:val="bottom"/>
            <w:hideMark/>
          </w:tcPr>
          <w:p w14:paraId="120F731D" w14:textId="77777777" w:rsidR="008533D7" w:rsidRPr="00E64EB6" w:rsidRDefault="008533D7" w:rsidP="00A51F43">
            <w:pPr>
              <w:spacing w:after="0"/>
              <w:rPr>
                <w:rFonts w:ascii="Calibri" w:hAnsi="Calibri" w:cs="Calibri"/>
                <w:b/>
                <w:bCs/>
                <w:color w:val="000000"/>
              </w:rPr>
            </w:pPr>
          </w:p>
        </w:tc>
        <w:tc>
          <w:tcPr>
            <w:tcW w:w="7654" w:type="dxa"/>
            <w:tcBorders>
              <w:top w:val="nil"/>
              <w:left w:val="nil"/>
              <w:bottom w:val="nil"/>
              <w:right w:val="nil"/>
            </w:tcBorders>
            <w:shd w:val="clear" w:color="auto" w:fill="auto"/>
            <w:noWrap/>
            <w:vAlign w:val="bottom"/>
            <w:hideMark/>
          </w:tcPr>
          <w:p w14:paraId="75BFD1CF" w14:textId="77777777" w:rsidR="008533D7" w:rsidRPr="00E64EB6" w:rsidRDefault="008533D7" w:rsidP="00A51F43">
            <w:pPr>
              <w:spacing w:after="0"/>
              <w:rPr>
                <w:rFonts w:ascii="Times New Roman" w:hAnsi="Times New Roman"/>
                <w:sz w:val="20"/>
                <w:szCs w:val="20"/>
              </w:rPr>
            </w:pPr>
          </w:p>
        </w:tc>
      </w:tr>
      <w:tr w:rsidR="008533D7" w:rsidRPr="00E64EB6" w14:paraId="0C352708" w14:textId="77777777" w:rsidTr="1115FBD5">
        <w:trPr>
          <w:trHeight w:val="300"/>
        </w:trPr>
        <w:tc>
          <w:tcPr>
            <w:tcW w:w="2122"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210D322" w14:textId="77777777" w:rsidR="008533D7" w:rsidRPr="00E64EB6" w:rsidRDefault="008533D7" w:rsidP="00A51F43">
            <w:pPr>
              <w:spacing w:after="0"/>
              <w:rPr>
                <w:rFonts w:ascii="Calibri" w:hAnsi="Calibri" w:cs="Calibri"/>
                <w:b/>
                <w:bCs/>
                <w:color w:val="000000"/>
              </w:rPr>
            </w:pPr>
            <w:r>
              <w:rPr>
                <w:rFonts w:ascii="Calibri" w:hAnsi="Calibri"/>
                <w:b/>
                <w:color w:val="000000"/>
              </w:rPr>
              <w:t>Jour 2</w:t>
            </w:r>
          </w:p>
        </w:tc>
        <w:tc>
          <w:tcPr>
            <w:tcW w:w="76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806F28" w14:textId="77777777" w:rsidR="008533D7" w:rsidRPr="00E64EB6" w:rsidRDefault="008533D7" w:rsidP="00A51F43">
            <w:pPr>
              <w:spacing w:after="0"/>
              <w:rPr>
                <w:rFonts w:ascii="Calibri" w:hAnsi="Calibri" w:cs="Calibri"/>
                <w:color w:val="000000"/>
              </w:rPr>
            </w:pPr>
            <w:r>
              <w:rPr>
                <w:rFonts w:ascii="Calibri" w:hAnsi="Calibri"/>
                <w:color w:val="000000"/>
              </w:rPr>
              <w:t> </w:t>
            </w:r>
          </w:p>
        </w:tc>
      </w:tr>
      <w:tr w:rsidR="008533D7" w:rsidRPr="00E64EB6" w14:paraId="4F8D1D47"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270BAF" w14:textId="03B925AA" w:rsidR="008533D7" w:rsidRPr="00E64EB6" w:rsidRDefault="008533D7" w:rsidP="00A51F43">
            <w:pPr>
              <w:spacing w:after="0"/>
              <w:rPr>
                <w:rFonts w:ascii="Calibri" w:hAnsi="Calibri" w:cs="Calibri"/>
                <w:color w:val="000000"/>
              </w:rPr>
            </w:pPr>
            <w:r>
              <w:rPr>
                <w:rFonts w:ascii="Calibri" w:hAnsi="Calibri"/>
                <w:color w:val="000000" w:themeColor="text1"/>
              </w:rPr>
              <w:t>09:00 - 10:00</w:t>
            </w:r>
          </w:p>
        </w:tc>
        <w:tc>
          <w:tcPr>
            <w:tcW w:w="7654" w:type="dxa"/>
            <w:tcBorders>
              <w:top w:val="nil"/>
              <w:left w:val="nil"/>
              <w:bottom w:val="single" w:sz="4" w:space="0" w:color="auto"/>
              <w:right w:val="single" w:sz="4" w:space="0" w:color="auto"/>
            </w:tcBorders>
            <w:shd w:val="clear" w:color="auto" w:fill="auto"/>
            <w:noWrap/>
            <w:vAlign w:val="bottom"/>
          </w:tcPr>
          <w:p w14:paraId="6AF8381A" w14:textId="3E011F28" w:rsidR="008533D7" w:rsidRPr="00E64EB6" w:rsidRDefault="08048CD5" w:rsidP="00A51F43">
            <w:pPr>
              <w:spacing w:after="0"/>
              <w:rPr>
                <w:rFonts w:ascii="Calibri" w:hAnsi="Calibri" w:cs="Calibri"/>
                <w:b/>
                <w:bCs/>
                <w:color w:val="000000"/>
              </w:rPr>
            </w:pPr>
            <w:r>
              <w:rPr>
                <w:rFonts w:ascii="Calibri" w:hAnsi="Calibri"/>
                <w:b/>
                <w:color w:val="000000" w:themeColor="text1"/>
              </w:rPr>
              <w:t>Préparer la présentation pour la leadership + séances supplémentaires facultatives</w:t>
            </w:r>
          </w:p>
        </w:tc>
      </w:tr>
      <w:tr w:rsidR="008533D7" w:rsidRPr="00E64EB6" w14:paraId="316A324A"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3A912EB" w14:textId="7EE4827A" w:rsidR="008533D7" w:rsidRPr="00E64EB6" w:rsidRDefault="008533D7" w:rsidP="00A51F43">
            <w:pPr>
              <w:spacing w:after="0"/>
              <w:rPr>
                <w:rFonts w:ascii="Calibri" w:hAnsi="Calibri" w:cs="Calibri"/>
                <w:color w:val="000000"/>
              </w:rPr>
            </w:pPr>
            <w:r>
              <w:rPr>
                <w:rFonts w:ascii="Calibri" w:hAnsi="Calibri"/>
                <w:color w:val="000000" w:themeColor="text1"/>
              </w:rPr>
              <w:t>10.00 - 11.00</w:t>
            </w:r>
          </w:p>
        </w:tc>
        <w:tc>
          <w:tcPr>
            <w:tcW w:w="7654" w:type="dxa"/>
            <w:tcBorders>
              <w:top w:val="nil"/>
              <w:left w:val="nil"/>
              <w:bottom w:val="single" w:sz="4" w:space="0" w:color="auto"/>
              <w:right w:val="single" w:sz="4" w:space="0" w:color="auto"/>
            </w:tcBorders>
            <w:shd w:val="clear" w:color="auto" w:fill="auto"/>
            <w:noWrap/>
            <w:vAlign w:val="bottom"/>
            <w:hideMark/>
          </w:tcPr>
          <w:p w14:paraId="3847B151" w14:textId="38098665" w:rsidR="008533D7" w:rsidRPr="00E64EB6" w:rsidRDefault="0477A964" w:rsidP="0E431ACE">
            <w:pPr>
              <w:spacing w:after="0"/>
              <w:rPr>
                <w:rFonts w:ascii="Calibri" w:hAnsi="Calibri" w:cs="Calibri"/>
                <w:b/>
                <w:bCs/>
                <w:color w:val="000000"/>
              </w:rPr>
            </w:pPr>
            <w:r>
              <w:rPr>
                <w:rFonts w:ascii="Calibri" w:hAnsi="Calibri"/>
                <w:b/>
                <w:color w:val="000000" w:themeColor="text1"/>
              </w:rPr>
              <w:t>Présentation du plan d’action TM à la direction</w:t>
            </w:r>
          </w:p>
        </w:tc>
      </w:tr>
      <w:tr w:rsidR="000C366A" w:rsidRPr="00E64EB6" w14:paraId="06CB7023"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7BB99CF" w14:textId="6ECB698E" w:rsidR="000C366A" w:rsidRDefault="000C366A" w:rsidP="000C366A">
            <w:pPr>
              <w:spacing w:after="0"/>
              <w:rPr>
                <w:rFonts w:ascii="Calibri" w:hAnsi="Calibri" w:cs="Calibri"/>
                <w:color w:val="000000"/>
              </w:rPr>
            </w:pPr>
            <w:r>
              <w:rPr>
                <w:rFonts w:ascii="Calibri" w:hAnsi="Calibri"/>
                <w:color w:val="000000" w:themeColor="text1"/>
              </w:rPr>
              <w:t>11:00 – 11:30</w:t>
            </w:r>
          </w:p>
        </w:tc>
        <w:tc>
          <w:tcPr>
            <w:tcW w:w="7654" w:type="dxa"/>
            <w:tcBorders>
              <w:top w:val="nil"/>
              <w:left w:val="nil"/>
              <w:bottom w:val="single" w:sz="4" w:space="0" w:color="auto"/>
              <w:right w:val="single" w:sz="4" w:space="0" w:color="auto"/>
            </w:tcBorders>
            <w:shd w:val="clear" w:color="auto" w:fill="auto"/>
            <w:noWrap/>
            <w:vAlign w:val="bottom"/>
          </w:tcPr>
          <w:p w14:paraId="53087709" w14:textId="6420FD58" w:rsidR="000C366A" w:rsidRDefault="6FCEDF52" w:rsidP="0E431ACE">
            <w:pPr>
              <w:spacing w:after="0"/>
              <w:rPr>
                <w:rFonts w:ascii="Calibri" w:hAnsi="Calibri" w:cs="Calibri"/>
                <w:b/>
                <w:bCs/>
                <w:color w:val="000000"/>
              </w:rPr>
            </w:pPr>
            <w:r>
              <w:rPr>
                <w:rFonts w:ascii="Calibri" w:hAnsi="Calibri"/>
                <w:color w:val="000000" w:themeColor="text1"/>
              </w:rPr>
              <w:t>Pause café/thé</w:t>
            </w:r>
          </w:p>
        </w:tc>
      </w:tr>
      <w:tr w:rsidR="00EC592B" w:rsidRPr="00E64EB6" w14:paraId="24B34743" w14:textId="77777777" w:rsidTr="1115FBD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40995DB1" w14:textId="39D07203" w:rsidR="00EC592B" w:rsidRDefault="00EC592B" w:rsidP="00A51F43">
            <w:pPr>
              <w:spacing w:after="0"/>
              <w:rPr>
                <w:rFonts w:ascii="Calibri" w:hAnsi="Calibri" w:cs="Calibri"/>
                <w:color w:val="000000"/>
              </w:rPr>
            </w:pPr>
            <w:r>
              <w:rPr>
                <w:rFonts w:ascii="Calibri" w:hAnsi="Calibri"/>
                <w:color w:val="000000" w:themeColor="text1"/>
              </w:rPr>
              <w:t>11:30 – 12:00</w:t>
            </w:r>
          </w:p>
        </w:tc>
        <w:tc>
          <w:tcPr>
            <w:tcW w:w="7654" w:type="dxa"/>
            <w:tcBorders>
              <w:top w:val="nil"/>
              <w:left w:val="nil"/>
              <w:bottom w:val="single" w:sz="4" w:space="0" w:color="auto"/>
              <w:right w:val="single" w:sz="4" w:space="0" w:color="auto"/>
            </w:tcBorders>
            <w:shd w:val="clear" w:color="auto" w:fill="auto"/>
            <w:noWrap/>
            <w:vAlign w:val="bottom"/>
          </w:tcPr>
          <w:p w14:paraId="56AC2278" w14:textId="5B1FB952" w:rsidR="00EC592B" w:rsidRPr="00BC579E" w:rsidRDefault="33565EEF" w:rsidP="00A51F43">
            <w:pPr>
              <w:spacing w:after="0"/>
              <w:rPr>
                <w:rFonts w:ascii="Calibri" w:hAnsi="Calibri" w:cs="Calibri"/>
                <w:color w:val="000000"/>
              </w:rPr>
            </w:pPr>
            <w:r>
              <w:rPr>
                <w:rFonts w:ascii="Calibri" w:hAnsi="Calibri"/>
                <w:color w:val="000000" w:themeColor="text1"/>
              </w:rPr>
              <w:t xml:space="preserve">Revoir la vision des TM de la SN  </w:t>
            </w:r>
          </w:p>
        </w:tc>
      </w:tr>
      <w:tr w:rsidR="008533D7" w:rsidRPr="00E64EB6" w14:paraId="2E2DA734" w14:textId="77777777" w:rsidTr="1115FBD5">
        <w:trPr>
          <w:trHeight w:val="300"/>
        </w:trPr>
        <w:tc>
          <w:tcPr>
            <w:tcW w:w="2122" w:type="dxa"/>
            <w:tcBorders>
              <w:top w:val="nil"/>
              <w:left w:val="nil"/>
              <w:bottom w:val="nil"/>
              <w:right w:val="nil"/>
            </w:tcBorders>
            <w:shd w:val="clear" w:color="auto" w:fill="auto"/>
            <w:noWrap/>
            <w:vAlign w:val="bottom"/>
            <w:hideMark/>
          </w:tcPr>
          <w:p w14:paraId="39EB0AC3" w14:textId="77777777" w:rsidR="008533D7" w:rsidRPr="00E64EB6" w:rsidRDefault="008533D7" w:rsidP="00A51F43">
            <w:pPr>
              <w:spacing w:after="0"/>
              <w:rPr>
                <w:rFonts w:ascii="Calibri" w:hAnsi="Calibri" w:cs="Calibri"/>
                <w:color w:val="000000"/>
              </w:rPr>
            </w:pPr>
          </w:p>
        </w:tc>
        <w:tc>
          <w:tcPr>
            <w:tcW w:w="7654" w:type="dxa"/>
            <w:tcBorders>
              <w:top w:val="nil"/>
              <w:left w:val="nil"/>
              <w:bottom w:val="single" w:sz="4" w:space="0" w:color="auto"/>
              <w:right w:val="nil"/>
            </w:tcBorders>
            <w:shd w:val="clear" w:color="auto" w:fill="auto"/>
            <w:noWrap/>
            <w:vAlign w:val="bottom"/>
            <w:hideMark/>
          </w:tcPr>
          <w:p w14:paraId="0908B5A8" w14:textId="77777777" w:rsidR="008533D7" w:rsidRPr="00E64EB6" w:rsidRDefault="008533D7" w:rsidP="00A51F43">
            <w:pPr>
              <w:spacing w:after="0"/>
              <w:rPr>
                <w:rFonts w:ascii="Calibri" w:hAnsi="Calibri" w:cs="Calibri"/>
                <w:color w:val="000000"/>
              </w:rPr>
            </w:pPr>
          </w:p>
        </w:tc>
      </w:tr>
    </w:tbl>
    <w:p w14:paraId="5AC59BEC" w14:textId="066594C3" w:rsidR="00792A8D" w:rsidRPr="001A113D" w:rsidRDefault="00792A8D" w:rsidP="001A113D">
      <w:pPr>
        <w:tabs>
          <w:tab w:val="left" w:pos="5260"/>
        </w:tabs>
        <w:rPr>
          <w:lang w:val="en-US"/>
        </w:rPr>
      </w:pPr>
    </w:p>
    <w:sectPr w:rsidR="00792A8D" w:rsidRPr="001A113D" w:rsidSect="00165167">
      <w:headerReference w:type="default" r:id="rId11"/>
      <w:footerReference w:type="default" r:id="rId12"/>
      <w:pgSz w:w="11909" w:h="16834" w:code="9"/>
      <w:pgMar w:top="767" w:right="1140" w:bottom="1113" w:left="994"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5959B" w14:textId="77777777" w:rsidR="00165167" w:rsidRDefault="00165167">
      <w:r>
        <w:separator/>
      </w:r>
    </w:p>
    <w:p w14:paraId="14D95153" w14:textId="77777777" w:rsidR="00165167" w:rsidRDefault="00165167"/>
    <w:p w14:paraId="701193D9" w14:textId="77777777" w:rsidR="00165167" w:rsidRDefault="00165167"/>
    <w:p w14:paraId="6D61DC99" w14:textId="77777777" w:rsidR="00165167" w:rsidRDefault="00165167"/>
    <w:p w14:paraId="5E58C1A8" w14:textId="77777777" w:rsidR="00165167" w:rsidRDefault="00165167"/>
  </w:endnote>
  <w:endnote w:type="continuationSeparator" w:id="0">
    <w:p w14:paraId="37C99FC5" w14:textId="77777777" w:rsidR="00165167" w:rsidRDefault="00165167">
      <w:r>
        <w:continuationSeparator/>
      </w:r>
    </w:p>
    <w:p w14:paraId="4D030D20" w14:textId="77777777" w:rsidR="00165167" w:rsidRDefault="00165167"/>
    <w:p w14:paraId="091B662F" w14:textId="77777777" w:rsidR="00165167" w:rsidRDefault="00165167"/>
    <w:p w14:paraId="7B2BDF94" w14:textId="77777777" w:rsidR="00165167" w:rsidRDefault="00165167"/>
    <w:p w14:paraId="5D2D2E0B" w14:textId="77777777" w:rsidR="00165167" w:rsidRDefault="00165167"/>
  </w:endnote>
  <w:endnote w:type="continuationNotice" w:id="1">
    <w:p w14:paraId="6FC4F5DB" w14:textId="77777777" w:rsidR="00165167" w:rsidRDefault="001651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3645" w14:textId="4C0690D9" w:rsidR="00D10EF2" w:rsidRDefault="00D10EF2" w:rsidP="00175364">
    <w:pPr>
      <w:pStyle w:val="Footer"/>
      <w:pBdr>
        <w:top w:val="single" w:sz="4" w:space="9" w:color="auto"/>
      </w:pBdr>
      <w:tabs>
        <w:tab w:val="clear" w:pos="9515"/>
        <w:tab w:val="left" w:pos="3029"/>
        <w:tab w:val="right" w:pos="9781"/>
      </w:tabs>
      <w:spacing w:before="0" w:after="0"/>
      <w:ind w:right="-6"/>
    </w:pPr>
    <w:r>
      <w:tab/>
    </w:r>
    <w:r>
      <w:tab/>
    </w:r>
    <w:r>
      <w:tab/>
    </w:r>
    <w:r>
      <w:tab/>
    </w:r>
  </w:p>
  <w:p w14:paraId="361EE5D6" w14:textId="0B914B1A" w:rsidR="00D10EF2" w:rsidRDefault="00D10EF2" w:rsidP="00175364">
    <w:pPr>
      <w:pStyle w:val="Footer"/>
      <w:pBdr>
        <w:top w:val="single" w:sz="4" w:space="9" w:color="auto"/>
      </w:pBdr>
      <w:tabs>
        <w:tab w:val="clear" w:pos="9515"/>
        <w:tab w:val="left" w:pos="3029"/>
        <w:tab w:val="right" w:pos="9781"/>
      </w:tabs>
      <w:spacing w:before="0" w:after="0"/>
      <w:ind w:right="-6"/>
    </w:pPr>
    <w:r>
      <w:tab/>
    </w:r>
    <w:r>
      <w:tab/>
    </w:r>
    <w:r>
      <w:tab/>
    </w:r>
    <w:r>
      <w:tab/>
    </w:r>
    <w:r>
      <w:fldChar w:fldCharType="begin"/>
    </w:r>
    <w:r>
      <w:instrText xml:space="preserve"> PAGE   \* MERGEFORMAT </w:instrText>
    </w:r>
    <w:r>
      <w:fldChar w:fldCharType="separate"/>
    </w:r>
    <w:r w:rsidR="007618D2">
      <w:rPr>
        <w:noProof/>
      </w:rPr>
      <w:t>3</w:t>
    </w:r>
    <w:r>
      <w:fldChar w:fldCharType="end"/>
    </w:r>
    <w:r>
      <w:t xml:space="preserve"> | </w:t>
    </w:r>
    <w:fldSimple w:instr=" NUMPAGES  \* Arabic  \* MERGEFORMAT ">
      <w:r w:rsidR="007618D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6F937" w14:textId="77777777" w:rsidR="00165167" w:rsidRDefault="00165167">
      <w:r>
        <w:separator/>
      </w:r>
    </w:p>
  </w:footnote>
  <w:footnote w:type="continuationSeparator" w:id="0">
    <w:p w14:paraId="0DCAFB60" w14:textId="77777777" w:rsidR="00165167" w:rsidRDefault="00165167">
      <w:r>
        <w:continuationSeparator/>
      </w:r>
    </w:p>
    <w:p w14:paraId="3F1A52EA" w14:textId="77777777" w:rsidR="00165167" w:rsidRDefault="00165167"/>
    <w:p w14:paraId="6FEBA7F5" w14:textId="77777777" w:rsidR="00165167" w:rsidRDefault="00165167"/>
    <w:p w14:paraId="3E9750C0" w14:textId="77777777" w:rsidR="00165167" w:rsidRDefault="00165167"/>
    <w:p w14:paraId="4E019B35" w14:textId="77777777" w:rsidR="00165167" w:rsidRDefault="00165167"/>
  </w:footnote>
  <w:footnote w:type="continuationNotice" w:id="1">
    <w:p w14:paraId="1DA2632D" w14:textId="77777777" w:rsidR="00165167" w:rsidRDefault="001651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EAA8" w14:textId="73AB3D56" w:rsidR="00D10EF2" w:rsidRDefault="0073360C" w:rsidP="00D9212C">
    <w:pPr>
      <w:pStyle w:val="Header"/>
      <w:pBdr>
        <w:bottom w:val="none" w:sz="0" w:space="0" w:color="auto"/>
      </w:pBdr>
      <w:tabs>
        <w:tab w:val="left" w:pos="340"/>
        <w:tab w:val="right" w:pos="9775"/>
      </w:tabs>
    </w:pPr>
    <w:sdt>
      <w:sdtPr>
        <w:id w:val="-656911623"/>
        <w:docPartObj>
          <w:docPartGallery w:val="Watermarks"/>
          <w:docPartUnique/>
        </w:docPartObj>
      </w:sdtPr>
      <w:sdtEndPr/>
      <w:sdtContent/>
    </w:sdt>
    <w:r w:rsidR="007618D2">
      <w:tab/>
    </w:r>
    <w:r w:rsidR="007618D2">
      <w:tab/>
    </w:r>
    <w:r w:rsidR="007618D2">
      <w:tab/>
    </w:r>
  </w:p>
</w:hdr>
</file>

<file path=word/intelligence2.xml><?xml version="1.0" encoding="utf-8"?>
<int2:intelligence xmlns:int2="http://schemas.microsoft.com/office/intelligence/2020/intelligence" xmlns:oel="http://schemas.microsoft.com/office/2019/extlst">
  <int2:observations>
    <int2:textHash int2:hashCode="arvS84ZQuq5bhf" int2:id="CqwV3Nw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87442"/>
    <w:multiLevelType w:val="hybridMultilevel"/>
    <w:tmpl w:val="D03AFB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E83FB6"/>
    <w:multiLevelType w:val="hybridMultilevel"/>
    <w:tmpl w:val="D390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7"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922835445">
    <w:abstractNumId w:val="0"/>
  </w:num>
  <w:num w:numId="2" w16cid:durableId="1552960324">
    <w:abstractNumId w:val="4"/>
  </w:num>
  <w:num w:numId="3" w16cid:durableId="1163274964">
    <w:abstractNumId w:val="6"/>
  </w:num>
  <w:num w:numId="4" w16cid:durableId="1825537355">
    <w:abstractNumId w:val="7"/>
  </w:num>
  <w:num w:numId="5" w16cid:durableId="1921013631">
    <w:abstractNumId w:val="3"/>
  </w:num>
  <w:num w:numId="6" w16cid:durableId="1483278803">
    <w:abstractNumId w:val="5"/>
  </w:num>
  <w:num w:numId="7" w16cid:durableId="1923755269">
    <w:abstractNumId w:val="1"/>
  </w:num>
  <w:num w:numId="8" w16cid:durableId="19748649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fill="f" fillcolor="#bbe0e3" stroke="f">
      <v:fill color="#bbe0e3"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76E"/>
    <w:rsid w:val="0000741D"/>
    <w:rsid w:val="00010A7B"/>
    <w:rsid w:val="00012B95"/>
    <w:rsid w:val="0001354B"/>
    <w:rsid w:val="00013EB7"/>
    <w:rsid w:val="00016FA9"/>
    <w:rsid w:val="0002109F"/>
    <w:rsid w:val="00023AEE"/>
    <w:rsid w:val="00024425"/>
    <w:rsid w:val="00026576"/>
    <w:rsid w:val="00031A0C"/>
    <w:rsid w:val="00033EB6"/>
    <w:rsid w:val="00034343"/>
    <w:rsid w:val="00036940"/>
    <w:rsid w:val="00036CFF"/>
    <w:rsid w:val="00037F93"/>
    <w:rsid w:val="0004213E"/>
    <w:rsid w:val="00045DF9"/>
    <w:rsid w:val="00047DAB"/>
    <w:rsid w:val="000528E8"/>
    <w:rsid w:val="000534D7"/>
    <w:rsid w:val="00057003"/>
    <w:rsid w:val="000622AA"/>
    <w:rsid w:val="00063878"/>
    <w:rsid w:val="00063D00"/>
    <w:rsid w:val="0006783B"/>
    <w:rsid w:val="00067B23"/>
    <w:rsid w:val="00071F70"/>
    <w:rsid w:val="000731BC"/>
    <w:rsid w:val="000743B8"/>
    <w:rsid w:val="000760F1"/>
    <w:rsid w:val="00081B29"/>
    <w:rsid w:val="0008318A"/>
    <w:rsid w:val="000852C7"/>
    <w:rsid w:val="000855AC"/>
    <w:rsid w:val="00087196"/>
    <w:rsid w:val="00087771"/>
    <w:rsid w:val="00090506"/>
    <w:rsid w:val="00093885"/>
    <w:rsid w:val="0009683C"/>
    <w:rsid w:val="00096C68"/>
    <w:rsid w:val="0009763F"/>
    <w:rsid w:val="000978A9"/>
    <w:rsid w:val="000A24C5"/>
    <w:rsid w:val="000A356A"/>
    <w:rsid w:val="000A3893"/>
    <w:rsid w:val="000A3A78"/>
    <w:rsid w:val="000A3E4F"/>
    <w:rsid w:val="000A5936"/>
    <w:rsid w:val="000A6292"/>
    <w:rsid w:val="000A7A80"/>
    <w:rsid w:val="000B08DE"/>
    <w:rsid w:val="000B1A0A"/>
    <w:rsid w:val="000B1E34"/>
    <w:rsid w:val="000B5B9B"/>
    <w:rsid w:val="000C366A"/>
    <w:rsid w:val="000C4385"/>
    <w:rsid w:val="000C55FB"/>
    <w:rsid w:val="000C5A79"/>
    <w:rsid w:val="000D01EC"/>
    <w:rsid w:val="000D0A15"/>
    <w:rsid w:val="000E0240"/>
    <w:rsid w:val="000E06D6"/>
    <w:rsid w:val="000E13C4"/>
    <w:rsid w:val="000E37C2"/>
    <w:rsid w:val="000E6B96"/>
    <w:rsid w:val="000F06D0"/>
    <w:rsid w:val="000F1975"/>
    <w:rsid w:val="000F1A1E"/>
    <w:rsid w:val="000F1EAA"/>
    <w:rsid w:val="000F3504"/>
    <w:rsid w:val="000F3810"/>
    <w:rsid w:val="000F5DA9"/>
    <w:rsid w:val="000F6DBD"/>
    <w:rsid w:val="00100BCC"/>
    <w:rsid w:val="00100CE6"/>
    <w:rsid w:val="001037D8"/>
    <w:rsid w:val="00107595"/>
    <w:rsid w:val="00107D9C"/>
    <w:rsid w:val="00111051"/>
    <w:rsid w:val="001140A5"/>
    <w:rsid w:val="001250FC"/>
    <w:rsid w:val="001304B9"/>
    <w:rsid w:val="00132139"/>
    <w:rsid w:val="00133298"/>
    <w:rsid w:val="0013746E"/>
    <w:rsid w:val="0014242D"/>
    <w:rsid w:val="00142769"/>
    <w:rsid w:val="00142942"/>
    <w:rsid w:val="00144089"/>
    <w:rsid w:val="00144A07"/>
    <w:rsid w:val="0014531B"/>
    <w:rsid w:val="00147EF1"/>
    <w:rsid w:val="00153641"/>
    <w:rsid w:val="0015367F"/>
    <w:rsid w:val="0015458B"/>
    <w:rsid w:val="00156875"/>
    <w:rsid w:val="001622D2"/>
    <w:rsid w:val="001644CC"/>
    <w:rsid w:val="00165167"/>
    <w:rsid w:val="00167816"/>
    <w:rsid w:val="0017209E"/>
    <w:rsid w:val="00174B2C"/>
    <w:rsid w:val="00174D3D"/>
    <w:rsid w:val="00175311"/>
    <w:rsid w:val="00175364"/>
    <w:rsid w:val="00175BD1"/>
    <w:rsid w:val="00176F71"/>
    <w:rsid w:val="0018019B"/>
    <w:rsid w:val="00180A92"/>
    <w:rsid w:val="00181DB7"/>
    <w:rsid w:val="00183417"/>
    <w:rsid w:val="00183B0A"/>
    <w:rsid w:val="00183F66"/>
    <w:rsid w:val="00192C3E"/>
    <w:rsid w:val="001938E5"/>
    <w:rsid w:val="00193AB6"/>
    <w:rsid w:val="00196395"/>
    <w:rsid w:val="001A113D"/>
    <w:rsid w:val="001A2FBA"/>
    <w:rsid w:val="001A430C"/>
    <w:rsid w:val="001A4636"/>
    <w:rsid w:val="001A63AD"/>
    <w:rsid w:val="001A71BC"/>
    <w:rsid w:val="001B1F16"/>
    <w:rsid w:val="001B213A"/>
    <w:rsid w:val="001B2AE6"/>
    <w:rsid w:val="001B64BD"/>
    <w:rsid w:val="001B68A1"/>
    <w:rsid w:val="001B7632"/>
    <w:rsid w:val="001C070D"/>
    <w:rsid w:val="001C081B"/>
    <w:rsid w:val="001C126B"/>
    <w:rsid w:val="001C2FBE"/>
    <w:rsid w:val="001C48D6"/>
    <w:rsid w:val="001D604A"/>
    <w:rsid w:val="001E25CA"/>
    <w:rsid w:val="001E3E4D"/>
    <w:rsid w:val="001E4D5E"/>
    <w:rsid w:val="001E4F70"/>
    <w:rsid w:val="001E6809"/>
    <w:rsid w:val="001E6CFD"/>
    <w:rsid w:val="001F38DD"/>
    <w:rsid w:val="001F43EB"/>
    <w:rsid w:val="001F47F3"/>
    <w:rsid w:val="001F4ED2"/>
    <w:rsid w:val="001F6603"/>
    <w:rsid w:val="001F6E04"/>
    <w:rsid w:val="001F6FE7"/>
    <w:rsid w:val="00202DEB"/>
    <w:rsid w:val="00204EFB"/>
    <w:rsid w:val="00206FA4"/>
    <w:rsid w:val="00211230"/>
    <w:rsid w:val="002118C3"/>
    <w:rsid w:val="00211BF9"/>
    <w:rsid w:val="00214406"/>
    <w:rsid w:val="00215D6B"/>
    <w:rsid w:val="002166E5"/>
    <w:rsid w:val="002174C9"/>
    <w:rsid w:val="00220283"/>
    <w:rsid w:val="00220891"/>
    <w:rsid w:val="00221DF3"/>
    <w:rsid w:val="0022268A"/>
    <w:rsid w:val="002230E2"/>
    <w:rsid w:val="0022490E"/>
    <w:rsid w:val="00227276"/>
    <w:rsid w:val="00230728"/>
    <w:rsid w:val="00231E88"/>
    <w:rsid w:val="002326C4"/>
    <w:rsid w:val="00232F40"/>
    <w:rsid w:val="0023317A"/>
    <w:rsid w:val="00233545"/>
    <w:rsid w:val="002364EC"/>
    <w:rsid w:val="00244099"/>
    <w:rsid w:val="0024657D"/>
    <w:rsid w:val="00247EDF"/>
    <w:rsid w:val="0025006C"/>
    <w:rsid w:val="00250796"/>
    <w:rsid w:val="002518AA"/>
    <w:rsid w:val="00252484"/>
    <w:rsid w:val="0025426C"/>
    <w:rsid w:val="00254497"/>
    <w:rsid w:val="0025608D"/>
    <w:rsid w:val="002564AD"/>
    <w:rsid w:val="00260241"/>
    <w:rsid w:val="0026416E"/>
    <w:rsid w:val="002654DD"/>
    <w:rsid w:val="0026550F"/>
    <w:rsid w:val="00265CE8"/>
    <w:rsid w:val="0027035C"/>
    <w:rsid w:val="00272299"/>
    <w:rsid w:val="00273449"/>
    <w:rsid w:val="0027590C"/>
    <w:rsid w:val="0028086A"/>
    <w:rsid w:val="00281D5F"/>
    <w:rsid w:val="00282CE4"/>
    <w:rsid w:val="0028728D"/>
    <w:rsid w:val="00287A22"/>
    <w:rsid w:val="00287C96"/>
    <w:rsid w:val="002900F9"/>
    <w:rsid w:val="00291EF5"/>
    <w:rsid w:val="00292E6A"/>
    <w:rsid w:val="002936CF"/>
    <w:rsid w:val="002938CB"/>
    <w:rsid w:val="00294E34"/>
    <w:rsid w:val="002956D4"/>
    <w:rsid w:val="00296523"/>
    <w:rsid w:val="00296CE1"/>
    <w:rsid w:val="002971B4"/>
    <w:rsid w:val="002A1770"/>
    <w:rsid w:val="002A2637"/>
    <w:rsid w:val="002A36AA"/>
    <w:rsid w:val="002A3E55"/>
    <w:rsid w:val="002A3EFA"/>
    <w:rsid w:val="002A59AF"/>
    <w:rsid w:val="002A78FD"/>
    <w:rsid w:val="002B0403"/>
    <w:rsid w:val="002B459D"/>
    <w:rsid w:val="002B6ECF"/>
    <w:rsid w:val="002C00E1"/>
    <w:rsid w:val="002C3593"/>
    <w:rsid w:val="002C372B"/>
    <w:rsid w:val="002C37C5"/>
    <w:rsid w:val="002C5875"/>
    <w:rsid w:val="002C659B"/>
    <w:rsid w:val="002D2B69"/>
    <w:rsid w:val="002D3908"/>
    <w:rsid w:val="002D3DED"/>
    <w:rsid w:val="002D3F25"/>
    <w:rsid w:val="002D59EF"/>
    <w:rsid w:val="002D713D"/>
    <w:rsid w:val="002E1A44"/>
    <w:rsid w:val="002E1AC0"/>
    <w:rsid w:val="002E59BA"/>
    <w:rsid w:val="002E5F71"/>
    <w:rsid w:val="002E7292"/>
    <w:rsid w:val="002F032F"/>
    <w:rsid w:val="002F0604"/>
    <w:rsid w:val="002F2A75"/>
    <w:rsid w:val="002F3CEB"/>
    <w:rsid w:val="002F602B"/>
    <w:rsid w:val="002F6F64"/>
    <w:rsid w:val="00301972"/>
    <w:rsid w:val="00302723"/>
    <w:rsid w:val="00306DBC"/>
    <w:rsid w:val="0030799F"/>
    <w:rsid w:val="00315A1D"/>
    <w:rsid w:val="00316517"/>
    <w:rsid w:val="003172EF"/>
    <w:rsid w:val="00321574"/>
    <w:rsid w:val="00323D8F"/>
    <w:rsid w:val="0032439E"/>
    <w:rsid w:val="003262D1"/>
    <w:rsid w:val="00326817"/>
    <w:rsid w:val="00335C51"/>
    <w:rsid w:val="00335F1D"/>
    <w:rsid w:val="00337B7F"/>
    <w:rsid w:val="003411B6"/>
    <w:rsid w:val="00343A20"/>
    <w:rsid w:val="00343EE4"/>
    <w:rsid w:val="0034618C"/>
    <w:rsid w:val="00350F11"/>
    <w:rsid w:val="00352CDA"/>
    <w:rsid w:val="0035554F"/>
    <w:rsid w:val="003559FC"/>
    <w:rsid w:val="00355F9B"/>
    <w:rsid w:val="00356B42"/>
    <w:rsid w:val="0036053A"/>
    <w:rsid w:val="00361181"/>
    <w:rsid w:val="0036252B"/>
    <w:rsid w:val="00363406"/>
    <w:rsid w:val="00365BE2"/>
    <w:rsid w:val="0037644E"/>
    <w:rsid w:val="00376723"/>
    <w:rsid w:val="00381601"/>
    <w:rsid w:val="00381D58"/>
    <w:rsid w:val="0038211D"/>
    <w:rsid w:val="00382624"/>
    <w:rsid w:val="00382632"/>
    <w:rsid w:val="00382D51"/>
    <w:rsid w:val="003858BA"/>
    <w:rsid w:val="00386BE9"/>
    <w:rsid w:val="00386FA0"/>
    <w:rsid w:val="0038760F"/>
    <w:rsid w:val="00387FC9"/>
    <w:rsid w:val="0039146A"/>
    <w:rsid w:val="00392E2C"/>
    <w:rsid w:val="00393B0C"/>
    <w:rsid w:val="003962E2"/>
    <w:rsid w:val="003976DA"/>
    <w:rsid w:val="003A116A"/>
    <w:rsid w:val="003A639F"/>
    <w:rsid w:val="003A6BB3"/>
    <w:rsid w:val="003B4738"/>
    <w:rsid w:val="003B6AD2"/>
    <w:rsid w:val="003B6FF9"/>
    <w:rsid w:val="003C001F"/>
    <w:rsid w:val="003C0BC5"/>
    <w:rsid w:val="003C5DE7"/>
    <w:rsid w:val="003C7E09"/>
    <w:rsid w:val="003D0EDB"/>
    <w:rsid w:val="003D1945"/>
    <w:rsid w:val="003D23EF"/>
    <w:rsid w:val="003D31B0"/>
    <w:rsid w:val="003D3D2E"/>
    <w:rsid w:val="003D509A"/>
    <w:rsid w:val="003D575F"/>
    <w:rsid w:val="003D5B2D"/>
    <w:rsid w:val="003E0C27"/>
    <w:rsid w:val="003E32D6"/>
    <w:rsid w:val="003E5F67"/>
    <w:rsid w:val="003F1D55"/>
    <w:rsid w:val="003F4549"/>
    <w:rsid w:val="003F6E47"/>
    <w:rsid w:val="00401391"/>
    <w:rsid w:val="004013A5"/>
    <w:rsid w:val="00402408"/>
    <w:rsid w:val="00403F23"/>
    <w:rsid w:val="00404E59"/>
    <w:rsid w:val="00405E71"/>
    <w:rsid w:val="004076D3"/>
    <w:rsid w:val="004105F8"/>
    <w:rsid w:val="00412388"/>
    <w:rsid w:val="004127EA"/>
    <w:rsid w:val="004143C1"/>
    <w:rsid w:val="00417E1D"/>
    <w:rsid w:val="00422FEC"/>
    <w:rsid w:val="00424255"/>
    <w:rsid w:val="004302D5"/>
    <w:rsid w:val="00431F07"/>
    <w:rsid w:val="00440924"/>
    <w:rsid w:val="004419D6"/>
    <w:rsid w:val="004461DA"/>
    <w:rsid w:val="00446A34"/>
    <w:rsid w:val="00446C26"/>
    <w:rsid w:val="00451ABF"/>
    <w:rsid w:val="004521B9"/>
    <w:rsid w:val="004546AE"/>
    <w:rsid w:val="00454DCA"/>
    <w:rsid w:val="0045576E"/>
    <w:rsid w:val="004563D4"/>
    <w:rsid w:val="00457389"/>
    <w:rsid w:val="00465623"/>
    <w:rsid w:val="004661E4"/>
    <w:rsid w:val="00467041"/>
    <w:rsid w:val="00467550"/>
    <w:rsid w:val="00467C22"/>
    <w:rsid w:val="0047032E"/>
    <w:rsid w:val="00470800"/>
    <w:rsid w:val="004729A3"/>
    <w:rsid w:val="00473BDB"/>
    <w:rsid w:val="00474D9B"/>
    <w:rsid w:val="004757F9"/>
    <w:rsid w:val="004763E5"/>
    <w:rsid w:val="0047667A"/>
    <w:rsid w:val="00477D7B"/>
    <w:rsid w:val="00480706"/>
    <w:rsid w:val="0048310B"/>
    <w:rsid w:val="00485487"/>
    <w:rsid w:val="00486D80"/>
    <w:rsid w:val="00487A29"/>
    <w:rsid w:val="00491821"/>
    <w:rsid w:val="00492192"/>
    <w:rsid w:val="004930F2"/>
    <w:rsid w:val="00497AB8"/>
    <w:rsid w:val="004A04D8"/>
    <w:rsid w:val="004A649D"/>
    <w:rsid w:val="004A6D2D"/>
    <w:rsid w:val="004B256A"/>
    <w:rsid w:val="004B3AB7"/>
    <w:rsid w:val="004B7AAC"/>
    <w:rsid w:val="004C1D02"/>
    <w:rsid w:val="004C3BED"/>
    <w:rsid w:val="004C64F8"/>
    <w:rsid w:val="004D06E2"/>
    <w:rsid w:val="004D08A4"/>
    <w:rsid w:val="004D3A09"/>
    <w:rsid w:val="004D6984"/>
    <w:rsid w:val="004E04FB"/>
    <w:rsid w:val="004E191C"/>
    <w:rsid w:val="004E2945"/>
    <w:rsid w:val="004E298E"/>
    <w:rsid w:val="004E70CB"/>
    <w:rsid w:val="004E7E4D"/>
    <w:rsid w:val="004F070B"/>
    <w:rsid w:val="004F1D1F"/>
    <w:rsid w:val="004F58BF"/>
    <w:rsid w:val="004F607F"/>
    <w:rsid w:val="00500357"/>
    <w:rsid w:val="00505DF8"/>
    <w:rsid w:val="00506433"/>
    <w:rsid w:val="00510D86"/>
    <w:rsid w:val="00513C3E"/>
    <w:rsid w:val="0051486A"/>
    <w:rsid w:val="00516ED7"/>
    <w:rsid w:val="00517885"/>
    <w:rsid w:val="00522E1D"/>
    <w:rsid w:val="00526B3A"/>
    <w:rsid w:val="00527459"/>
    <w:rsid w:val="00530048"/>
    <w:rsid w:val="00530B4A"/>
    <w:rsid w:val="00533021"/>
    <w:rsid w:val="0053470F"/>
    <w:rsid w:val="00535019"/>
    <w:rsid w:val="005375E2"/>
    <w:rsid w:val="00540E67"/>
    <w:rsid w:val="00541BFC"/>
    <w:rsid w:val="00547AF0"/>
    <w:rsid w:val="00547B6E"/>
    <w:rsid w:val="00552EF9"/>
    <w:rsid w:val="0055442E"/>
    <w:rsid w:val="00555790"/>
    <w:rsid w:val="00560462"/>
    <w:rsid w:val="00560475"/>
    <w:rsid w:val="00560E70"/>
    <w:rsid w:val="0056208D"/>
    <w:rsid w:val="005624FB"/>
    <w:rsid w:val="005633B4"/>
    <w:rsid w:val="005709BE"/>
    <w:rsid w:val="00570BE3"/>
    <w:rsid w:val="00571650"/>
    <w:rsid w:val="00572B47"/>
    <w:rsid w:val="00572F93"/>
    <w:rsid w:val="0057312C"/>
    <w:rsid w:val="00573651"/>
    <w:rsid w:val="00574C34"/>
    <w:rsid w:val="00574D64"/>
    <w:rsid w:val="00576958"/>
    <w:rsid w:val="005770F7"/>
    <w:rsid w:val="00577BAA"/>
    <w:rsid w:val="00583934"/>
    <w:rsid w:val="00587A02"/>
    <w:rsid w:val="0059486F"/>
    <w:rsid w:val="00595676"/>
    <w:rsid w:val="0059592A"/>
    <w:rsid w:val="005A09C6"/>
    <w:rsid w:val="005A0CDC"/>
    <w:rsid w:val="005A1519"/>
    <w:rsid w:val="005A348F"/>
    <w:rsid w:val="005A448E"/>
    <w:rsid w:val="005A4F5C"/>
    <w:rsid w:val="005A5860"/>
    <w:rsid w:val="005A6FBD"/>
    <w:rsid w:val="005B0A32"/>
    <w:rsid w:val="005B1507"/>
    <w:rsid w:val="005B1A83"/>
    <w:rsid w:val="005B2B8C"/>
    <w:rsid w:val="005B2EA9"/>
    <w:rsid w:val="005B6F12"/>
    <w:rsid w:val="005C2FEE"/>
    <w:rsid w:val="005C4283"/>
    <w:rsid w:val="005C5405"/>
    <w:rsid w:val="005C550C"/>
    <w:rsid w:val="005C5AA0"/>
    <w:rsid w:val="005C6E85"/>
    <w:rsid w:val="005C6F20"/>
    <w:rsid w:val="005D0FED"/>
    <w:rsid w:val="005D1ABB"/>
    <w:rsid w:val="005D2135"/>
    <w:rsid w:val="005E2D19"/>
    <w:rsid w:val="005E2E6A"/>
    <w:rsid w:val="005E4AE2"/>
    <w:rsid w:val="005E57A8"/>
    <w:rsid w:val="005E72FC"/>
    <w:rsid w:val="005E757E"/>
    <w:rsid w:val="005E79DE"/>
    <w:rsid w:val="005F040D"/>
    <w:rsid w:val="005F12BA"/>
    <w:rsid w:val="005F1D59"/>
    <w:rsid w:val="005F20DF"/>
    <w:rsid w:val="005F2E7C"/>
    <w:rsid w:val="005F375C"/>
    <w:rsid w:val="005F4E3D"/>
    <w:rsid w:val="0060049F"/>
    <w:rsid w:val="00605A14"/>
    <w:rsid w:val="00605E13"/>
    <w:rsid w:val="006063D0"/>
    <w:rsid w:val="00606E73"/>
    <w:rsid w:val="006122C9"/>
    <w:rsid w:val="006139FA"/>
    <w:rsid w:val="00615F1F"/>
    <w:rsid w:val="00616256"/>
    <w:rsid w:val="00621338"/>
    <w:rsid w:val="00623542"/>
    <w:rsid w:val="00623DB7"/>
    <w:rsid w:val="00623E45"/>
    <w:rsid w:val="00625300"/>
    <w:rsid w:val="00631C1C"/>
    <w:rsid w:val="0063405E"/>
    <w:rsid w:val="0063453B"/>
    <w:rsid w:val="00640A66"/>
    <w:rsid w:val="00641FED"/>
    <w:rsid w:val="006471B3"/>
    <w:rsid w:val="00647D30"/>
    <w:rsid w:val="0065041E"/>
    <w:rsid w:val="0065087B"/>
    <w:rsid w:val="0065297C"/>
    <w:rsid w:val="00653201"/>
    <w:rsid w:val="00653248"/>
    <w:rsid w:val="00655485"/>
    <w:rsid w:val="00656F01"/>
    <w:rsid w:val="0065728C"/>
    <w:rsid w:val="00662F2A"/>
    <w:rsid w:val="006662B0"/>
    <w:rsid w:val="006669E8"/>
    <w:rsid w:val="0066774E"/>
    <w:rsid w:val="00672061"/>
    <w:rsid w:val="0067535E"/>
    <w:rsid w:val="0068061A"/>
    <w:rsid w:val="00681940"/>
    <w:rsid w:val="00683E78"/>
    <w:rsid w:val="00685074"/>
    <w:rsid w:val="00685136"/>
    <w:rsid w:val="00686D63"/>
    <w:rsid w:val="00687B6E"/>
    <w:rsid w:val="0069263E"/>
    <w:rsid w:val="006942F3"/>
    <w:rsid w:val="00694CF0"/>
    <w:rsid w:val="0069539F"/>
    <w:rsid w:val="00695809"/>
    <w:rsid w:val="00695C88"/>
    <w:rsid w:val="006A0B35"/>
    <w:rsid w:val="006A1766"/>
    <w:rsid w:val="006A2DA2"/>
    <w:rsid w:val="006A50D8"/>
    <w:rsid w:val="006A5978"/>
    <w:rsid w:val="006A72A5"/>
    <w:rsid w:val="006B262B"/>
    <w:rsid w:val="006B310C"/>
    <w:rsid w:val="006B3293"/>
    <w:rsid w:val="006B44D0"/>
    <w:rsid w:val="006B4A06"/>
    <w:rsid w:val="006B5316"/>
    <w:rsid w:val="006B5412"/>
    <w:rsid w:val="006C1115"/>
    <w:rsid w:val="006C3837"/>
    <w:rsid w:val="006C510E"/>
    <w:rsid w:val="006C5910"/>
    <w:rsid w:val="006C5DCE"/>
    <w:rsid w:val="006C6780"/>
    <w:rsid w:val="006D0A6D"/>
    <w:rsid w:val="006D6346"/>
    <w:rsid w:val="006E2E1A"/>
    <w:rsid w:val="006E3A96"/>
    <w:rsid w:val="006E658F"/>
    <w:rsid w:val="006E7674"/>
    <w:rsid w:val="006F02CB"/>
    <w:rsid w:val="006F1DC6"/>
    <w:rsid w:val="006F2459"/>
    <w:rsid w:val="006F5671"/>
    <w:rsid w:val="006F6F0B"/>
    <w:rsid w:val="006F789A"/>
    <w:rsid w:val="0070061D"/>
    <w:rsid w:val="0070206B"/>
    <w:rsid w:val="0070300D"/>
    <w:rsid w:val="00704AB7"/>
    <w:rsid w:val="00704F2A"/>
    <w:rsid w:val="00705423"/>
    <w:rsid w:val="00705723"/>
    <w:rsid w:val="00706AA6"/>
    <w:rsid w:val="007114CA"/>
    <w:rsid w:val="00715E81"/>
    <w:rsid w:val="00717F89"/>
    <w:rsid w:val="00720383"/>
    <w:rsid w:val="00721E83"/>
    <w:rsid w:val="007256A7"/>
    <w:rsid w:val="00727CD0"/>
    <w:rsid w:val="00727EF6"/>
    <w:rsid w:val="00730971"/>
    <w:rsid w:val="00732D89"/>
    <w:rsid w:val="0073360C"/>
    <w:rsid w:val="00733AF0"/>
    <w:rsid w:val="00736B78"/>
    <w:rsid w:val="007373C7"/>
    <w:rsid w:val="00737F38"/>
    <w:rsid w:val="0074270C"/>
    <w:rsid w:val="007439CA"/>
    <w:rsid w:val="00745E69"/>
    <w:rsid w:val="00746D28"/>
    <w:rsid w:val="007514EA"/>
    <w:rsid w:val="00751694"/>
    <w:rsid w:val="0075181C"/>
    <w:rsid w:val="007520B5"/>
    <w:rsid w:val="0075210C"/>
    <w:rsid w:val="00752305"/>
    <w:rsid w:val="00752D4E"/>
    <w:rsid w:val="00754FB6"/>
    <w:rsid w:val="007551FB"/>
    <w:rsid w:val="007555B2"/>
    <w:rsid w:val="00756374"/>
    <w:rsid w:val="00756646"/>
    <w:rsid w:val="00757716"/>
    <w:rsid w:val="00760094"/>
    <w:rsid w:val="007605B7"/>
    <w:rsid w:val="00761076"/>
    <w:rsid w:val="00761630"/>
    <w:rsid w:val="007618D2"/>
    <w:rsid w:val="0076195B"/>
    <w:rsid w:val="0076777E"/>
    <w:rsid w:val="0077188A"/>
    <w:rsid w:val="007741C5"/>
    <w:rsid w:val="00774FF2"/>
    <w:rsid w:val="007757A5"/>
    <w:rsid w:val="0078181E"/>
    <w:rsid w:val="00782A08"/>
    <w:rsid w:val="00782AD6"/>
    <w:rsid w:val="00786B8E"/>
    <w:rsid w:val="00786E3C"/>
    <w:rsid w:val="007878BA"/>
    <w:rsid w:val="00791420"/>
    <w:rsid w:val="0079213D"/>
    <w:rsid w:val="00792A8D"/>
    <w:rsid w:val="00794DAA"/>
    <w:rsid w:val="007953EC"/>
    <w:rsid w:val="00796E9D"/>
    <w:rsid w:val="0079744D"/>
    <w:rsid w:val="007A051E"/>
    <w:rsid w:val="007A150F"/>
    <w:rsid w:val="007A3818"/>
    <w:rsid w:val="007A5011"/>
    <w:rsid w:val="007A7D12"/>
    <w:rsid w:val="007B0238"/>
    <w:rsid w:val="007B4646"/>
    <w:rsid w:val="007B5C1C"/>
    <w:rsid w:val="007B6F26"/>
    <w:rsid w:val="007B716C"/>
    <w:rsid w:val="007B7294"/>
    <w:rsid w:val="007C61E0"/>
    <w:rsid w:val="007D0C8C"/>
    <w:rsid w:val="007D2285"/>
    <w:rsid w:val="007D36E4"/>
    <w:rsid w:val="007D5E25"/>
    <w:rsid w:val="007D6AD8"/>
    <w:rsid w:val="007D7DCD"/>
    <w:rsid w:val="007E0FB5"/>
    <w:rsid w:val="007E2544"/>
    <w:rsid w:val="007E4136"/>
    <w:rsid w:val="007E5665"/>
    <w:rsid w:val="007E5C44"/>
    <w:rsid w:val="007F0E46"/>
    <w:rsid w:val="007F174E"/>
    <w:rsid w:val="007F2A10"/>
    <w:rsid w:val="007F4A50"/>
    <w:rsid w:val="007F7273"/>
    <w:rsid w:val="007F735F"/>
    <w:rsid w:val="00800167"/>
    <w:rsid w:val="00801A78"/>
    <w:rsid w:val="008033ED"/>
    <w:rsid w:val="00804224"/>
    <w:rsid w:val="008076B7"/>
    <w:rsid w:val="008105C9"/>
    <w:rsid w:val="00810BB1"/>
    <w:rsid w:val="0081227B"/>
    <w:rsid w:val="00812605"/>
    <w:rsid w:val="0081429D"/>
    <w:rsid w:val="0081490A"/>
    <w:rsid w:val="0081508B"/>
    <w:rsid w:val="008159B2"/>
    <w:rsid w:val="008160E3"/>
    <w:rsid w:val="00816189"/>
    <w:rsid w:val="00817659"/>
    <w:rsid w:val="00820048"/>
    <w:rsid w:val="00823436"/>
    <w:rsid w:val="008236A5"/>
    <w:rsid w:val="00823B0A"/>
    <w:rsid w:val="00827696"/>
    <w:rsid w:val="008278C2"/>
    <w:rsid w:val="00827AA9"/>
    <w:rsid w:val="008300D7"/>
    <w:rsid w:val="008326AE"/>
    <w:rsid w:val="00832930"/>
    <w:rsid w:val="0083309E"/>
    <w:rsid w:val="008342B6"/>
    <w:rsid w:val="008354B1"/>
    <w:rsid w:val="00835849"/>
    <w:rsid w:val="0083630E"/>
    <w:rsid w:val="0084117A"/>
    <w:rsid w:val="008413A1"/>
    <w:rsid w:val="00841ACC"/>
    <w:rsid w:val="00842020"/>
    <w:rsid w:val="0084343A"/>
    <w:rsid w:val="00843BD1"/>
    <w:rsid w:val="00844851"/>
    <w:rsid w:val="0084655C"/>
    <w:rsid w:val="008515BC"/>
    <w:rsid w:val="008533D7"/>
    <w:rsid w:val="0085374A"/>
    <w:rsid w:val="00853FA4"/>
    <w:rsid w:val="00856D2B"/>
    <w:rsid w:val="00860FA6"/>
    <w:rsid w:val="008658B8"/>
    <w:rsid w:val="008678C0"/>
    <w:rsid w:val="0087007D"/>
    <w:rsid w:val="008701EF"/>
    <w:rsid w:val="00870864"/>
    <w:rsid w:val="00871F6B"/>
    <w:rsid w:val="008750C4"/>
    <w:rsid w:val="0087735E"/>
    <w:rsid w:val="00881D86"/>
    <w:rsid w:val="0088402D"/>
    <w:rsid w:val="00884C0D"/>
    <w:rsid w:val="00884C14"/>
    <w:rsid w:val="00890014"/>
    <w:rsid w:val="0089159C"/>
    <w:rsid w:val="008919E1"/>
    <w:rsid w:val="0089701A"/>
    <w:rsid w:val="008A4166"/>
    <w:rsid w:val="008A51A7"/>
    <w:rsid w:val="008A6FC0"/>
    <w:rsid w:val="008B039D"/>
    <w:rsid w:val="008B53BC"/>
    <w:rsid w:val="008B5BA4"/>
    <w:rsid w:val="008C0D15"/>
    <w:rsid w:val="008C162D"/>
    <w:rsid w:val="008C502C"/>
    <w:rsid w:val="008C5BB0"/>
    <w:rsid w:val="008C692D"/>
    <w:rsid w:val="008C7EC5"/>
    <w:rsid w:val="008D1A6D"/>
    <w:rsid w:val="008D7FF2"/>
    <w:rsid w:val="008E090E"/>
    <w:rsid w:val="008E118D"/>
    <w:rsid w:val="008E1BB7"/>
    <w:rsid w:val="008E4CB9"/>
    <w:rsid w:val="008F05D0"/>
    <w:rsid w:val="008F10F4"/>
    <w:rsid w:val="008F5542"/>
    <w:rsid w:val="008F638F"/>
    <w:rsid w:val="008F6AB7"/>
    <w:rsid w:val="009004F7"/>
    <w:rsid w:val="009021F7"/>
    <w:rsid w:val="00902696"/>
    <w:rsid w:val="0090338E"/>
    <w:rsid w:val="009044B4"/>
    <w:rsid w:val="009076E7"/>
    <w:rsid w:val="009078ED"/>
    <w:rsid w:val="00911EFA"/>
    <w:rsid w:val="009120F3"/>
    <w:rsid w:val="00914B26"/>
    <w:rsid w:val="009209D0"/>
    <w:rsid w:val="00920D7A"/>
    <w:rsid w:val="00921E45"/>
    <w:rsid w:val="00922790"/>
    <w:rsid w:val="009233B3"/>
    <w:rsid w:val="00923514"/>
    <w:rsid w:val="0092379F"/>
    <w:rsid w:val="009242EF"/>
    <w:rsid w:val="00926F39"/>
    <w:rsid w:val="00930E38"/>
    <w:rsid w:val="00930E96"/>
    <w:rsid w:val="009329BC"/>
    <w:rsid w:val="0093366E"/>
    <w:rsid w:val="00934970"/>
    <w:rsid w:val="0093527C"/>
    <w:rsid w:val="0093549C"/>
    <w:rsid w:val="00936F80"/>
    <w:rsid w:val="009404B8"/>
    <w:rsid w:val="00940CF2"/>
    <w:rsid w:val="009416E3"/>
    <w:rsid w:val="009424BD"/>
    <w:rsid w:val="00950209"/>
    <w:rsid w:val="00950F47"/>
    <w:rsid w:val="00952D08"/>
    <w:rsid w:val="00952D4D"/>
    <w:rsid w:val="009570FF"/>
    <w:rsid w:val="009577F5"/>
    <w:rsid w:val="00957CB8"/>
    <w:rsid w:val="00963C61"/>
    <w:rsid w:val="00965C3C"/>
    <w:rsid w:val="009662A2"/>
    <w:rsid w:val="00966C99"/>
    <w:rsid w:val="00967203"/>
    <w:rsid w:val="00970CC1"/>
    <w:rsid w:val="00971859"/>
    <w:rsid w:val="00971EB9"/>
    <w:rsid w:val="00975E32"/>
    <w:rsid w:val="0098085E"/>
    <w:rsid w:val="00981385"/>
    <w:rsid w:val="0098140C"/>
    <w:rsid w:val="009855CC"/>
    <w:rsid w:val="0098598C"/>
    <w:rsid w:val="0098769F"/>
    <w:rsid w:val="00994886"/>
    <w:rsid w:val="00997837"/>
    <w:rsid w:val="009A2B52"/>
    <w:rsid w:val="009A6B84"/>
    <w:rsid w:val="009B0305"/>
    <w:rsid w:val="009B142D"/>
    <w:rsid w:val="009B32C0"/>
    <w:rsid w:val="009B57A7"/>
    <w:rsid w:val="009B760B"/>
    <w:rsid w:val="009B783B"/>
    <w:rsid w:val="009C1C9D"/>
    <w:rsid w:val="009C276D"/>
    <w:rsid w:val="009C423F"/>
    <w:rsid w:val="009C6661"/>
    <w:rsid w:val="009C6D42"/>
    <w:rsid w:val="009C7760"/>
    <w:rsid w:val="009D4FF7"/>
    <w:rsid w:val="009D5683"/>
    <w:rsid w:val="009E1ABF"/>
    <w:rsid w:val="009E2816"/>
    <w:rsid w:val="009E2FE2"/>
    <w:rsid w:val="009E40E0"/>
    <w:rsid w:val="009E6554"/>
    <w:rsid w:val="009E69A6"/>
    <w:rsid w:val="009E7F8E"/>
    <w:rsid w:val="009F4239"/>
    <w:rsid w:val="00A027F4"/>
    <w:rsid w:val="00A03AA3"/>
    <w:rsid w:val="00A0563B"/>
    <w:rsid w:val="00A10558"/>
    <w:rsid w:val="00A108F5"/>
    <w:rsid w:val="00A12B64"/>
    <w:rsid w:val="00A14DE5"/>
    <w:rsid w:val="00A169A2"/>
    <w:rsid w:val="00A20A64"/>
    <w:rsid w:val="00A21C6B"/>
    <w:rsid w:val="00A2426A"/>
    <w:rsid w:val="00A270C7"/>
    <w:rsid w:val="00A325AB"/>
    <w:rsid w:val="00A33B54"/>
    <w:rsid w:val="00A350D0"/>
    <w:rsid w:val="00A35BA2"/>
    <w:rsid w:val="00A36C2C"/>
    <w:rsid w:val="00A4171B"/>
    <w:rsid w:val="00A43214"/>
    <w:rsid w:val="00A440A9"/>
    <w:rsid w:val="00A46463"/>
    <w:rsid w:val="00A46F29"/>
    <w:rsid w:val="00A511BB"/>
    <w:rsid w:val="00A5162C"/>
    <w:rsid w:val="00A53544"/>
    <w:rsid w:val="00A546E2"/>
    <w:rsid w:val="00A55C7F"/>
    <w:rsid w:val="00A567BD"/>
    <w:rsid w:val="00A66CCC"/>
    <w:rsid w:val="00A71B9B"/>
    <w:rsid w:val="00A744F5"/>
    <w:rsid w:val="00A75524"/>
    <w:rsid w:val="00A77AA0"/>
    <w:rsid w:val="00A803FA"/>
    <w:rsid w:val="00A815C7"/>
    <w:rsid w:val="00A821CA"/>
    <w:rsid w:val="00A8292A"/>
    <w:rsid w:val="00A835C3"/>
    <w:rsid w:val="00A84748"/>
    <w:rsid w:val="00A86756"/>
    <w:rsid w:val="00A8690A"/>
    <w:rsid w:val="00A9288C"/>
    <w:rsid w:val="00A9297D"/>
    <w:rsid w:val="00A94615"/>
    <w:rsid w:val="00A95BCB"/>
    <w:rsid w:val="00A9620E"/>
    <w:rsid w:val="00A97C84"/>
    <w:rsid w:val="00AA0AB2"/>
    <w:rsid w:val="00AA1DAF"/>
    <w:rsid w:val="00AA2B82"/>
    <w:rsid w:val="00AA3B34"/>
    <w:rsid w:val="00AA44EA"/>
    <w:rsid w:val="00AA4CF9"/>
    <w:rsid w:val="00AA6518"/>
    <w:rsid w:val="00AB16F7"/>
    <w:rsid w:val="00AB3FE9"/>
    <w:rsid w:val="00AB44E6"/>
    <w:rsid w:val="00AB4CDD"/>
    <w:rsid w:val="00AB6533"/>
    <w:rsid w:val="00AB7895"/>
    <w:rsid w:val="00AB7996"/>
    <w:rsid w:val="00AC02A4"/>
    <w:rsid w:val="00AC2D12"/>
    <w:rsid w:val="00AC408D"/>
    <w:rsid w:val="00AC7ADC"/>
    <w:rsid w:val="00AD013B"/>
    <w:rsid w:val="00AD3FD8"/>
    <w:rsid w:val="00AD6285"/>
    <w:rsid w:val="00AD6628"/>
    <w:rsid w:val="00AD79F2"/>
    <w:rsid w:val="00AE09CC"/>
    <w:rsid w:val="00AE1AB3"/>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5CE0"/>
    <w:rsid w:val="00B06B3B"/>
    <w:rsid w:val="00B079E0"/>
    <w:rsid w:val="00B105A4"/>
    <w:rsid w:val="00B133CD"/>
    <w:rsid w:val="00B15A1B"/>
    <w:rsid w:val="00B15AA4"/>
    <w:rsid w:val="00B20949"/>
    <w:rsid w:val="00B21673"/>
    <w:rsid w:val="00B2338E"/>
    <w:rsid w:val="00B23A03"/>
    <w:rsid w:val="00B24230"/>
    <w:rsid w:val="00B24789"/>
    <w:rsid w:val="00B24D8D"/>
    <w:rsid w:val="00B25070"/>
    <w:rsid w:val="00B2601F"/>
    <w:rsid w:val="00B26D20"/>
    <w:rsid w:val="00B27344"/>
    <w:rsid w:val="00B314DD"/>
    <w:rsid w:val="00B32E5C"/>
    <w:rsid w:val="00B3342A"/>
    <w:rsid w:val="00B349FA"/>
    <w:rsid w:val="00B35769"/>
    <w:rsid w:val="00B40585"/>
    <w:rsid w:val="00B41DB6"/>
    <w:rsid w:val="00B42590"/>
    <w:rsid w:val="00B42D55"/>
    <w:rsid w:val="00B47E2C"/>
    <w:rsid w:val="00B52BEB"/>
    <w:rsid w:val="00B53BC5"/>
    <w:rsid w:val="00B554A6"/>
    <w:rsid w:val="00B562BE"/>
    <w:rsid w:val="00B56303"/>
    <w:rsid w:val="00B564ED"/>
    <w:rsid w:val="00B5699E"/>
    <w:rsid w:val="00B57C30"/>
    <w:rsid w:val="00B60D05"/>
    <w:rsid w:val="00B63A80"/>
    <w:rsid w:val="00B63CE9"/>
    <w:rsid w:val="00B6543C"/>
    <w:rsid w:val="00B65EBE"/>
    <w:rsid w:val="00B666AB"/>
    <w:rsid w:val="00B712E3"/>
    <w:rsid w:val="00B71441"/>
    <w:rsid w:val="00B72F01"/>
    <w:rsid w:val="00B7381F"/>
    <w:rsid w:val="00B75E00"/>
    <w:rsid w:val="00B82412"/>
    <w:rsid w:val="00B83FEF"/>
    <w:rsid w:val="00B86E43"/>
    <w:rsid w:val="00B87CDF"/>
    <w:rsid w:val="00B92C23"/>
    <w:rsid w:val="00B938DE"/>
    <w:rsid w:val="00B94070"/>
    <w:rsid w:val="00B948C0"/>
    <w:rsid w:val="00B95DA0"/>
    <w:rsid w:val="00B95E19"/>
    <w:rsid w:val="00B96379"/>
    <w:rsid w:val="00B9657C"/>
    <w:rsid w:val="00BA1A08"/>
    <w:rsid w:val="00BA308F"/>
    <w:rsid w:val="00BB35BC"/>
    <w:rsid w:val="00BB5F7A"/>
    <w:rsid w:val="00BB735D"/>
    <w:rsid w:val="00BC0F32"/>
    <w:rsid w:val="00BC2367"/>
    <w:rsid w:val="00BC579E"/>
    <w:rsid w:val="00BC6FA3"/>
    <w:rsid w:val="00BC79E5"/>
    <w:rsid w:val="00BD0D6E"/>
    <w:rsid w:val="00BD16FD"/>
    <w:rsid w:val="00BD3884"/>
    <w:rsid w:val="00BD39EB"/>
    <w:rsid w:val="00BD3C0C"/>
    <w:rsid w:val="00BD3D2C"/>
    <w:rsid w:val="00BD461F"/>
    <w:rsid w:val="00BD69B1"/>
    <w:rsid w:val="00BE1177"/>
    <w:rsid w:val="00BE16ED"/>
    <w:rsid w:val="00BE200B"/>
    <w:rsid w:val="00BE55CE"/>
    <w:rsid w:val="00BE6B3B"/>
    <w:rsid w:val="00BE6B92"/>
    <w:rsid w:val="00BE6CE0"/>
    <w:rsid w:val="00BF2BB8"/>
    <w:rsid w:val="00BF3076"/>
    <w:rsid w:val="00BF3135"/>
    <w:rsid w:val="00BF4A65"/>
    <w:rsid w:val="00BF545E"/>
    <w:rsid w:val="00BF57D2"/>
    <w:rsid w:val="00BF605A"/>
    <w:rsid w:val="00C007F8"/>
    <w:rsid w:val="00C00CA5"/>
    <w:rsid w:val="00C02A15"/>
    <w:rsid w:val="00C03A3A"/>
    <w:rsid w:val="00C05008"/>
    <w:rsid w:val="00C071F8"/>
    <w:rsid w:val="00C07964"/>
    <w:rsid w:val="00C10241"/>
    <w:rsid w:val="00C10927"/>
    <w:rsid w:val="00C11EFE"/>
    <w:rsid w:val="00C16236"/>
    <w:rsid w:val="00C17B57"/>
    <w:rsid w:val="00C23086"/>
    <w:rsid w:val="00C2363D"/>
    <w:rsid w:val="00C24C15"/>
    <w:rsid w:val="00C2676D"/>
    <w:rsid w:val="00C303FF"/>
    <w:rsid w:val="00C306C2"/>
    <w:rsid w:val="00C309AD"/>
    <w:rsid w:val="00C30F24"/>
    <w:rsid w:val="00C3410A"/>
    <w:rsid w:val="00C34300"/>
    <w:rsid w:val="00C3434A"/>
    <w:rsid w:val="00C40214"/>
    <w:rsid w:val="00C4177B"/>
    <w:rsid w:val="00C45F36"/>
    <w:rsid w:val="00C46D69"/>
    <w:rsid w:val="00C50C31"/>
    <w:rsid w:val="00C5325F"/>
    <w:rsid w:val="00C54BB8"/>
    <w:rsid w:val="00C55F91"/>
    <w:rsid w:val="00C64F3A"/>
    <w:rsid w:val="00C650FA"/>
    <w:rsid w:val="00C6682A"/>
    <w:rsid w:val="00C66835"/>
    <w:rsid w:val="00C66F65"/>
    <w:rsid w:val="00C7204D"/>
    <w:rsid w:val="00C725EB"/>
    <w:rsid w:val="00C73ECB"/>
    <w:rsid w:val="00C75A76"/>
    <w:rsid w:val="00C765FE"/>
    <w:rsid w:val="00C76698"/>
    <w:rsid w:val="00C76841"/>
    <w:rsid w:val="00C7765D"/>
    <w:rsid w:val="00C77AFC"/>
    <w:rsid w:val="00C801B5"/>
    <w:rsid w:val="00C81D53"/>
    <w:rsid w:val="00C83EB7"/>
    <w:rsid w:val="00C87852"/>
    <w:rsid w:val="00C91543"/>
    <w:rsid w:val="00C92346"/>
    <w:rsid w:val="00C93FA3"/>
    <w:rsid w:val="00C93FB3"/>
    <w:rsid w:val="00C96DCC"/>
    <w:rsid w:val="00CA1592"/>
    <w:rsid w:val="00CA3522"/>
    <w:rsid w:val="00CA4873"/>
    <w:rsid w:val="00CA65E8"/>
    <w:rsid w:val="00CA6A4A"/>
    <w:rsid w:val="00CB213B"/>
    <w:rsid w:val="00CB3D79"/>
    <w:rsid w:val="00CB6A62"/>
    <w:rsid w:val="00CB732A"/>
    <w:rsid w:val="00CC0898"/>
    <w:rsid w:val="00CC0E3A"/>
    <w:rsid w:val="00CC55C4"/>
    <w:rsid w:val="00CC58A5"/>
    <w:rsid w:val="00CC6AD6"/>
    <w:rsid w:val="00CC71FC"/>
    <w:rsid w:val="00CD3CBC"/>
    <w:rsid w:val="00CD4E72"/>
    <w:rsid w:val="00CE1212"/>
    <w:rsid w:val="00CE18F3"/>
    <w:rsid w:val="00CE380A"/>
    <w:rsid w:val="00CE5C22"/>
    <w:rsid w:val="00CE5CB1"/>
    <w:rsid w:val="00CE6E2A"/>
    <w:rsid w:val="00CE7212"/>
    <w:rsid w:val="00CE797C"/>
    <w:rsid w:val="00CF0A9D"/>
    <w:rsid w:val="00CF23AD"/>
    <w:rsid w:val="00CF279F"/>
    <w:rsid w:val="00CF3E0C"/>
    <w:rsid w:val="00CF4C13"/>
    <w:rsid w:val="00CF5300"/>
    <w:rsid w:val="00CF582F"/>
    <w:rsid w:val="00CF6BE0"/>
    <w:rsid w:val="00CF787E"/>
    <w:rsid w:val="00D016FF"/>
    <w:rsid w:val="00D0499B"/>
    <w:rsid w:val="00D063D0"/>
    <w:rsid w:val="00D0788E"/>
    <w:rsid w:val="00D10EF2"/>
    <w:rsid w:val="00D12F5C"/>
    <w:rsid w:val="00D14755"/>
    <w:rsid w:val="00D14907"/>
    <w:rsid w:val="00D15540"/>
    <w:rsid w:val="00D15D14"/>
    <w:rsid w:val="00D16E0C"/>
    <w:rsid w:val="00D2188F"/>
    <w:rsid w:val="00D22C92"/>
    <w:rsid w:val="00D22F7E"/>
    <w:rsid w:val="00D2380E"/>
    <w:rsid w:val="00D24C65"/>
    <w:rsid w:val="00D24CD4"/>
    <w:rsid w:val="00D259F4"/>
    <w:rsid w:val="00D26E6C"/>
    <w:rsid w:val="00D272E7"/>
    <w:rsid w:val="00D30F27"/>
    <w:rsid w:val="00D36767"/>
    <w:rsid w:val="00D36A5F"/>
    <w:rsid w:val="00D423FB"/>
    <w:rsid w:val="00D42DD5"/>
    <w:rsid w:val="00D433F8"/>
    <w:rsid w:val="00D527DD"/>
    <w:rsid w:val="00D55EFD"/>
    <w:rsid w:val="00D60C7F"/>
    <w:rsid w:val="00D61C57"/>
    <w:rsid w:val="00D630D1"/>
    <w:rsid w:val="00D641E9"/>
    <w:rsid w:val="00D65907"/>
    <w:rsid w:val="00D7137E"/>
    <w:rsid w:val="00D72872"/>
    <w:rsid w:val="00D72DCE"/>
    <w:rsid w:val="00D7444E"/>
    <w:rsid w:val="00D75835"/>
    <w:rsid w:val="00D77536"/>
    <w:rsid w:val="00D80B8C"/>
    <w:rsid w:val="00D8114A"/>
    <w:rsid w:val="00D817CC"/>
    <w:rsid w:val="00D81C33"/>
    <w:rsid w:val="00D82423"/>
    <w:rsid w:val="00D86FAE"/>
    <w:rsid w:val="00D87155"/>
    <w:rsid w:val="00D90632"/>
    <w:rsid w:val="00D9212C"/>
    <w:rsid w:val="00D925C8"/>
    <w:rsid w:val="00D934FC"/>
    <w:rsid w:val="00D94182"/>
    <w:rsid w:val="00D946D1"/>
    <w:rsid w:val="00D95281"/>
    <w:rsid w:val="00D9557F"/>
    <w:rsid w:val="00D95964"/>
    <w:rsid w:val="00D9642E"/>
    <w:rsid w:val="00D96E31"/>
    <w:rsid w:val="00DA0F12"/>
    <w:rsid w:val="00DA1517"/>
    <w:rsid w:val="00DA351F"/>
    <w:rsid w:val="00DA36F4"/>
    <w:rsid w:val="00DA44A2"/>
    <w:rsid w:val="00DA5123"/>
    <w:rsid w:val="00DA5626"/>
    <w:rsid w:val="00DA5E71"/>
    <w:rsid w:val="00DA6B26"/>
    <w:rsid w:val="00DA6F80"/>
    <w:rsid w:val="00DA7016"/>
    <w:rsid w:val="00DB1016"/>
    <w:rsid w:val="00DB62D5"/>
    <w:rsid w:val="00DB64FE"/>
    <w:rsid w:val="00DB6931"/>
    <w:rsid w:val="00DB75F1"/>
    <w:rsid w:val="00DB7BBB"/>
    <w:rsid w:val="00DC0EAA"/>
    <w:rsid w:val="00DC2F57"/>
    <w:rsid w:val="00DC3D1C"/>
    <w:rsid w:val="00DC4230"/>
    <w:rsid w:val="00DC491A"/>
    <w:rsid w:val="00DC5753"/>
    <w:rsid w:val="00DC59B8"/>
    <w:rsid w:val="00DC6356"/>
    <w:rsid w:val="00DC6C71"/>
    <w:rsid w:val="00DD22B0"/>
    <w:rsid w:val="00DD29D9"/>
    <w:rsid w:val="00DD37DB"/>
    <w:rsid w:val="00DD4481"/>
    <w:rsid w:val="00DD4E40"/>
    <w:rsid w:val="00DD7E16"/>
    <w:rsid w:val="00DE0D1F"/>
    <w:rsid w:val="00DE1E09"/>
    <w:rsid w:val="00DE45D1"/>
    <w:rsid w:val="00DE6876"/>
    <w:rsid w:val="00DE75CB"/>
    <w:rsid w:val="00DE7FCA"/>
    <w:rsid w:val="00DF34A2"/>
    <w:rsid w:val="00DF35AE"/>
    <w:rsid w:val="00DF3C82"/>
    <w:rsid w:val="00DF4F7D"/>
    <w:rsid w:val="00DF5BE4"/>
    <w:rsid w:val="00DF5C7A"/>
    <w:rsid w:val="00DF6ECB"/>
    <w:rsid w:val="00DF7E9A"/>
    <w:rsid w:val="00E002BF"/>
    <w:rsid w:val="00E13599"/>
    <w:rsid w:val="00E13F2E"/>
    <w:rsid w:val="00E15AB6"/>
    <w:rsid w:val="00E162B9"/>
    <w:rsid w:val="00E17FC1"/>
    <w:rsid w:val="00E20C2B"/>
    <w:rsid w:val="00E2147C"/>
    <w:rsid w:val="00E25925"/>
    <w:rsid w:val="00E26262"/>
    <w:rsid w:val="00E26BBB"/>
    <w:rsid w:val="00E312AC"/>
    <w:rsid w:val="00E314EE"/>
    <w:rsid w:val="00E31B23"/>
    <w:rsid w:val="00E322A5"/>
    <w:rsid w:val="00E33098"/>
    <w:rsid w:val="00E33328"/>
    <w:rsid w:val="00E350B1"/>
    <w:rsid w:val="00E411B5"/>
    <w:rsid w:val="00E4351D"/>
    <w:rsid w:val="00E438D1"/>
    <w:rsid w:val="00E4575C"/>
    <w:rsid w:val="00E45D90"/>
    <w:rsid w:val="00E46EF9"/>
    <w:rsid w:val="00E50752"/>
    <w:rsid w:val="00E50897"/>
    <w:rsid w:val="00E51749"/>
    <w:rsid w:val="00E53059"/>
    <w:rsid w:val="00E56678"/>
    <w:rsid w:val="00E60172"/>
    <w:rsid w:val="00E6021D"/>
    <w:rsid w:val="00E6085D"/>
    <w:rsid w:val="00E61735"/>
    <w:rsid w:val="00E64428"/>
    <w:rsid w:val="00E64E58"/>
    <w:rsid w:val="00E64EB6"/>
    <w:rsid w:val="00E64FE6"/>
    <w:rsid w:val="00E65921"/>
    <w:rsid w:val="00E7124D"/>
    <w:rsid w:val="00E72392"/>
    <w:rsid w:val="00E73F05"/>
    <w:rsid w:val="00E74127"/>
    <w:rsid w:val="00E77DBC"/>
    <w:rsid w:val="00E84B23"/>
    <w:rsid w:val="00E84FA7"/>
    <w:rsid w:val="00E90F7F"/>
    <w:rsid w:val="00E93DBA"/>
    <w:rsid w:val="00E94223"/>
    <w:rsid w:val="00E96D0E"/>
    <w:rsid w:val="00E97C3B"/>
    <w:rsid w:val="00EA0016"/>
    <w:rsid w:val="00EA0D0A"/>
    <w:rsid w:val="00EA3286"/>
    <w:rsid w:val="00EA32ED"/>
    <w:rsid w:val="00EA3CA8"/>
    <w:rsid w:val="00EA403F"/>
    <w:rsid w:val="00EA49CC"/>
    <w:rsid w:val="00EA550C"/>
    <w:rsid w:val="00EA56A6"/>
    <w:rsid w:val="00EA6F71"/>
    <w:rsid w:val="00EB283F"/>
    <w:rsid w:val="00EB6462"/>
    <w:rsid w:val="00EC0DE6"/>
    <w:rsid w:val="00EC1A3F"/>
    <w:rsid w:val="00EC225D"/>
    <w:rsid w:val="00EC4338"/>
    <w:rsid w:val="00EC4972"/>
    <w:rsid w:val="00EC4EBA"/>
    <w:rsid w:val="00EC592B"/>
    <w:rsid w:val="00EC7685"/>
    <w:rsid w:val="00ED0084"/>
    <w:rsid w:val="00ED0853"/>
    <w:rsid w:val="00ED1024"/>
    <w:rsid w:val="00ED122D"/>
    <w:rsid w:val="00ED66F3"/>
    <w:rsid w:val="00ED7B3D"/>
    <w:rsid w:val="00EE575B"/>
    <w:rsid w:val="00EE5B5B"/>
    <w:rsid w:val="00EE6468"/>
    <w:rsid w:val="00EE678A"/>
    <w:rsid w:val="00EE7E1E"/>
    <w:rsid w:val="00EF1FBD"/>
    <w:rsid w:val="00EF2A79"/>
    <w:rsid w:val="00EF31DC"/>
    <w:rsid w:val="00EF3D76"/>
    <w:rsid w:val="00EF4771"/>
    <w:rsid w:val="00EF5F64"/>
    <w:rsid w:val="00EF7100"/>
    <w:rsid w:val="00EF7D7F"/>
    <w:rsid w:val="00F00E8A"/>
    <w:rsid w:val="00F02826"/>
    <w:rsid w:val="00F02B50"/>
    <w:rsid w:val="00F077A4"/>
    <w:rsid w:val="00F109E6"/>
    <w:rsid w:val="00F110A9"/>
    <w:rsid w:val="00F1596B"/>
    <w:rsid w:val="00F1788E"/>
    <w:rsid w:val="00F2057C"/>
    <w:rsid w:val="00F21261"/>
    <w:rsid w:val="00F234CF"/>
    <w:rsid w:val="00F243A7"/>
    <w:rsid w:val="00F24AFE"/>
    <w:rsid w:val="00F26189"/>
    <w:rsid w:val="00F265FC"/>
    <w:rsid w:val="00F30627"/>
    <w:rsid w:val="00F30F57"/>
    <w:rsid w:val="00F31738"/>
    <w:rsid w:val="00F35234"/>
    <w:rsid w:val="00F36748"/>
    <w:rsid w:val="00F40163"/>
    <w:rsid w:val="00F45FA6"/>
    <w:rsid w:val="00F46D40"/>
    <w:rsid w:val="00F54374"/>
    <w:rsid w:val="00F54C32"/>
    <w:rsid w:val="00F55D8F"/>
    <w:rsid w:val="00F55EBC"/>
    <w:rsid w:val="00F55FA2"/>
    <w:rsid w:val="00F56C83"/>
    <w:rsid w:val="00F6202A"/>
    <w:rsid w:val="00F62AF6"/>
    <w:rsid w:val="00F633C3"/>
    <w:rsid w:val="00F665B6"/>
    <w:rsid w:val="00F67B7F"/>
    <w:rsid w:val="00F709B9"/>
    <w:rsid w:val="00F72332"/>
    <w:rsid w:val="00F76C2A"/>
    <w:rsid w:val="00F85612"/>
    <w:rsid w:val="00F85F00"/>
    <w:rsid w:val="00F90160"/>
    <w:rsid w:val="00F90C1F"/>
    <w:rsid w:val="00F915DB"/>
    <w:rsid w:val="00F9166C"/>
    <w:rsid w:val="00F92879"/>
    <w:rsid w:val="00F93C2B"/>
    <w:rsid w:val="00F9525A"/>
    <w:rsid w:val="00F96721"/>
    <w:rsid w:val="00F96B4B"/>
    <w:rsid w:val="00FA4BEB"/>
    <w:rsid w:val="00FA5092"/>
    <w:rsid w:val="00FA5419"/>
    <w:rsid w:val="00FB037D"/>
    <w:rsid w:val="00FB1648"/>
    <w:rsid w:val="00FB1683"/>
    <w:rsid w:val="00FB2BFE"/>
    <w:rsid w:val="00FB57A9"/>
    <w:rsid w:val="00FB6811"/>
    <w:rsid w:val="00FC4ADF"/>
    <w:rsid w:val="00FC4BD9"/>
    <w:rsid w:val="00FC7D75"/>
    <w:rsid w:val="00FD0A87"/>
    <w:rsid w:val="00FD1B7E"/>
    <w:rsid w:val="00FD274A"/>
    <w:rsid w:val="00FD2F4A"/>
    <w:rsid w:val="00FD7944"/>
    <w:rsid w:val="00FE224A"/>
    <w:rsid w:val="00FE30FB"/>
    <w:rsid w:val="00FE4F8D"/>
    <w:rsid w:val="00FE65A6"/>
    <w:rsid w:val="00FE6B3B"/>
    <w:rsid w:val="00FE7530"/>
    <w:rsid w:val="00FF038C"/>
    <w:rsid w:val="00FF171C"/>
    <w:rsid w:val="00FF4010"/>
    <w:rsid w:val="00FF7C72"/>
    <w:rsid w:val="018B7591"/>
    <w:rsid w:val="01A26B78"/>
    <w:rsid w:val="0272FFCA"/>
    <w:rsid w:val="034151A8"/>
    <w:rsid w:val="04709703"/>
    <w:rsid w:val="0477A964"/>
    <w:rsid w:val="04873092"/>
    <w:rsid w:val="04D85E30"/>
    <w:rsid w:val="0545C61B"/>
    <w:rsid w:val="06700859"/>
    <w:rsid w:val="08048CD5"/>
    <w:rsid w:val="09DAEF31"/>
    <w:rsid w:val="0A4D5CBF"/>
    <w:rsid w:val="0E431ACE"/>
    <w:rsid w:val="10C49F52"/>
    <w:rsid w:val="1115FBD5"/>
    <w:rsid w:val="137CE687"/>
    <w:rsid w:val="13D21CB5"/>
    <w:rsid w:val="1478D7E7"/>
    <w:rsid w:val="15EDFF84"/>
    <w:rsid w:val="1B4E36B1"/>
    <w:rsid w:val="1B724D84"/>
    <w:rsid w:val="1D7F45C9"/>
    <w:rsid w:val="1D93DE91"/>
    <w:rsid w:val="1DBCB422"/>
    <w:rsid w:val="203BDB14"/>
    <w:rsid w:val="21D28C05"/>
    <w:rsid w:val="25AECFE7"/>
    <w:rsid w:val="267488CE"/>
    <w:rsid w:val="26F7E641"/>
    <w:rsid w:val="2B339978"/>
    <w:rsid w:val="2CDF748A"/>
    <w:rsid w:val="2E6EA298"/>
    <w:rsid w:val="2FB0578E"/>
    <w:rsid w:val="33565EEF"/>
    <w:rsid w:val="364D6FEE"/>
    <w:rsid w:val="388B7349"/>
    <w:rsid w:val="38D651E5"/>
    <w:rsid w:val="3CBF9B0C"/>
    <w:rsid w:val="3D1ADDF7"/>
    <w:rsid w:val="3E907915"/>
    <w:rsid w:val="3F82E3EF"/>
    <w:rsid w:val="409F236C"/>
    <w:rsid w:val="435B2CF6"/>
    <w:rsid w:val="4705B9D0"/>
    <w:rsid w:val="488E0D7C"/>
    <w:rsid w:val="49075D7F"/>
    <w:rsid w:val="495FA7A3"/>
    <w:rsid w:val="4B6B7322"/>
    <w:rsid w:val="4F048479"/>
    <w:rsid w:val="4FC63E07"/>
    <w:rsid w:val="502285D1"/>
    <w:rsid w:val="507D77FD"/>
    <w:rsid w:val="513CCA3A"/>
    <w:rsid w:val="514985A7"/>
    <w:rsid w:val="519CA063"/>
    <w:rsid w:val="54B9D15D"/>
    <w:rsid w:val="5681095A"/>
    <w:rsid w:val="571D6ED2"/>
    <w:rsid w:val="573BF998"/>
    <w:rsid w:val="577F04A5"/>
    <w:rsid w:val="581CD9BB"/>
    <w:rsid w:val="58CA3923"/>
    <w:rsid w:val="5A49E91E"/>
    <w:rsid w:val="5C01D9E5"/>
    <w:rsid w:val="5E967B36"/>
    <w:rsid w:val="5EDABB85"/>
    <w:rsid w:val="5F397AA7"/>
    <w:rsid w:val="5F4FAB0D"/>
    <w:rsid w:val="60D54B08"/>
    <w:rsid w:val="62E08ABC"/>
    <w:rsid w:val="63875045"/>
    <w:rsid w:val="66B07D2B"/>
    <w:rsid w:val="6756FF6D"/>
    <w:rsid w:val="6B1518A3"/>
    <w:rsid w:val="6C4538DD"/>
    <w:rsid w:val="6EB1FC9B"/>
    <w:rsid w:val="6FCEDF52"/>
    <w:rsid w:val="7696B996"/>
    <w:rsid w:val="79330099"/>
    <w:rsid w:val="7B6DFF7E"/>
    <w:rsid w:val="7BC9CB48"/>
    <w:rsid w:val="7C97544B"/>
    <w:rsid w:val="7CCEFA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bbe0e3" stroke="f">
      <v:fill color="#bbe0e3" on="f"/>
      <v:stroke on="f"/>
    </o:shapedefaults>
    <o:shapelayout v:ext="edit">
      <o:idmap v:ext="edit" data="2"/>
    </o:shapelayout>
  </w:shapeDefaults>
  <w:decimalSymbol w:val="."/>
  <w:listSeparator w:val=","/>
  <w14:docId w14:val="26F3D92E"/>
  <w15:docId w15:val="{DD997352-E9EE-4DE4-9F65-9CA27833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144A07"/>
    <w:pPr>
      <w:spacing w:before="120"/>
      <w:jc w:val="both"/>
      <w:outlineLvl w:val="0"/>
    </w:pPr>
    <w:rPr>
      <w:rFonts w:ascii="Verdana" w:hAnsi="Verdana" w:cs="Arial"/>
      <w:b/>
      <w:bCs/>
      <w:iCs/>
      <w:color w:val="C0000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144A07"/>
    <w:rPr>
      <w:rFonts w:ascii="Verdana" w:hAnsi="Verdana" w:cs="Arial"/>
      <w:b/>
      <w:bCs/>
      <w:iCs/>
      <w:color w:val="C0000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val="0"/>
      <w:iCs w:val="0"/>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3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uiPriority w:val="99"/>
    <w:unhideWhenUsed/>
    <w:rsid w:val="00C5325F"/>
    <w:rPr>
      <w:sz w:val="20"/>
      <w:szCs w:val="20"/>
    </w:rPr>
  </w:style>
  <w:style w:type="character" w:customStyle="1" w:styleId="CommentTextChar">
    <w:name w:val="Comment Text Char"/>
    <w:basedOn w:val="DefaultParagraphFont"/>
    <w:link w:val="CommentText"/>
    <w:uiPriority w:val="99"/>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DC0E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1642222690">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9721589">
          <w:marLeft w:val="1267"/>
          <w:marRight w:val="0"/>
          <w:marTop w:val="0"/>
          <w:marBottom w:val="0"/>
          <w:divBdr>
            <w:top w:val="none" w:sz="0" w:space="0" w:color="auto"/>
            <w:left w:val="none" w:sz="0" w:space="0" w:color="auto"/>
            <w:bottom w:val="none" w:sz="0" w:space="0" w:color="auto"/>
            <w:right w:val="none" w:sz="0" w:space="0" w:color="auto"/>
          </w:divBdr>
        </w:div>
        <w:div w:id="77411560">
          <w:marLeft w:val="54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355696616">
          <w:marLeft w:val="547"/>
          <w:marRight w:val="0"/>
          <w:marTop w:val="0"/>
          <w:marBottom w:val="0"/>
          <w:divBdr>
            <w:top w:val="none" w:sz="0" w:space="0" w:color="auto"/>
            <w:left w:val="none" w:sz="0" w:space="0" w:color="auto"/>
            <w:bottom w:val="none" w:sz="0" w:space="0" w:color="auto"/>
            <w:right w:val="none" w:sz="0" w:space="0" w:color="auto"/>
          </w:divBdr>
        </w:div>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72750346">
          <w:marLeft w:val="547"/>
          <w:marRight w:val="0"/>
          <w:marTop w:val="0"/>
          <w:marBottom w:val="0"/>
          <w:divBdr>
            <w:top w:val="none" w:sz="0" w:space="0" w:color="auto"/>
            <w:left w:val="none" w:sz="0" w:space="0" w:color="auto"/>
            <w:bottom w:val="none" w:sz="0" w:space="0" w:color="auto"/>
            <w:right w:val="none" w:sz="0" w:space="0" w:color="auto"/>
          </w:divBdr>
        </w:div>
        <w:div w:id="259487644">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sChild>
    </w:div>
    <w:div w:id="2040546065">
      <w:bodyDiv w:val="1"/>
      <w:marLeft w:val="0"/>
      <w:marRight w:val="0"/>
      <w:marTop w:val="0"/>
      <w:marBottom w:val="0"/>
      <w:divBdr>
        <w:top w:val="none" w:sz="0" w:space="0" w:color="auto"/>
        <w:left w:val="none" w:sz="0" w:space="0" w:color="auto"/>
        <w:bottom w:val="none" w:sz="0" w:space="0" w:color="auto"/>
        <w:right w:val="none" w:sz="0" w:space="0" w:color="auto"/>
      </w:divBdr>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9856-80F7-42F2-94B0-38374E979DB5}">
  <ds:schemaRefs>
    <ds:schemaRef ds:uri="http://schemas.microsoft.com/sharepoint/v3/contenttype/forms"/>
  </ds:schemaRefs>
</ds:datastoreItem>
</file>

<file path=customXml/itemProps2.xml><?xml version="1.0" encoding="utf-8"?>
<ds:datastoreItem xmlns:ds="http://schemas.openxmlformats.org/officeDocument/2006/customXml" ds:itemID="{9B7BB90D-135C-4916-8A16-CEECFC0F8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BA087-14EE-4D56-B21A-9192A677F6E9}">
  <ds:schemaRefs>
    <ds:schemaRef ds:uri="http://schemas.microsoft.com/office/2006/metadata/properties"/>
    <ds:schemaRef ds:uri="http://schemas.microsoft.com/office/infopath/2007/PartnerControls"/>
    <ds:schemaRef ds:uri="b938eb28-7cbf-463f-95d0-cb37a2d17a6d"/>
    <ds:schemaRef ds:uri="aee978fd-d2ca-467a-a30e-4f5782c7aa0a"/>
    <ds:schemaRef ds:uri="http://schemas.microsoft.com/sharepoint/v3"/>
    <ds:schemaRef ds:uri="2022f264-a01a-479c-9a1f-db50914a6761"/>
    <ds:schemaRef ds:uri="1f0e0d46-bfc3-4fcf-89a2-869473193083"/>
  </ds:schemaRefs>
</ds:datastoreItem>
</file>

<file path=customXml/itemProps4.xml><?xml version="1.0" encoding="utf-8"?>
<ds:datastoreItem xmlns:ds="http://schemas.openxmlformats.org/officeDocument/2006/customXml" ds:itemID="{65C7E2DA-9F97-504E-9552-B4F50ECB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51</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45</cp:revision>
  <cp:lastPrinted>2022-11-28T11:38:00Z</cp:lastPrinted>
  <dcterms:created xsi:type="dcterms:W3CDTF">2023-04-25T22:29:00Z</dcterms:created>
  <dcterms:modified xsi:type="dcterms:W3CDTF">2024-11-21T11:15:00Z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ies>
</file>