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50F81E" w14:textId="77777777" w:rsidR="002E07E6" w:rsidRDefault="00000000" w:rsidP="00FE0F0A">
      <w:pPr>
        <w:pStyle w:val="CentredGraphic"/>
        <w:rPr>
          <w:rFonts w:eastAsia="Verdana"/>
        </w:rPr>
      </w:pPr>
      <w:r>
        <w:rPr>
          <w:rFonts w:eastAsia="Verdana"/>
        </w:rPr>
        <w:t>Техническое задание (ТЗ) на проведение семинара по введению в курс дела и разработке общей концепции</w:t>
      </w:r>
    </w:p>
    <w:p w14:paraId="0E4B57B7" w14:textId="77777777" w:rsidR="002E07E6" w:rsidRDefault="00000000">
      <w:pPr>
        <w:pStyle w:val="Heading1"/>
        <w:jc w:val="center"/>
      </w:pPr>
      <w:r>
        <w:rPr>
          <w:rFonts w:eastAsia="Verdana" w:cs="Verdana"/>
          <w:b w:val="0"/>
          <w:i/>
          <w:sz w:val="28"/>
          <w:szCs w:val="28"/>
        </w:rPr>
        <w:t>&lt;указать название национального общества (НО) и программу/год ГДВП&gt;</w:t>
      </w:r>
    </w:p>
    <w:p w14:paraId="7B70BF86" w14:textId="77777777" w:rsidR="002E07E6" w:rsidRDefault="002E07E6">
      <w:pPr>
        <w:pBdr>
          <w:top w:val="nil"/>
          <w:left w:val="nil"/>
          <w:bottom w:val="nil"/>
          <w:right w:val="nil"/>
          <w:between w:val="nil"/>
        </w:pBdr>
        <w:spacing w:before="60" w:after="60"/>
        <w:jc w:val="both"/>
        <w:rPr>
          <w:rFonts w:eastAsia="Arial" w:cs="Arial"/>
          <w:b/>
          <w:color w:val="C00000"/>
          <w:sz w:val="28"/>
          <w:szCs w:val="28"/>
        </w:rPr>
      </w:pPr>
    </w:p>
    <w:p w14:paraId="2F7072CA" w14:textId="77777777" w:rsidR="002E07E6" w:rsidRDefault="00000000">
      <w:pPr>
        <w:pBdr>
          <w:top w:val="nil"/>
          <w:left w:val="nil"/>
          <w:bottom w:val="nil"/>
          <w:right w:val="nil"/>
          <w:between w:val="nil"/>
        </w:pBdr>
        <w:spacing w:before="60" w:after="60"/>
        <w:jc w:val="both"/>
        <w:rPr>
          <w:rFonts w:ascii="Verdana" w:eastAsia="Verdana" w:hAnsi="Verdana" w:cs="Verdana"/>
          <w:b/>
          <w:color w:val="C00000"/>
        </w:rPr>
      </w:pPr>
      <w:r>
        <w:rPr>
          <w:rFonts w:ascii="Verdana" w:eastAsia="Verdana" w:hAnsi="Verdana" w:cs="Verdana"/>
          <w:b/>
          <w:color w:val="C00000"/>
        </w:rPr>
        <w:t xml:space="preserve">Краткое описание </w:t>
      </w:r>
    </w:p>
    <w:tbl>
      <w:tblPr>
        <w:tblStyle w:val="a"/>
        <w:tblW w:w="9765" w:type="dxa"/>
        <w:tblInd w:w="-108" w:type="dxa"/>
        <w:tblBorders>
          <w:top w:val="single" w:sz="12" w:space="0" w:color="C0504D"/>
          <w:left w:val="single" w:sz="12" w:space="0" w:color="C0504D"/>
          <w:bottom w:val="single" w:sz="12" w:space="0" w:color="C0504D"/>
          <w:right w:val="single" w:sz="12" w:space="0" w:color="C0504D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9765"/>
      </w:tblGrid>
      <w:tr w:rsidR="002E07E6" w14:paraId="21167234" w14:textId="77777777">
        <w:trPr>
          <w:trHeight w:val="1672"/>
        </w:trPr>
        <w:tc>
          <w:tcPr>
            <w:tcW w:w="9765" w:type="dxa"/>
            <w:tcBorders>
              <w:top w:val="single" w:sz="12" w:space="0" w:color="C0504D"/>
              <w:left w:val="single" w:sz="12" w:space="0" w:color="C0504D"/>
              <w:bottom w:val="single" w:sz="12" w:space="0" w:color="C0504D"/>
              <w:right w:val="single" w:sz="12" w:space="0" w:color="C0504D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F073A5" w14:textId="77777777" w:rsidR="002E07E6" w:rsidRDefault="002E07E6">
            <w:pPr>
              <w:jc w:val="both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14:paraId="2E9146A0" w14:textId="77777777" w:rsidR="002E07E6" w:rsidRDefault="00000000">
            <w:pPr>
              <w:jc w:val="both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Цель</w:t>
            </w:r>
            <w:r>
              <w:rPr>
                <w:rFonts w:ascii="Verdana" w:eastAsia="Verdana" w:hAnsi="Verdana" w:cs="Verdana"/>
                <w:sz w:val="16"/>
                <w:szCs w:val="16"/>
              </w:rPr>
              <w:t>: Официально запустить программу обеспечения готовности национального общества (НО) к предоставлению денежно-ваучерной помощи (ГДВП), а также обсудить и согласовать исходные условия для общей концепции ДВП, которая будет определять мероприятия по ГДВП в ближайшие 3-4 года. Проверить, на каком уровне оперативной готовности к ДВП находится НО на данный момент, и согласовать то, на каком уровне оно может находиться по завершении реализации программы ГДВП. Своевременно предоставить возможности поддержки руководства и принятия ответственности в отношении программы ГДВП.</w:t>
            </w:r>
          </w:p>
          <w:p w14:paraId="164F3F1F" w14:textId="77777777" w:rsidR="002E07E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ind w:left="360" w:hanging="360"/>
              <w:jc w:val="both"/>
              <w:rPr>
                <w:rFonts w:ascii="Verdana" w:eastAsia="Verdana" w:hAnsi="Verdana" w:cs="Verdana"/>
                <w:color w:val="000000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16"/>
                <w:szCs w:val="16"/>
              </w:rPr>
              <w:t xml:space="preserve">Организаторы семинара: </w:t>
            </w:r>
            <w:r>
              <w:rPr>
                <w:rFonts w:ascii="Verdana" w:eastAsia="Verdana" w:hAnsi="Verdana" w:cs="Verdana"/>
                <w:color w:val="000000"/>
                <w:sz w:val="16"/>
                <w:szCs w:val="16"/>
              </w:rPr>
              <w:t>Координатор по ДВП и (или) делегат по обеспечению готовности к ДВП + представитель руководства (например, по программам). Возможен вариант привлечения внешнего соорганизатора.</w:t>
            </w:r>
          </w:p>
          <w:p w14:paraId="79353750" w14:textId="77777777" w:rsidR="002E07E6" w:rsidRDefault="002E07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ind w:left="360" w:hanging="360"/>
              <w:jc w:val="both"/>
              <w:rPr>
                <w:rFonts w:ascii="Verdana" w:eastAsia="Verdana" w:hAnsi="Verdana" w:cs="Verdana"/>
                <w:color w:val="000000"/>
                <w:sz w:val="16"/>
                <w:szCs w:val="16"/>
              </w:rPr>
            </w:pPr>
          </w:p>
          <w:p w14:paraId="0997FAF7" w14:textId="77777777" w:rsidR="002E07E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ind w:left="360" w:hanging="360"/>
              <w:jc w:val="both"/>
              <w:rPr>
                <w:rFonts w:ascii="Verdana" w:eastAsia="Verdana" w:hAnsi="Verdana" w:cs="Verdana"/>
                <w:color w:val="000000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16"/>
                <w:szCs w:val="16"/>
              </w:rPr>
              <w:t>Примерная продолжительность</w:t>
            </w:r>
            <w:r>
              <w:rPr>
                <w:rFonts w:ascii="Verdana" w:eastAsia="Verdana" w:hAnsi="Verdana" w:cs="Verdana"/>
                <w:color w:val="000000"/>
                <w:sz w:val="16"/>
                <w:szCs w:val="16"/>
              </w:rPr>
              <w:t>: 1 день</w:t>
            </w:r>
          </w:p>
          <w:p w14:paraId="268395CC" w14:textId="77777777" w:rsidR="002E07E6" w:rsidRDefault="002E07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ind w:left="360" w:hanging="360"/>
              <w:jc w:val="both"/>
              <w:rPr>
                <w:rFonts w:eastAsia="Arial" w:cs="Arial"/>
                <w:color w:val="000000"/>
              </w:rPr>
            </w:pPr>
          </w:p>
        </w:tc>
      </w:tr>
    </w:tbl>
    <w:p w14:paraId="7527E61E" w14:textId="77777777" w:rsidR="002E07E6" w:rsidRDefault="002E07E6">
      <w:pPr>
        <w:jc w:val="both"/>
      </w:pPr>
    </w:p>
    <w:p w14:paraId="16B3F3B4" w14:textId="77777777" w:rsidR="002E07E6" w:rsidRDefault="00000000">
      <w:pPr>
        <w:pStyle w:val="Heading1"/>
      </w:pPr>
      <w:r>
        <w:t xml:space="preserve">Общие сведения </w:t>
      </w:r>
    </w:p>
    <w:p w14:paraId="1098FBF6" w14:textId="77777777" w:rsidR="002E07E6" w:rsidRDefault="00000000">
      <w:pPr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С X </w:t>
      </w:r>
      <w:r>
        <w:rPr>
          <w:rFonts w:ascii="Verdana" w:eastAsia="Verdana" w:hAnsi="Verdana" w:cs="Verdana"/>
          <w:i/>
          <w:sz w:val="18"/>
          <w:szCs w:val="18"/>
        </w:rPr>
        <w:t>&lt;указать дату&gt;,</w:t>
      </w:r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i/>
          <w:sz w:val="18"/>
          <w:szCs w:val="18"/>
        </w:rPr>
        <w:t>&lt;указать название НО&gt;</w:t>
      </w:r>
      <w:r>
        <w:rPr>
          <w:rFonts w:ascii="Verdana" w:eastAsia="Verdana" w:hAnsi="Verdana" w:cs="Verdana"/>
          <w:sz w:val="18"/>
          <w:szCs w:val="18"/>
        </w:rPr>
        <w:t xml:space="preserve"> участвует в ДВП, во многих случаях реализуя программы совместно с другими участниками Международного Движения Красного Креста и Красного Полумесяца  (КК и КП), такими как</w:t>
      </w:r>
      <w:r>
        <w:t xml:space="preserve"> </w:t>
      </w:r>
      <w:r>
        <w:rPr>
          <w:rFonts w:ascii="Verdana" w:eastAsia="Verdana" w:hAnsi="Verdana" w:cs="Verdana"/>
          <w:sz w:val="18"/>
          <w:szCs w:val="18"/>
        </w:rPr>
        <w:t>Международная федерация Красного Креста и Красного Полумесяца (МФОККиКП) и Международный комитет Красного Креста (МККК), и в меньшей степени – с ООН или независимым образом.</w:t>
      </w:r>
    </w:p>
    <w:p w14:paraId="5806CF5A" w14:textId="77777777" w:rsidR="002E07E6" w:rsidRDefault="00000000">
      <w:pPr>
        <w:jc w:val="both"/>
        <w:rPr>
          <w:rFonts w:ascii="Verdana" w:eastAsia="Verdana" w:hAnsi="Verdana" w:cs="Verdana"/>
          <w:sz w:val="18"/>
          <w:szCs w:val="18"/>
        </w:rPr>
      </w:pPr>
      <w:bookmarkStart w:id="0" w:name="_heading=h.gjdgxs" w:colFirst="0" w:colLast="0"/>
      <w:bookmarkEnd w:id="0"/>
      <w:r>
        <w:rPr>
          <w:rFonts w:ascii="Verdana" w:eastAsia="Verdana" w:hAnsi="Verdana" w:cs="Verdana"/>
          <w:i/>
          <w:sz w:val="18"/>
          <w:szCs w:val="18"/>
        </w:rPr>
        <w:t>&lt;Дата&gt;</w:t>
      </w:r>
      <w:r>
        <w:rPr>
          <w:rFonts w:ascii="Verdana" w:eastAsia="Verdana" w:hAnsi="Verdana" w:cs="Verdana"/>
          <w:sz w:val="18"/>
          <w:szCs w:val="18"/>
        </w:rPr>
        <w:t xml:space="preserve"> НО определило необходимость повышения своего потенциала для обеспечения оперативной готовности к эффективному и своевременному предоставлению денежных средств, а </w:t>
      </w:r>
      <w:r>
        <w:rPr>
          <w:rFonts w:ascii="Verdana" w:eastAsia="Verdana" w:hAnsi="Verdana" w:cs="Verdana"/>
          <w:i/>
          <w:sz w:val="18"/>
          <w:szCs w:val="18"/>
        </w:rPr>
        <w:t>&lt;название МФОККиКП или партнерского национального общества (ПНО)&gt;</w:t>
      </w:r>
      <w:r>
        <w:rPr>
          <w:rFonts w:ascii="Verdana" w:eastAsia="Verdana" w:hAnsi="Verdana" w:cs="Verdana"/>
          <w:sz w:val="18"/>
          <w:szCs w:val="18"/>
        </w:rPr>
        <w:t xml:space="preserve"> согласилось оказать поддержку НО. В качестве согласованной модели был принят подход Красного Креста/Красного Полумесяца (КК И КП) по обеспечению готовности к ДВП (ГДВП). </w:t>
      </w:r>
    </w:p>
    <w:p w14:paraId="184D985F" w14:textId="77777777" w:rsidR="002E07E6" w:rsidRDefault="00000000">
      <w:pPr>
        <w:jc w:val="both"/>
        <w:rPr>
          <w:rFonts w:ascii="Verdana" w:eastAsia="Verdana" w:hAnsi="Verdana" w:cs="Verdana"/>
          <w:sz w:val="18"/>
          <w:szCs w:val="18"/>
        </w:rPr>
      </w:pPr>
      <w:bookmarkStart w:id="1" w:name="_heading=h.30j0zll" w:colFirst="0" w:colLast="0"/>
      <w:bookmarkEnd w:id="1"/>
      <w:r>
        <w:rPr>
          <w:rFonts w:ascii="Verdana" w:eastAsia="Verdana" w:hAnsi="Verdana" w:cs="Verdana"/>
          <w:sz w:val="18"/>
          <w:szCs w:val="18"/>
        </w:rPr>
        <w:t xml:space="preserve">Для того чтобы начать реализацию мероприятий по ГДВП, необходимо провести семинар по введению в курс дела и разработке общей концепции, а затем семинар по планированию. Семинар по введению в курс дела и разработке общей концепции обеспечивает согласование стратегических и оперативных конечных результатов по ДВП НО (заявление об общей концепции ДВП и уровни оперативной готовности к ДВП), включая важный шаг по определению ответственности руководства за процесс ГДВП. На семинаре по планированию рассматривается организационный потенциал ДВП и упущения (самостоятельная оценка потенциала ДВП) и предоставляется подробный план для ГДВП (план действий по ГДВП). </w:t>
      </w:r>
    </w:p>
    <w:p w14:paraId="73DB44D5" w14:textId="77777777" w:rsidR="002E07E6" w:rsidRDefault="00000000">
      <w:pPr>
        <w:jc w:val="both"/>
        <w:rPr>
          <w:rFonts w:ascii="Verdana" w:eastAsia="Verdana" w:hAnsi="Verdana" w:cs="Verdana"/>
          <w:sz w:val="18"/>
          <w:szCs w:val="18"/>
        </w:rPr>
      </w:pPr>
      <w:bookmarkStart w:id="2" w:name="_heading=h.1fob9te" w:colFirst="0" w:colLast="0"/>
      <w:bookmarkEnd w:id="2"/>
      <w:r>
        <w:rPr>
          <w:rFonts w:ascii="Verdana" w:eastAsia="Verdana" w:hAnsi="Verdana" w:cs="Verdana"/>
          <w:sz w:val="18"/>
          <w:szCs w:val="18"/>
        </w:rPr>
        <w:t>Эти два семинара могут проводиться как в течение нескольких дней подряд, так и в виде самостоятельных семинаров (в отдельных случаях).</w:t>
      </w:r>
    </w:p>
    <w:p w14:paraId="3DEC94CB" w14:textId="77777777" w:rsidR="002E07E6" w:rsidRDefault="002E07E6">
      <w:pPr>
        <w:jc w:val="both"/>
        <w:rPr>
          <w:rFonts w:ascii="Verdana" w:eastAsia="Verdana" w:hAnsi="Verdana" w:cs="Verdana"/>
          <w:highlight w:val="yellow"/>
        </w:rPr>
      </w:pPr>
    </w:p>
    <w:p w14:paraId="3814FB80" w14:textId="77777777" w:rsidR="002E07E6" w:rsidRDefault="00000000">
      <w:pPr>
        <w:pStyle w:val="Heading1"/>
      </w:pPr>
      <w:r>
        <w:t xml:space="preserve">Цель семинара </w:t>
      </w:r>
      <w:r>
        <w:rPr>
          <w:color w:val="000000"/>
        </w:rPr>
        <w:t xml:space="preserve"> </w:t>
      </w:r>
    </w:p>
    <w:p w14:paraId="1801297B" w14:textId="77777777" w:rsidR="002E07E6" w:rsidRDefault="00000000">
      <w:pPr>
        <w:jc w:val="both"/>
        <w:rPr>
          <w:rFonts w:ascii="Verdana" w:eastAsia="Verdana" w:hAnsi="Verdana" w:cs="Verdana"/>
          <w:sz w:val="18"/>
          <w:szCs w:val="18"/>
        </w:rPr>
      </w:pPr>
      <w:bookmarkStart w:id="3" w:name="_heading=h.3znysh7" w:colFirst="0" w:colLast="0"/>
      <w:bookmarkEnd w:id="3"/>
      <w:r>
        <w:rPr>
          <w:rFonts w:ascii="Verdana" w:eastAsia="Verdana" w:hAnsi="Verdana" w:cs="Verdana"/>
          <w:sz w:val="18"/>
          <w:szCs w:val="18"/>
        </w:rPr>
        <w:t>Основная цель семинара по введению в курс дела и разработке об общей концепции заключается в официальном запуске программы по ГДВП НО, а также в проведении коллективного обсуждения и разработке основы для общей концепции ДВП, которая будет определять мероприятия по ГДВП в ближайшие 3-4 года. Кроме того, семинар обеспечивает возможность понять и проверить то, на каком уровне оперативной готовности к ДВП, установленном Международным Движением КК и КП, в настоящее время находится НО, а также согласовать уровень оперативной готовности к ДВП, достижение которого можно ожидать от НО к моменту завершения реализации программы ГДВП и в будущем.</w:t>
      </w:r>
    </w:p>
    <w:p w14:paraId="7FA10E33" w14:textId="77777777" w:rsidR="002E07E6" w:rsidRDefault="00000000">
      <w:pPr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Семинар также играет ключевую роль в процессе понимания всеми ведущими сотрудниками того, в чем заключается ГДВП, чтобы подробнее изучить действующие обязательства Международного Движения КК и КП по использованию ДВП, а также внешние тенденции по ДВП. </w:t>
      </w:r>
    </w:p>
    <w:p w14:paraId="60AAB568" w14:textId="77777777" w:rsidR="002E07E6" w:rsidRDefault="00000000">
      <w:pPr>
        <w:pStyle w:val="Heading1"/>
      </w:pPr>
      <w:r>
        <w:t xml:space="preserve">Задачи </w:t>
      </w:r>
    </w:p>
    <w:p w14:paraId="0FFE52CA" w14:textId="77777777" w:rsidR="002E07E6" w:rsidRDefault="00000000">
      <w:pPr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lastRenderedPageBreak/>
        <w:t>Конкретные задачи семинара:</w:t>
      </w:r>
    </w:p>
    <w:p w14:paraId="2ABADA76" w14:textId="77777777" w:rsidR="002E07E6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Официально запустить программу ГДВП НО </w:t>
      </w:r>
    </w:p>
    <w:p w14:paraId="5D5BBADB" w14:textId="77777777" w:rsidR="002E07E6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Понять используемый Международным Движением КК и КП подход к ДВП и его роль как глобального игрока в сфере ДВП</w:t>
      </w:r>
    </w:p>
    <w:p w14:paraId="231C432B" w14:textId="77777777" w:rsidR="002E07E6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Понять последние достижения по ДВП во внешних условиях и среде – основные тенденции, участников, важнейшие задачи и координацию для ДВП</w:t>
      </w:r>
    </w:p>
    <w:p w14:paraId="0E4999C6" w14:textId="77777777" w:rsidR="002E07E6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Обновить данные по стратегии НО (с основным вниманием на развитии национального общества и готовности к эффективному реагированию) для гарантии возможности интегрирования ГДВП в оперативные планы НО</w:t>
      </w:r>
    </w:p>
    <w:p w14:paraId="389CE98B" w14:textId="77777777" w:rsidR="002E07E6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Обеспечить осведомленность ведущих сотрудников о важной роли ГДВП, а также предоставить  возможности поддержки руководства и принятия ответственности в отношении программы ГДВП на начальном этапе</w:t>
      </w:r>
    </w:p>
    <w:p w14:paraId="76B83E34" w14:textId="77777777" w:rsidR="002E07E6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Проверить текущие уровни оперативной готовности НО к ДВП, установленные Международным Движением КК и КП, с точки зрения возможности, вероятности, своевременности, подотчетности и расходов для ДВП, а также общего исходного уровня оперативной готовности НО к ДВП</w:t>
      </w:r>
    </w:p>
    <w:p w14:paraId="15374063" w14:textId="77777777" w:rsidR="002E07E6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Согласовать то, какого уровня оперативной готовности к ДВП (конечного) НО может достигнуть к моменту завершения реализации программы ГДВП и в будущем</w:t>
      </w:r>
    </w:p>
    <w:p w14:paraId="03ADD43C" w14:textId="77777777" w:rsidR="002E07E6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bookmarkStart w:id="4" w:name="_heading=h.2et92p0" w:colFirst="0" w:colLast="0"/>
      <w:bookmarkEnd w:id="4"/>
      <w:r>
        <w:rPr>
          <w:rFonts w:ascii="Verdana" w:eastAsia="Verdana" w:hAnsi="Verdana" w:cs="Verdana"/>
          <w:color w:val="000000"/>
          <w:sz w:val="18"/>
          <w:szCs w:val="18"/>
        </w:rPr>
        <w:t xml:space="preserve">Провести коллективное обсуждение для ознакомления с заявлением об общей концепции ДВП на ближайшие 3-4 года </w:t>
      </w:r>
    </w:p>
    <w:p w14:paraId="3EB3B31A" w14:textId="77777777" w:rsidR="002E07E6" w:rsidRDefault="002E07E6">
      <w:pPr>
        <w:pStyle w:val="Heading1"/>
      </w:pPr>
    </w:p>
    <w:p w14:paraId="0EEAB3DB" w14:textId="77777777" w:rsidR="002E07E6" w:rsidRDefault="00000000">
      <w:pPr>
        <w:pStyle w:val="Heading1"/>
      </w:pPr>
      <w:r>
        <w:t xml:space="preserve">Методика, область применения и подход </w:t>
      </w:r>
    </w:p>
    <w:p w14:paraId="5D029001" w14:textId="77777777" w:rsidR="002E07E6" w:rsidRDefault="002E07E6"/>
    <w:p w14:paraId="465B6016" w14:textId="77777777" w:rsidR="002E07E6" w:rsidRDefault="00000000">
      <w:pPr>
        <w:jc w:val="both"/>
        <w:rPr>
          <w:rFonts w:ascii="Verdana" w:eastAsia="Verdana" w:hAnsi="Verdana" w:cs="Verdana"/>
          <w:color w:val="C00000"/>
          <w:sz w:val="20"/>
          <w:szCs w:val="20"/>
        </w:rPr>
      </w:pPr>
      <w:r>
        <w:rPr>
          <w:rFonts w:ascii="Verdana" w:eastAsia="Verdana" w:hAnsi="Verdana" w:cs="Verdana"/>
          <w:color w:val="C00000"/>
          <w:sz w:val="20"/>
          <w:szCs w:val="20"/>
        </w:rPr>
        <w:t xml:space="preserve">A: Ознакомительные заседания: осведомленность о ДВП и стратегия НО с особым вниманием к развитию национального общества/готовности к эффективному реагированию </w:t>
      </w:r>
    </w:p>
    <w:p w14:paraId="3A821125" w14:textId="77777777" w:rsidR="002E07E6" w:rsidRDefault="00000000">
      <w:pPr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Семинар начнется с презентации, посвященной осведомленности о ДВП, и краткого обзора по ГДВП. Презентация </w:t>
      </w:r>
      <w:r>
        <w:rPr>
          <w:rFonts w:ascii="Verdana" w:eastAsia="Verdana" w:hAnsi="Verdana" w:cs="Verdana"/>
          <w:i/>
          <w:color w:val="C00000"/>
          <w:sz w:val="18"/>
          <w:szCs w:val="18"/>
        </w:rPr>
        <w:t>(презентация по осведомленности о ДВП)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включает базовый обзор по ДВП, глобальный подход к ДВП, принятый Международным Движением КК и КП (в том числе МФОККиКП и МККК), текущие тенденции по ДВП и внешние условия, а также краткое описание процесса ГДВП. В зависимости от предыдущего опыта НО по ДВП и (или) конкретной ситуации, можно адаптировать презентацию или расширить определенные компоненты. Например, эти разделы могут быть расширены в стране с высоким уровнем использования цифровых технологий для реализации ДВП или усиливающейся тенденцией привязки ДВП к государственной социальной защите.</w:t>
      </w:r>
    </w:p>
    <w:p w14:paraId="2AD89A86" w14:textId="77777777" w:rsidR="002E07E6" w:rsidRDefault="00000000">
      <w:pPr>
        <w:jc w:val="both"/>
        <w:rPr>
          <w:rFonts w:ascii="Verdana" w:eastAsia="Verdana" w:hAnsi="Verdana" w:cs="Verdana"/>
          <w:color w:val="FF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Во время ознакомительных заседаний НО также может кратко представить свою текущую стратегию НО, с особым вниманием к развитию национального общества/готовности к эффективному реагированию, чтобы обеспечить интеграцию ГДВП в более широкомасштабные оперативные планы НО.</w:t>
      </w:r>
    </w:p>
    <w:p w14:paraId="52ACD79A" w14:textId="77777777" w:rsidR="002E07E6" w:rsidRDefault="002E07E6">
      <w:pPr>
        <w:jc w:val="both"/>
        <w:rPr>
          <w:rFonts w:ascii="Verdana" w:eastAsia="Verdana" w:hAnsi="Verdana" w:cs="Verdana"/>
          <w:color w:val="C00000"/>
          <w:sz w:val="20"/>
          <w:szCs w:val="20"/>
        </w:rPr>
      </w:pPr>
    </w:p>
    <w:p w14:paraId="4BD80F61" w14:textId="77777777" w:rsidR="002E07E6" w:rsidRDefault="00000000">
      <w:pPr>
        <w:jc w:val="both"/>
        <w:rPr>
          <w:rFonts w:ascii="Verdana" w:eastAsia="Verdana" w:hAnsi="Verdana" w:cs="Verdana"/>
          <w:color w:val="C00000"/>
          <w:sz w:val="20"/>
          <w:szCs w:val="20"/>
        </w:rPr>
      </w:pPr>
      <w:r>
        <w:rPr>
          <w:rFonts w:ascii="Verdana" w:eastAsia="Verdana" w:hAnsi="Verdana" w:cs="Verdana"/>
          <w:color w:val="C00000"/>
          <w:sz w:val="20"/>
          <w:szCs w:val="20"/>
        </w:rPr>
        <w:t>B: Разработка общей концепции и согласование уровней оперативной готовности НО к ДВП</w:t>
      </w:r>
    </w:p>
    <w:p w14:paraId="3AD2CD50" w14:textId="77777777" w:rsidR="002E07E6" w:rsidRDefault="00000000">
      <w:pPr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Основная часть семинара посвящена рассмотрению и коллективному обсуждению ключевых параметров и области применения заявления об общей концепции ДВП, а также возможности согласования и проверки уровней оперативной готовности НО к ДВП на данный момент и в будущем. </w:t>
      </w:r>
    </w:p>
    <w:p w14:paraId="441B3E12" w14:textId="77777777" w:rsidR="002E07E6" w:rsidRDefault="00000000">
      <w:pPr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Подготовка заявления об общей концепции ДВП на начальной стадии обеспечения ГДВП является важнейшим аспектом для гарантии того, что в основе планирования лежит полностью признанная общая концепция ДВП, а национальная организация имеет мотивацию для разработки реалистичных, оперативных и стратегических перспективных целей, взаимосвязанных как со стратегией НО, так и с более широкомасштабной концепцией ДВП Международного Движения КК и КП. </w:t>
      </w:r>
    </w:p>
    <w:p w14:paraId="6429015E" w14:textId="02A3A1EC" w:rsidR="002E07E6" w:rsidRDefault="00000000">
      <w:pPr>
        <w:spacing w:line="259" w:lineRule="auto"/>
        <w:jc w:val="both"/>
        <w:rPr>
          <w:rFonts w:ascii="Verdana" w:eastAsia="Verdana" w:hAnsi="Verdana" w:cs="Verdana"/>
          <w:color w:val="000000"/>
          <w:sz w:val="18"/>
          <w:szCs w:val="18"/>
          <w:highlight w:val="green"/>
        </w:rPr>
      </w:pPr>
      <w:r>
        <w:rPr>
          <w:rFonts w:ascii="Verdana" w:eastAsia="Verdana" w:hAnsi="Verdana" w:cs="Verdana"/>
          <w:sz w:val="18"/>
          <w:szCs w:val="18"/>
        </w:rPr>
        <w:t>Применяемые Международным Движением КК и КП индикаторы оперативной готовности ДВП позволяют выполнить количественную оценку перспективной цели по уровню ДВП в НО и получить данные о том, какие шаги предпринимает НО для реализации ДВП. Пять индикаторов включают оценки возможности, вероятности, своевременности, подотчетности и масштаба ДВП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. Данные для измерения индикаторов получают из последней ежегодной инициативы КК И КП по подсчету объема денежной помощи или независимым образом через НО.  См. </w:t>
      </w:r>
      <w:hyperlink r:id="rId8" w:history="1">
        <w:r w:rsidRPr="00FE0F0A">
          <w:rPr>
            <w:rStyle w:val="Hyperlink"/>
            <w:rFonts w:ascii="Verdana" w:eastAsia="Verdana" w:hAnsi="Verdana" w:cs="Verdana"/>
            <w:i/>
            <w:sz w:val="18"/>
            <w:szCs w:val="18"/>
          </w:rPr>
          <w:t>«Руководство Международного Движения КК и КП по порядку сбора данных инициативы подсчета объема денежной помощи или показателях оперативной готовности для ДВП»</w:t>
        </w:r>
      </w:hyperlink>
      <w:r>
        <w:rPr>
          <w:rFonts w:ascii="Verdana" w:eastAsia="Verdana" w:hAnsi="Verdana" w:cs="Verdana"/>
          <w:i/>
          <w:color w:val="C00000"/>
          <w:sz w:val="18"/>
          <w:szCs w:val="18"/>
        </w:rPr>
        <w:t xml:space="preserve"> </w:t>
      </w:r>
    </w:p>
    <w:p w14:paraId="14266245" w14:textId="77777777" w:rsidR="002E07E6" w:rsidRDefault="00000000">
      <w:pPr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lastRenderedPageBreak/>
        <w:t>Первая часть разработки общей концепции предусматривает рассмотрение установленных Международным Движением КК и КП уровней оперативной готовности к ДВП, которых будет стремиться достичь НО, для помощи в оперативной реализации  предполагаемой общей концепции на основании достижимой реальности:</w:t>
      </w:r>
    </w:p>
    <w:p w14:paraId="1F94B2DB" w14:textId="77777777" w:rsidR="002E07E6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На каком уровне оперативной готовности к ДВП (по оценке Международного Движения КК и КП) находится НО в настоящее время? (исходный уровень)</w:t>
      </w:r>
    </w:p>
    <w:p w14:paraId="269E4178" w14:textId="77777777" w:rsidR="002E07E6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Какой уровень оперативной готовности к ДВП (по оценке Международного Движения КК и КП) можно ожидать от НО a) к моменту завершения реализации ГДВП? (конечный уровень) и b) в течение 5 - 7 лет?</w:t>
      </w:r>
    </w:p>
    <w:p w14:paraId="20425E21" w14:textId="77777777" w:rsidR="002E07E6" w:rsidRDefault="00000000">
      <w:pPr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После этого обсуждение будет сосредоточено на разработке общей концепции ДВП. </w:t>
      </w:r>
    </w:p>
    <w:p w14:paraId="2D21E10B" w14:textId="77777777" w:rsidR="002E07E6" w:rsidRDefault="00000000">
      <w:pPr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Наличие заявления об общей концепции ДВП играет важную роль для гарантии того, что НО имеет общий стратегический замысел в отношении того, как и почему оно хочет увеличить масштабы ДВП. Заявление об общей концепции ДВП обеспечит НО опорный ориентир и обоснование для поддержки его перспективной цели достижения успехов в повышении уровней оперативной готовности к ДВП. Общая концепция должна быть приведена в соответствие с текущей перспективной целью по ДВП Международного Движения КК и КП, а также с внешними тенденциями по ДВП, которые были представлены на предшествующем заседании по осведомленности о ДВП. Кроме того, нужно привязать общую концепцию ДВП к существующей стратегии НО (или предложить пересмотренный вариант, при необходимости). Также будет рассмотрена текущая роль НО, как вспомогательного органа правительства, а также то, как это может быть реализовано в отношении ДВП в будущем. </w:t>
      </w:r>
    </w:p>
    <w:p w14:paraId="07C340A9" w14:textId="77777777" w:rsidR="002E07E6" w:rsidRDefault="00000000">
      <w:pPr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После согласования текущих и ожидаемых уровней оперативной готовности к ДВП для НО будет проведено обсуждение, чтобы согласовать параметры общей концепции ДВП, с учетом следующего:</w:t>
      </w:r>
    </w:p>
    <w:p w14:paraId="689448D1" w14:textId="77777777" w:rsidR="002E07E6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Какую позицию НО намерено занять в отношении перспективной цели Международного Движения КК и КП по увеличению масштабов ДВП (50% к 2025 году). Любые проблемы или препятствия на этом пути.</w:t>
      </w:r>
    </w:p>
    <w:p w14:paraId="1BBA6753" w14:textId="77777777" w:rsidR="002E07E6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Стратегическое использование модальностей ДВП (например, в виде многоцелевых денежных выплат, предоставляемых на определенных условиях денежных средств, или тех и других)</w:t>
      </w:r>
    </w:p>
    <w:p w14:paraId="591A961F" w14:textId="77777777" w:rsidR="002E07E6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Ключевые области, требующие развития или приложения активных усилий (например, инвестиций в управление информацией, привязки ДВП к социальной защите)</w:t>
      </w:r>
    </w:p>
    <w:p w14:paraId="6BFDFB3A" w14:textId="77777777" w:rsidR="002E07E6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Согласование общих ценностей и стратегических приоритетов, которые могут поддержать общую концепцию ДВП</w:t>
      </w:r>
    </w:p>
    <w:p w14:paraId="099BC35B" w14:textId="77777777" w:rsidR="002E07E6" w:rsidRDefault="00000000">
      <w:pPr>
        <w:jc w:val="both"/>
        <w:rPr>
          <w:rFonts w:ascii="Verdana" w:eastAsia="Verdana" w:hAnsi="Verdana" w:cs="Verdana"/>
          <w:sz w:val="18"/>
          <w:szCs w:val="18"/>
        </w:rPr>
      </w:pPr>
      <w:bookmarkStart w:id="5" w:name="_heading=h.tyjcwt" w:colFirst="0" w:colLast="0"/>
      <w:bookmarkEnd w:id="5"/>
      <w:r>
        <w:rPr>
          <w:rFonts w:ascii="Verdana" w:eastAsia="Verdana" w:hAnsi="Verdana" w:cs="Verdana"/>
          <w:sz w:val="18"/>
          <w:szCs w:val="18"/>
        </w:rPr>
        <w:t>В ходе обсуждения будет рассмотрен ряд основных сквозных стратегических тем, включая использование многоцелевых денежных выплат, секторальных денежных выплат, применение процесса управления информацией, цифровые средства ДВП, социальную защиту и сотрудничество/защиту, а также роль НО как вспомогательного органа правительства.</w:t>
      </w:r>
    </w:p>
    <w:p w14:paraId="37A22119" w14:textId="06260596" w:rsidR="002E07E6" w:rsidRDefault="00044B4C">
      <w:pPr>
        <w:jc w:val="both"/>
        <w:rPr>
          <w:rFonts w:ascii="Verdana" w:eastAsia="Verdana" w:hAnsi="Verdana" w:cs="Verdana"/>
          <w:color w:val="000000"/>
          <w:sz w:val="18"/>
          <w:szCs w:val="18"/>
        </w:rPr>
      </w:pPr>
      <w:hyperlink r:id="rId9" w:history="1">
        <w:r w:rsidR="00000000" w:rsidRPr="00044B4C">
          <w:rPr>
            <w:rStyle w:val="Hyperlink"/>
            <w:rFonts w:ascii="Verdana" w:eastAsia="Verdana" w:hAnsi="Verdana" w:cs="Verdana"/>
            <w:i/>
            <w:sz w:val="18"/>
            <w:szCs w:val="18"/>
          </w:rPr>
          <w:t>Заявление об общей концепции ДВП</w:t>
        </w:r>
      </w:hyperlink>
      <w:r>
        <w:rPr>
          <w:rFonts w:ascii="Verdana" w:eastAsia="Verdana" w:hAnsi="Verdana" w:cs="Verdana"/>
          <w:color w:val="C00000"/>
          <w:sz w:val="18"/>
          <w:szCs w:val="18"/>
        </w:rPr>
        <w:t xml:space="preserve"> </w:t>
      </w:r>
      <w:r w:rsidR="00000000">
        <w:rPr>
          <w:rFonts w:ascii="Verdana" w:eastAsia="Verdana" w:hAnsi="Verdana" w:cs="Verdana"/>
          <w:sz w:val="18"/>
          <w:szCs w:val="18"/>
        </w:rPr>
        <w:t>обеспечит преобразование полученных в ходе обсуждения основных тезисов</w:t>
      </w:r>
      <w:r w:rsidR="00000000">
        <w:rPr>
          <w:rFonts w:ascii="Verdana" w:eastAsia="Verdana" w:hAnsi="Verdana" w:cs="Verdana"/>
          <w:color w:val="000000"/>
          <w:sz w:val="18"/>
          <w:szCs w:val="18"/>
        </w:rPr>
        <w:t xml:space="preserve"> в простое, реальное соглашение и целенаправленную политику, которыми НО на протяжении всего периода реализации программы ГДВП может пользоваться в качестве памятки по коллективной перспективной цели использования ДВП. </w:t>
      </w:r>
      <w:r w:rsidR="00000000">
        <w:rPr>
          <w:rFonts w:ascii="Verdana" w:eastAsia="Verdana" w:hAnsi="Verdana" w:cs="Verdana"/>
          <w:sz w:val="18"/>
          <w:szCs w:val="18"/>
        </w:rPr>
        <w:t>Это будет  выполнено на</w:t>
      </w:r>
      <w:r w:rsidR="00000000">
        <w:rPr>
          <w:rFonts w:ascii="Verdana" w:eastAsia="Verdana" w:hAnsi="Verdana" w:cs="Verdana"/>
          <w:color w:val="000000"/>
          <w:sz w:val="18"/>
          <w:szCs w:val="18"/>
        </w:rPr>
        <w:t xml:space="preserve"> заключительном заседании небольшой целевой группой (3-4 человека), в состав которой входят как минимум координатор по ДВП и (или) делегат по обеспечению готовности к ДВП, а также один представитель руководства. </w:t>
      </w:r>
    </w:p>
    <w:p w14:paraId="61DC87E8" w14:textId="77777777" w:rsidR="002E07E6" w:rsidRDefault="002E07E6">
      <w:pPr>
        <w:pStyle w:val="Heading1"/>
      </w:pPr>
    </w:p>
    <w:p w14:paraId="6456C897" w14:textId="77777777" w:rsidR="002E07E6" w:rsidRDefault="00000000">
      <w:pPr>
        <w:pStyle w:val="Heading1"/>
      </w:pPr>
      <w:r>
        <w:t xml:space="preserve">Участники </w:t>
      </w:r>
    </w:p>
    <w:p w14:paraId="705A259D" w14:textId="77777777" w:rsidR="002E07E6" w:rsidRDefault="00000000">
      <w:pPr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Основными участниками семинара по введению в курс дела и разработке общей концепции должны являться менеджеры и члены руководства. Для того чтобы способствовать будущему принятию ответственности и поддержке программы ГДВП, необходимо, чтобы в данном семинаре участвовало руководство. Это особенно важно при проведении обсуждения с целью разработки общей концепции ДВП, которое позволяет сформировать основу для дальнейших стратегических шагов НО и перспективных оперативных целей НО по использованию ДВП на ближайшие 3-4 года.</w:t>
      </w:r>
    </w:p>
    <w:p w14:paraId="4D61F34B" w14:textId="77777777" w:rsidR="002E07E6" w:rsidRDefault="002E07E6">
      <w:pPr>
        <w:pBdr>
          <w:top w:val="nil"/>
          <w:left w:val="nil"/>
          <w:bottom w:val="nil"/>
          <w:right w:val="nil"/>
          <w:between w:val="nil"/>
        </w:pBdr>
        <w:spacing w:before="60" w:after="0"/>
        <w:ind w:left="709" w:hanging="360"/>
        <w:jc w:val="both"/>
        <w:rPr>
          <w:rFonts w:ascii="Verdana" w:eastAsia="Verdana" w:hAnsi="Verdana" w:cs="Verdana"/>
          <w:color w:val="000000"/>
          <w:sz w:val="18"/>
          <w:szCs w:val="18"/>
        </w:rPr>
      </w:pPr>
    </w:p>
    <w:p w14:paraId="41BF5671" w14:textId="77777777" w:rsidR="002E07E6" w:rsidRDefault="00000000">
      <w:pPr>
        <w:pBdr>
          <w:top w:val="nil"/>
          <w:left w:val="nil"/>
          <w:bottom w:val="nil"/>
          <w:right w:val="nil"/>
          <w:between w:val="nil"/>
        </w:pBdr>
        <w:spacing w:after="0"/>
        <w:ind w:left="709" w:hanging="36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Предполагается, что на семинаре будут присутствовать генеральный секретарь и (или) заместитель генерального секретаря, председатель и (или) еще один член правления, а также руководители каждого отдела, включая отдел программ, операционный отдел, отдел логистики и финансовую службу. Участие представителей филиалов не является обязательным, поскольку основное внимание уделяется обеспечению вовлеченности руководства, а состав участников определяется исходя из потребностей и конкретных условий НО. Тем не менее, настоятельно рекомендуется, чтобы НО отдавало предпочтение актуальности, а не массовому участию, для возможности проведения обсуждения на собрании по разработке общей концепции в формате семинара. На семинаре по введению в курс дела и </w:t>
      </w:r>
      <w:r>
        <w:rPr>
          <w:rFonts w:ascii="Verdana" w:eastAsia="Verdana" w:hAnsi="Verdana" w:cs="Verdana"/>
          <w:color w:val="000000"/>
          <w:sz w:val="18"/>
          <w:szCs w:val="18"/>
        </w:rPr>
        <w:lastRenderedPageBreak/>
        <w:t>разработке общей концепции должно присутствовать меньше людей, чем на семинаре по планированию.</w:t>
      </w:r>
    </w:p>
    <w:p w14:paraId="646410DA" w14:textId="77777777" w:rsidR="002E07E6" w:rsidRDefault="002E07E6">
      <w:pPr>
        <w:pBdr>
          <w:top w:val="nil"/>
          <w:left w:val="nil"/>
          <w:bottom w:val="nil"/>
          <w:right w:val="nil"/>
          <w:between w:val="nil"/>
        </w:pBdr>
        <w:spacing w:after="0"/>
        <w:ind w:left="709" w:hanging="360"/>
        <w:jc w:val="both"/>
        <w:rPr>
          <w:rFonts w:ascii="Verdana" w:eastAsia="Verdana" w:hAnsi="Verdana" w:cs="Verdana"/>
          <w:color w:val="000000"/>
          <w:sz w:val="18"/>
          <w:szCs w:val="18"/>
        </w:rPr>
      </w:pPr>
    </w:p>
    <w:p w14:paraId="6DE7794C" w14:textId="77777777" w:rsidR="002E07E6" w:rsidRDefault="00000000">
      <w:pPr>
        <w:pBdr>
          <w:top w:val="nil"/>
          <w:left w:val="nil"/>
          <w:bottom w:val="nil"/>
          <w:right w:val="nil"/>
          <w:between w:val="nil"/>
        </w:pBdr>
        <w:spacing w:after="0"/>
        <w:ind w:left="709" w:hanging="360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Координатор по ДВП (если уже назначено) с делегатом по обеспечению готовности к ДВП будут обеспечивать координацию семинара совместно с представителем руководства (например, по программам).</w:t>
      </w:r>
    </w:p>
    <w:p w14:paraId="64254D59" w14:textId="77777777" w:rsidR="002E07E6" w:rsidRDefault="002E07E6">
      <w:pPr>
        <w:pBdr>
          <w:top w:val="nil"/>
          <w:left w:val="nil"/>
          <w:bottom w:val="nil"/>
          <w:right w:val="nil"/>
          <w:between w:val="nil"/>
        </w:pBdr>
        <w:spacing w:after="0"/>
        <w:ind w:left="709" w:hanging="360"/>
        <w:jc w:val="both"/>
        <w:rPr>
          <w:rFonts w:eastAsia="Arial" w:cs="Arial"/>
          <w:color w:val="000000"/>
        </w:rPr>
      </w:pPr>
    </w:p>
    <w:p w14:paraId="0615292D" w14:textId="77777777" w:rsidR="002E07E6" w:rsidRDefault="00000000">
      <w:pPr>
        <w:pBdr>
          <w:top w:val="nil"/>
          <w:left w:val="nil"/>
          <w:bottom w:val="nil"/>
          <w:right w:val="nil"/>
          <w:between w:val="nil"/>
        </w:pBdr>
        <w:spacing w:after="0"/>
        <w:ind w:left="709" w:hanging="360"/>
        <w:jc w:val="both"/>
        <w:rPr>
          <w:rFonts w:eastAsia="Arial" w:cs="Arial"/>
          <w:color w:val="C00000"/>
        </w:rPr>
      </w:pPr>
      <w:r>
        <w:rPr>
          <w:rFonts w:ascii="Verdana" w:eastAsia="Verdana" w:hAnsi="Verdana" w:cs="Verdana"/>
          <w:b/>
          <w:color w:val="C00000"/>
        </w:rPr>
        <w:t>Примерная повестка дня</w:t>
      </w:r>
      <w:r>
        <w:rPr>
          <w:rFonts w:eastAsia="Arial" w:cs="Arial"/>
          <w:color w:val="C00000"/>
        </w:rPr>
        <w:t xml:space="preserve"> </w:t>
      </w:r>
    </w:p>
    <w:p w14:paraId="74D94EA7" w14:textId="77777777" w:rsidR="002E07E6" w:rsidRDefault="002E07E6">
      <w:pPr>
        <w:pBdr>
          <w:top w:val="nil"/>
          <w:left w:val="nil"/>
          <w:bottom w:val="nil"/>
          <w:right w:val="nil"/>
          <w:between w:val="nil"/>
        </w:pBdr>
        <w:spacing w:after="60"/>
        <w:ind w:left="709" w:hanging="360"/>
        <w:jc w:val="both"/>
        <w:rPr>
          <w:rFonts w:eastAsia="Arial" w:cs="Arial"/>
          <w:color w:val="000000"/>
        </w:rPr>
      </w:pPr>
    </w:p>
    <w:tbl>
      <w:tblPr>
        <w:tblStyle w:val="a0"/>
        <w:tblW w:w="9776" w:type="dxa"/>
        <w:tblInd w:w="-108" w:type="dxa"/>
        <w:tblLayout w:type="fixed"/>
        <w:tblLook w:val="0000" w:firstRow="0" w:lastRow="0" w:firstColumn="0" w:lastColumn="0" w:noHBand="0" w:noVBand="0"/>
      </w:tblPr>
      <w:tblGrid>
        <w:gridCol w:w="1555"/>
        <w:gridCol w:w="8221"/>
      </w:tblGrid>
      <w:tr w:rsidR="002E07E6" w14:paraId="76AE7F7D" w14:textId="77777777">
        <w:trPr>
          <w:trHeight w:val="300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FAB5C6C" w14:textId="77777777" w:rsidR="002E07E6" w:rsidRDefault="00000000">
            <w:pPr>
              <w:spacing w:after="0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1-й день</w:t>
            </w:r>
          </w:p>
        </w:tc>
        <w:tc>
          <w:tcPr>
            <w:tcW w:w="82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C056988" w14:textId="77777777" w:rsidR="002E07E6" w:rsidRDefault="00000000">
            <w:pPr>
              <w:spacing w:after="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 </w:t>
            </w:r>
          </w:p>
        </w:tc>
      </w:tr>
      <w:tr w:rsidR="002E07E6" w14:paraId="0A04D942" w14:textId="77777777">
        <w:trPr>
          <w:trHeight w:val="300"/>
        </w:trPr>
        <w:tc>
          <w:tcPr>
            <w:tcW w:w="15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F5DCCA2" w14:textId="77777777" w:rsidR="002E07E6" w:rsidRDefault="00000000">
            <w:pPr>
              <w:spacing w:after="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9:00 - 9:30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C801DD1" w14:textId="77777777" w:rsidR="002E07E6" w:rsidRDefault="00000000">
            <w:pPr>
              <w:spacing w:after="0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Приветствие и вводная часть для ознакомления с темой семинара</w:t>
            </w:r>
          </w:p>
        </w:tc>
      </w:tr>
      <w:tr w:rsidR="002E07E6" w14:paraId="05C34A1C" w14:textId="77777777">
        <w:trPr>
          <w:trHeight w:val="300"/>
        </w:trPr>
        <w:tc>
          <w:tcPr>
            <w:tcW w:w="15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70F760A" w14:textId="77777777" w:rsidR="002E07E6" w:rsidRDefault="00000000">
            <w:pPr>
              <w:spacing w:after="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9:30 - 10:45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7305F43" w14:textId="77777777" w:rsidR="002E07E6" w:rsidRDefault="00000000">
            <w:pPr>
              <w:spacing w:after="0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Осведомленность о ДВП</w:t>
            </w:r>
          </w:p>
        </w:tc>
      </w:tr>
      <w:tr w:rsidR="002E07E6" w14:paraId="4EDAA0D3" w14:textId="77777777">
        <w:trPr>
          <w:trHeight w:val="300"/>
        </w:trPr>
        <w:tc>
          <w:tcPr>
            <w:tcW w:w="15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FFED390" w14:textId="77777777" w:rsidR="002E07E6" w:rsidRDefault="00000000">
            <w:pPr>
              <w:spacing w:after="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10.45 – 11.30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E07086A" w14:textId="77777777" w:rsidR="002E07E6" w:rsidRDefault="00000000">
            <w:pPr>
              <w:spacing w:after="0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Представление стратегии НО</w:t>
            </w:r>
          </w:p>
        </w:tc>
      </w:tr>
      <w:tr w:rsidR="002E07E6" w14:paraId="37303FCF" w14:textId="77777777">
        <w:trPr>
          <w:trHeight w:val="300"/>
        </w:trPr>
        <w:tc>
          <w:tcPr>
            <w:tcW w:w="15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458A215" w14:textId="77777777" w:rsidR="002E07E6" w:rsidRDefault="00000000">
            <w:pPr>
              <w:spacing w:after="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11.30 – 12.00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74EDAE4" w14:textId="77777777" w:rsidR="002E07E6" w:rsidRDefault="00000000">
            <w:pPr>
              <w:spacing w:after="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Короткий перерыв</w:t>
            </w:r>
          </w:p>
        </w:tc>
      </w:tr>
      <w:tr w:rsidR="002E07E6" w14:paraId="3A231DAE" w14:textId="77777777">
        <w:trPr>
          <w:trHeight w:val="300"/>
        </w:trPr>
        <w:tc>
          <w:tcPr>
            <w:tcW w:w="15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10CC004" w14:textId="77777777" w:rsidR="002E07E6" w:rsidRDefault="00000000">
            <w:pPr>
              <w:spacing w:after="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12- 00 - 12.15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12F2ECB" w14:textId="77777777" w:rsidR="002E07E6" w:rsidRDefault="00000000">
            <w:pPr>
              <w:spacing w:after="0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Представление и проверка действующих уровней оперативной готовности к ДВП, установленных Международным Движением КК и КП (исходных)</w:t>
            </w:r>
          </w:p>
        </w:tc>
      </w:tr>
      <w:tr w:rsidR="002E07E6" w14:paraId="6B3AB5B8" w14:textId="77777777">
        <w:trPr>
          <w:trHeight w:val="300"/>
        </w:trPr>
        <w:tc>
          <w:tcPr>
            <w:tcW w:w="15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0366078" w14:textId="77777777" w:rsidR="002E07E6" w:rsidRDefault="00000000">
            <w:pPr>
              <w:spacing w:after="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12.15 – 13.00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11FC7A3" w14:textId="77777777" w:rsidR="002E07E6" w:rsidRDefault="00000000">
            <w:pPr>
              <w:spacing w:after="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Согласование установленных Международным Движением КК и КП уровней оперативной готовности к ДВП, которые должны быть достигнуты к моменту завершения реализации программы ГДВП (конечных)</w:t>
            </w:r>
          </w:p>
        </w:tc>
      </w:tr>
      <w:tr w:rsidR="002E07E6" w14:paraId="4A257027" w14:textId="77777777">
        <w:trPr>
          <w:trHeight w:val="300"/>
        </w:trPr>
        <w:tc>
          <w:tcPr>
            <w:tcW w:w="15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65A3746" w14:textId="77777777" w:rsidR="002E07E6" w:rsidRDefault="00000000">
            <w:pPr>
              <w:spacing w:after="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13.00 – 14.00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E0753C5" w14:textId="77777777" w:rsidR="002E07E6" w:rsidRDefault="00000000">
            <w:pPr>
              <w:spacing w:after="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Перерыв на обед</w:t>
            </w:r>
          </w:p>
        </w:tc>
      </w:tr>
      <w:tr w:rsidR="002E07E6" w14:paraId="6E190F68" w14:textId="77777777">
        <w:trPr>
          <w:trHeight w:val="300"/>
        </w:trPr>
        <w:tc>
          <w:tcPr>
            <w:tcW w:w="15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94C5BDE" w14:textId="77777777" w:rsidR="002E07E6" w:rsidRDefault="00000000">
            <w:pPr>
              <w:spacing w:after="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14.00 – 16.00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16D0301" w14:textId="77777777" w:rsidR="002E07E6" w:rsidRDefault="00000000">
            <w:pPr>
              <w:spacing w:after="0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Обсуждение с целью выработки общей концепции ДВП</w:t>
            </w:r>
          </w:p>
        </w:tc>
      </w:tr>
      <w:tr w:rsidR="002E07E6" w14:paraId="4FAC7A45" w14:textId="77777777">
        <w:trPr>
          <w:trHeight w:val="300"/>
        </w:trPr>
        <w:tc>
          <w:tcPr>
            <w:tcW w:w="15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2710503" w14:textId="77777777" w:rsidR="002E07E6" w:rsidRDefault="00000000">
            <w:pPr>
              <w:spacing w:after="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16.00– 16.15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4DA2439" w14:textId="77777777" w:rsidR="002E07E6" w:rsidRDefault="00000000">
            <w:pPr>
              <w:spacing w:after="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Короткий перерыв</w:t>
            </w:r>
          </w:p>
        </w:tc>
      </w:tr>
      <w:tr w:rsidR="002E07E6" w14:paraId="59F82AFF" w14:textId="77777777">
        <w:trPr>
          <w:trHeight w:val="300"/>
        </w:trPr>
        <w:tc>
          <w:tcPr>
            <w:tcW w:w="15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6DB818F" w14:textId="77777777" w:rsidR="002E07E6" w:rsidRDefault="00000000">
            <w:pPr>
              <w:spacing w:after="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16.15 – 17.30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E061248" w14:textId="77777777" w:rsidR="002E07E6" w:rsidRDefault="00000000">
            <w:pPr>
              <w:spacing w:after="0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Разработка заявления об общей концепции ДВП</w:t>
            </w:r>
          </w:p>
        </w:tc>
      </w:tr>
    </w:tbl>
    <w:p w14:paraId="2096667C" w14:textId="77777777" w:rsidR="002E07E6" w:rsidRDefault="002E07E6">
      <w:pPr>
        <w:tabs>
          <w:tab w:val="left" w:pos="5260"/>
        </w:tabs>
      </w:pPr>
    </w:p>
    <w:p w14:paraId="44E66176" w14:textId="77777777" w:rsidR="002E07E6" w:rsidRDefault="002E07E6">
      <w:pPr>
        <w:tabs>
          <w:tab w:val="left" w:pos="5260"/>
        </w:tabs>
      </w:pPr>
    </w:p>
    <w:p w14:paraId="5535D178" w14:textId="77777777" w:rsidR="002E07E6" w:rsidRDefault="00000000">
      <w:pPr>
        <w:tabs>
          <w:tab w:val="left" w:pos="5260"/>
        </w:tabs>
      </w:pPr>
      <w:r>
        <w:t xml:space="preserve"> </w:t>
      </w:r>
    </w:p>
    <w:sectPr w:rsidR="002E07E6">
      <w:headerReference w:type="default" r:id="rId10"/>
      <w:footerReference w:type="even" r:id="rId11"/>
      <w:footerReference w:type="default" r:id="rId12"/>
      <w:footerReference w:type="first" r:id="rId13"/>
      <w:pgSz w:w="11909" w:h="16834"/>
      <w:pgMar w:top="851" w:right="1140" w:bottom="851" w:left="994" w:header="720" w:footer="333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573967" w14:textId="77777777" w:rsidR="00547C4C" w:rsidRDefault="00547C4C">
      <w:pPr>
        <w:spacing w:after="0"/>
      </w:pPr>
      <w:r>
        <w:separator/>
      </w:r>
    </w:p>
  </w:endnote>
  <w:endnote w:type="continuationSeparator" w:id="0">
    <w:p w14:paraId="14C1474A" w14:textId="77777777" w:rsidR="00547C4C" w:rsidRDefault="00547C4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charset w:val="00"/>
    <w:family w:val="auto"/>
    <w:pitch w:val="default"/>
    <w:embedRegular r:id="rId1" w:fontKey="{957CE3C9-D79F-460D-B64D-322AEED5B166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2" w:fontKey="{675ECE14-7924-4EC4-9E2B-21C57D7C4C6D}"/>
    <w:embedBold r:id="rId3" w:fontKey="{0A9C9309-964E-4D42-829D-7D78FAF08A1C}"/>
    <w:embedItalic r:id="rId4" w:fontKey="{E6B0B58D-B144-4468-8305-36A2DB8408B7}"/>
    <w:embedBoldItalic r:id="rId5" w:fontKey="{32B3258C-EAC7-4F98-A05E-05A530949CBB}"/>
  </w:font>
  <w:font w:name="Segoe UI">
    <w:panose1 w:val="020B0502040204020203"/>
    <w:charset w:val="00"/>
    <w:family w:val="roman"/>
    <w:notTrueType/>
    <w:pitch w:val="default"/>
    <w:embedRegular r:id="rId6" w:fontKey="{D329DE25-F6D4-4BDD-86F3-0FF980091EAB}"/>
  </w:font>
  <w:font w:name="Tahoma">
    <w:panose1 w:val="020B0604030504040204"/>
    <w:charset w:val="00"/>
    <w:family w:val="roman"/>
    <w:notTrueType/>
    <w:pitch w:val="default"/>
    <w:embedRegular r:id="rId7" w:fontKey="{3FB9065F-65EA-4C25-8A0A-81003C9403A0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8" w:fontKey="{CEB36F21-BDAC-43DA-9326-5298CE5E6F3C}"/>
    <w:embedBold r:id="rId9" w:fontKey="{DB6DD68B-B133-409A-A758-44EE24F63B3F}"/>
  </w:font>
  <w:font w:name="Arial Black">
    <w:panose1 w:val="020B0A04020102020204"/>
    <w:charset w:val="00"/>
    <w:family w:val="roman"/>
    <w:notTrueType/>
    <w:pitch w:val="default"/>
    <w:embedRegular r:id="rId10" w:fontKey="{7EB0EADA-B8AA-4FA6-AD11-2A3DEFD912A8}"/>
  </w:font>
  <w:font w:name="Gill Sans MT">
    <w:panose1 w:val="020B0502020104020203"/>
    <w:charset w:val="00"/>
    <w:family w:val="roman"/>
    <w:notTrueType/>
    <w:pitch w:val="default"/>
    <w:embedRegular r:id="rId11" w:fontKey="{DDCF006E-BEB8-45A2-ADAF-186BF71CF157}"/>
  </w:font>
  <w:font w:name="Times">
    <w:panose1 w:val="02020603050405020304"/>
    <w:charset w:val="00"/>
    <w:family w:val="roman"/>
    <w:notTrueType/>
    <w:pitch w:val="default"/>
    <w:embedRegular r:id="rId12" w:fontKey="{4B4DF2E7-5F6E-4356-8966-DD084CC1B7A2}"/>
  </w:font>
  <w:font w:name="Georgia">
    <w:panose1 w:val="02040502050405020303"/>
    <w:charset w:val="00"/>
    <w:family w:val="auto"/>
    <w:pitch w:val="default"/>
    <w:embedRegular r:id="rId13" w:fontKey="{A5169720-A681-4897-A6B4-CBBDF39C16ED}"/>
    <w:embedItalic r:id="rId14" w:fontKey="{374469B4-68AE-4605-8D57-4C10EC1C7E4A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5" w:fontKey="{1AED6438-9A7A-4E2F-A615-AD2F87030436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BEEC46" w14:textId="77777777" w:rsidR="002E07E6" w:rsidRDefault="00000000">
    <w:pPr>
      <w:pBdr>
        <w:top w:val="single" w:sz="8" w:space="1" w:color="00324D"/>
        <w:left w:val="nil"/>
        <w:bottom w:val="nil"/>
        <w:right w:val="nil"/>
        <w:between w:val="nil"/>
      </w:pBdr>
      <w:tabs>
        <w:tab w:val="center" w:pos="4550"/>
        <w:tab w:val="left" w:pos="5818"/>
        <w:tab w:val="right" w:pos="9515"/>
      </w:tabs>
      <w:spacing w:before="240" w:after="240"/>
      <w:ind w:right="260"/>
      <w:rPr>
        <w:rFonts w:eastAsia="Arial" w:cs="Arial"/>
        <w:color w:val="404850"/>
        <w:sz w:val="18"/>
        <w:szCs w:val="18"/>
      </w:rPr>
    </w:pPr>
    <w:r>
      <w:rPr>
        <w:noProof/>
      </w:rPr>
      <mc:AlternateContent>
        <mc:Choice Requires="wpg">
          <w:drawing>
            <wp:anchor distT="0" distB="0" distL="0" distR="0" simplePos="0" relativeHeight="251660288" behindDoc="0" locked="0" layoutInCell="1" hidden="0" allowOverlap="1" wp14:anchorId="56AB5716" wp14:editId="0638B96B">
              <wp:simplePos x="0" y="0"/>
              <wp:positionH relativeFrom="column">
                <wp:posOffset>-634999</wp:posOffset>
              </wp:positionH>
              <wp:positionV relativeFrom="paragraph">
                <wp:posOffset>0</wp:posOffset>
              </wp:positionV>
              <wp:extent cx="453390" cy="453390"/>
              <wp:effectExtent l="0" t="0" r="0" b="0"/>
              <wp:wrapNone/>
              <wp:docPr id="5" name="Rectangle 5" descr="Internal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5124068" y="3558068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08E2A88" w14:textId="77777777" w:rsidR="002E07E6" w:rsidRDefault="00000000">
                          <w:pPr>
                            <w:spacing w:after="0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20"/>
                            </w:rPr>
                            <w:t>Internal</w:t>
                          </w:r>
                        </w:p>
                      </w:txbxContent>
                    </wps:txbx>
                    <wps:bodyPr spcFirstLastPara="1" wrap="square" lIns="254000" tIns="0" rIns="0" bIns="190500" anchor="b" anchorCtr="0">
                      <a:noAutofit/>
                    </wps:bodyPr>
                  </wps:ws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-634999</wp:posOffset>
              </wp:positionH>
              <wp:positionV relativeFrom="paragraph">
                <wp:posOffset>0</wp:posOffset>
              </wp:positionV>
              <wp:extent cx="453390" cy="453390"/>
              <wp:effectExtent b="0" l="0" r="0" t="0"/>
              <wp:wrapNone/>
              <wp:docPr descr="Internal" id="5" name="image2.png"/>
              <a:graphic>
                <a:graphicData uri="http://schemas.openxmlformats.org/drawingml/2006/picture">
                  <pic:pic>
                    <pic:nvPicPr>
                      <pic:cNvPr descr="Internal"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53390" cy="45339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86B4C5" w14:textId="77777777" w:rsidR="002E07E6" w:rsidRDefault="00000000">
    <w:pPr>
      <w:pBdr>
        <w:top w:val="single" w:sz="4" w:space="9" w:color="000000"/>
        <w:left w:val="nil"/>
        <w:bottom w:val="nil"/>
        <w:right w:val="nil"/>
        <w:between w:val="nil"/>
      </w:pBdr>
      <w:tabs>
        <w:tab w:val="center" w:pos="4550"/>
        <w:tab w:val="left" w:pos="5818"/>
        <w:tab w:val="right" w:pos="9515"/>
        <w:tab w:val="left" w:pos="3029"/>
        <w:tab w:val="right" w:pos="9781"/>
      </w:tabs>
      <w:spacing w:after="0"/>
      <w:ind w:right="-6"/>
      <w:rPr>
        <w:rFonts w:eastAsia="Arial" w:cs="Arial"/>
        <w:color w:val="404850"/>
        <w:sz w:val="18"/>
        <w:szCs w:val="18"/>
      </w:rPr>
    </w:pPr>
    <w:r>
      <w:rPr>
        <w:rFonts w:eastAsia="Arial" w:cs="Arial"/>
        <w:color w:val="404850"/>
        <w:sz w:val="18"/>
        <w:szCs w:val="18"/>
      </w:rPr>
      <w:tab/>
    </w:r>
    <w:r>
      <w:rPr>
        <w:rFonts w:eastAsia="Arial" w:cs="Arial"/>
        <w:color w:val="404850"/>
        <w:sz w:val="18"/>
        <w:szCs w:val="18"/>
      </w:rPr>
      <w:tab/>
    </w:r>
    <w:r>
      <w:rPr>
        <w:rFonts w:eastAsia="Arial" w:cs="Arial"/>
        <w:color w:val="404850"/>
        <w:sz w:val="18"/>
        <w:szCs w:val="18"/>
      </w:rPr>
      <w:tab/>
    </w:r>
    <w:r>
      <w:rPr>
        <w:rFonts w:eastAsia="Arial" w:cs="Arial"/>
        <w:color w:val="404850"/>
        <w:sz w:val="18"/>
        <w:szCs w:val="18"/>
      </w:rPr>
      <w:tab/>
    </w:r>
    <w:r>
      <w:rPr>
        <w:noProof/>
      </w:rPr>
      <mc:AlternateContent>
        <mc:Choice Requires="wpg">
          <w:drawing>
            <wp:anchor distT="0" distB="0" distL="0" distR="0" simplePos="0" relativeHeight="251658240" behindDoc="0" locked="0" layoutInCell="1" hidden="0" allowOverlap="1" wp14:anchorId="492DE9DB" wp14:editId="017141F1">
              <wp:simplePos x="0" y="0"/>
              <wp:positionH relativeFrom="column">
                <wp:posOffset>-634999</wp:posOffset>
              </wp:positionH>
              <wp:positionV relativeFrom="paragraph">
                <wp:posOffset>0</wp:posOffset>
              </wp:positionV>
              <wp:extent cx="2651760" cy="453390"/>
              <wp:effectExtent l="0" t="0" r="0" b="0"/>
              <wp:wrapNone/>
              <wp:docPr id="6" name="Rectangle 6" descr="Internal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024870" y="3558068"/>
                        <a:ext cx="2642260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3BD11FF" w14:textId="77777777" w:rsidR="002E07E6" w:rsidRDefault="00000000">
                          <w:pPr>
                            <w:spacing w:after="0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20"/>
                            </w:rPr>
                            <w:t>Для служебного пользования</w:t>
                          </w:r>
                        </w:p>
                      </w:txbxContent>
                    </wps:txbx>
                    <wps:bodyPr spcFirstLastPara="1" wrap="square" lIns="254000" tIns="0" rIns="0" bIns="190500" anchor="b" anchorCtr="0">
                      <a:noAutofit/>
                    </wps:bodyPr>
                  </wps:ws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-634999</wp:posOffset>
              </wp:positionH>
              <wp:positionV relativeFrom="paragraph">
                <wp:posOffset>0</wp:posOffset>
              </wp:positionV>
              <wp:extent cx="2651760" cy="453390"/>
              <wp:effectExtent b="0" l="0" r="0" t="0"/>
              <wp:wrapNone/>
              <wp:docPr descr="Internal" id="6" name="image3.png"/>
              <a:graphic>
                <a:graphicData uri="http://schemas.openxmlformats.org/drawingml/2006/picture">
                  <pic:pic>
                    <pic:nvPicPr>
                      <pic:cNvPr descr="Internal" id="0" name="image3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651760" cy="45339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14:paraId="38D1B1F3" w14:textId="77777777" w:rsidR="002E07E6" w:rsidRDefault="00000000">
    <w:pPr>
      <w:pBdr>
        <w:top w:val="single" w:sz="4" w:space="9" w:color="000000"/>
        <w:left w:val="nil"/>
        <w:bottom w:val="nil"/>
        <w:right w:val="nil"/>
        <w:between w:val="nil"/>
      </w:pBdr>
      <w:tabs>
        <w:tab w:val="center" w:pos="4550"/>
        <w:tab w:val="left" w:pos="5818"/>
        <w:tab w:val="right" w:pos="9515"/>
        <w:tab w:val="left" w:pos="3029"/>
        <w:tab w:val="right" w:pos="9781"/>
      </w:tabs>
      <w:spacing w:after="0"/>
      <w:ind w:right="-6"/>
      <w:rPr>
        <w:rFonts w:eastAsia="Arial" w:cs="Arial"/>
        <w:color w:val="404850"/>
        <w:sz w:val="18"/>
        <w:szCs w:val="18"/>
      </w:rPr>
    </w:pPr>
    <w:r>
      <w:rPr>
        <w:rFonts w:eastAsia="Arial" w:cs="Arial"/>
        <w:color w:val="404850"/>
        <w:sz w:val="18"/>
        <w:szCs w:val="18"/>
      </w:rPr>
      <w:tab/>
    </w:r>
    <w:r>
      <w:rPr>
        <w:rFonts w:eastAsia="Arial" w:cs="Arial"/>
        <w:color w:val="404850"/>
        <w:sz w:val="18"/>
        <w:szCs w:val="18"/>
      </w:rPr>
      <w:tab/>
    </w:r>
    <w:r>
      <w:rPr>
        <w:rFonts w:eastAsia="Arial" w:cs="Arial"/>
        <w:color w:val="404850"/>
        <w:sz w:val="18"/>
        <w:szCs w:val="18"/>
      </w:rPr>
      <w:tab/>
    </w:r>
    <w:r>
      <w:rPr>
        <w:rFonts w:eastAsia="Arial" w:cs="Arial"/>
        <w:color w:val="404850"/>
        <w:sz w:val="18"/>
        <w:szCs w:val="18"/>
      </w:rPr>
      <w:tab/>
    </w:r>
    <w:r>
      <w:rPr>
        <w:rFonts w:eastAsia="Arial" w:cs="Arial"/>
        <w:color w:val="404850"/>
        <w:sz w:val="18"/>
        <w:szCs w:val="18"/>
      </w:rPr>
      <w:fldChar w:fldCharType="begin"/>
    </w:r>
    <w:r>
      <w:rPr>
        <w:rFonts w:eastAsia="Arial" w:cs="Arial"/>
        <w:color w:val="404850"/>
        <w:sz w:val="18"/>
        <w:szCs w:val="18"/>
      </w:rPr>
      <w:instrText>PAGE</w:instrText>
    </w:r>
    <w:r>
      <w:rPr>
        <w:rFonts w:eastAsia="Arial" w:cs="Arial"/>
        <w:color w:val="404850"/>
        <w:sz w:val="18"/>
        <w:szCs w:val="18"/>
      </w:rPr>
      <w:fldChar w:fldCharType="separate"/>
    </w:r>
    <w:r w:rsidR="00FE0F0A">
      <w:rPr>
        <w:rFonts w:eastAsia="Arial" w:cs="Arial"/>
        <w:noProof/>
        <w:color w:val="404850"/>
        <w:sz w:val="18"/>
        <w:szCs w:val="18"/>
      </w:rPr>
      <w:t>1</w:t>
    </w:r>
    <w:r>
      <w:rPr>
        <w:rFonts w:eastAsia="Arial" w:cs="Arial"/>
        <w:color w:val="404850"/>
        <w:sz w:val="18"/>
        <w:szCs w:val="18"/>
      </w:rPr>
      <w:fldChar w:fldCharType="end"/>
    </w:r>
    <w:r>
      <w:rPr>
        <w:rFonts w:eastAsia="Arial" w:cs="Arial"/>
        <w:color w:val="404850"/>
        <w:sz w:val="18"/>
        <w:szCs w:val="18"/>
      </w:rPr>
      <w:t xml:space="preserve"> | </w:t>
    </w:r>
    <w:r>
      <w:rPr>
        <w:rFonts w:eastAsia="Arial" w:cs="Arial"/>
        <w:color w:val="404850"/>
        <w:sz w:val="18"/>
        <w:szCs w:val="18"/>
      </w:rPr>
      <w:fldChar w:fldCharType="begin"/>
    </w:r>
    <w:r>
      <w:rPr>
        <w:rFonts w:eastAsia="Arial" w:cs="Arial"/>
        <w:color w:val="404850"/>
        <w:sz w:val="18"/>
        <w:szCs w:val="18"/>
      </w:rPr>
      <w:instrText>NUMPAGES</w:instrText>
    </w:r>
    <w:r>
      <w:rPr>
        <w:rFonts w:eastAsia="Arial" w:cs="Arial"/>
        <w:color w:val="404850"/>
        <w:sz w:val="18"/>
        <w:szCs w:val="18"/>
      </w:rPr>
      <w:fldChar w:fldCharType="separate"/>
    </w:r>
    <w:r w:rsidR="00FE0F0A">
      <w:rPr>
        <w:rFonts w:eastAsia="Arial" w:cs="Arial"/>
        <w:noProof/>
        <w:color w:val="404850"/>
        <w:sz w:val="18"/>
        <w:szCs w:val="18"/>
      </w:rPr>
      <w:t>2</w:t>
    </w:r>
    <w:r>
      <w:rPr>
        <w:rFonts w:eastAsia="Arial" w:cs="Arial"/>
        <w:color w:val="404850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4C6101" w14:textId="77777777" w:rsidR="002E07E6" w:rsidRDefault="00000000">
    <w:pPr>
      <w:pBdr>
        <w:top w:val="single" w:sz="8" w:space="1" w:color="00324D"/>
        <w:left w:val="nil"/>
        <w:bottom w:val="nil"/>
        <w:right w:val="nil"/>
        <w:between w:val="nil"/>
      </w:pBdr>
      <w:tabs>
        <w:tab w:val="center" w:pos="4550"/>
        <w:tab w:val="left" w:pos="5818"/>
        <w:tab w:val="right" w:pos="9515"/>
      </w:tabs>
      <w:spacing w:before="240" w:after="240"/>
      <w:ind w:right="260"/>
      <w:rPr>
        <w:rFonts w:eastAsia="Arial" w:cs="Arial"/>
        <w:color w:val="404850"/>
        <w:sz w:val="18"/>
        <w:szCs w:val="18"/>
      </w:rPr>
    </w:pPr>
    <w:r>
      <w:rPr>
        <w:noProof/>
      </w:rPr>
      <mc:AlternateContent>
        <mc:Choice Requires="wpg">
          <w:drawing>
            <wp:anchor distT="0" distB="0" distL="0" distR="0" simplePos="0" relativeHeight="251659264" behindDoc="0" locked="0" layoutInCell="1" hidden="0" allowOverlap="1" wp14:anchorId="70FB63AF" wp14:editId="772C260F">
              <wp:simplePos x="0" y="0"/>
              <wp:positionH relativeFrom="column">
                <wp:posOffset>-634999</wp:posOffset>
              </wp:positionH>
              <wp:positionV relativeFrom="paragraph">
                <wp:posOffset>0</wp:posOffset>
              </wp:positionV>
              <wp:extent cx="453390" cy="453390"/>
              <wp:effectExtent l="0" t="0" r="0" b="0"/>
              <wp:wrapNone/>
              <wp:docPr id="4" name="Rectangle 4" descr="Internal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5124068" y="3558068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6E86D9A" w14:textId="77777777" w:rsidR="002E07E6" w:rsidRDefault="00000000">
                          <w:pPr>
                            <w:spacing w:after="0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20"/>
                            </w:rPr>
                            <w:t>Internal</w:t>
                          </w:r>
                        </w:p>
                      </w:txbxContent>
                    </wps:txbx>
                    <wps:bodyPr spcFirstLastPara="1" wrap="square" lIns="254000" tIns="0" rIns="0" bIns="190500" anchor="b" anchorCtr="0">
                      <a:noAutofit/>
                    </wps:bodyPr>
                  </wps:ws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-634999</wp:posOffset>
              </wp:positionH>
              <wp:positionV relativeFrom="paragraph">
                <wp:posOffset>0</wp:posOffset>
              </wp:positionV>
              <wp:extent cx="453390" cy="453390"/>
              <wp:effectExtent b="0" l="0" r="0" t="0"/>
              <wp:wrapNone/>
              <wp:docPr descr="Internal" id="4" name="image1.png"/>
              <a:graphic>
                <a:graphicData uri="http://schemas.openxmlformats.org/drawingml/2006/picture">
                  <pic:pic>
                    <pic:nvPicPr>
                      <pic:cNvPr descr="Internal" id="0" name="image1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53390" cy="45339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D6E318" w14:textId="77777777" w:rsidR="00547C4C" w:rsidRDefault="00547C4C">
      <w:pPr>
        <w:spacing w:after="0"/>
      </w:pPr>
      <w:r>
        <w:separator/>
      </w:r>
    </w:p>
  </w:footnote>
  <w:footnote w:type="continuationSeparator" w:id="0">
    <w:p w14:paraId="14CCEAD5" w14:textId="77777777" w:rsidR="00547C4C" w:rsidRDefault="00547C4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20CAF3" w14:textId="77777777" w:rsidR="002E07E6" w:rsidRDefault="00000000">
    <w:pPr>
      <w:pBdr>
        <w:top w:val="nil"/>
        <w:left w:val="nil"/>
        <w:bottom w:val="none" w:sz="0" w:space="0" w:color="000000"/>
        <w:right w:val="nil"/>
        <w:between w:val="nil"/>
      </w:pBdr>
      <w:tabs>
        <w:tab w:val="center" w:pos="4513"/>
        <w:tab w:val="right" w:pos="9026"/>
        <w:tab w:val="left" w:pos="340"/>
        <w:tab w:val="right" w:pos="9775"/>
      </w:tabs>
      <w:rPr>
        <w:rFonts w:eastAsia="Arial" w:cs="Arial"/>
        <w:color w:val="000000"/>
      </w:rPr>
    </w:pPr>
    <w:r>
      <w:rPr>
        <w:rFonts w:eastAsia="Arial" w:cs="Arial"/>
        <w:color w:val="000000"/>
      </w:rPr>
      <w:tab/>
    </w:r>
    <w:r>
      <w:rPr>
        <w:rFonts w:eastAsia="Arial" w:cs="Arial"/>
        <w:color w:val="000000"/>
      </w:rPr>
      <w:tab/>
    </w:r>
    <w:r>
      <w:rPr>
        <w:rFonts w:eastAsia="Arial" w:cs="Arial"/>
        <w:color w:val="00000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3D4168"/>
    <w:multiLevelType w:val="multilevel"/>
    <w:tmpl w:val="CA6E950C"/>
    <w:lvl w:ilvl="0">
      <w:start w:val="1"/>
      <w:numFmt w:val="decimal"/>
      <w:pStyle w:val="Level1Numbering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Level2Numbering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1B5F3E66"/>
    <w:multiLevelType w:val="multilevel"/>
    <w:tmpl w:val="17B85952"/>
    <w:lvl w:ilvl="0">
      <w:start w:val="1"/>
      <w:numFmt w:val="bullet"/>
      <w:pStyle w:val="Level1Bullets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504F1CB4"/>
    <w:multiLevelType w:val="multilevel"/>
    <w:tmpl w:val="C8727A8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pStyle w:val="Heading2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pStyle w:val="Heading3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pStyle w:val="Heading4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pStyle w:val="Heading5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pStyle w:val="Heading6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pStyle w:val="Heading7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pStyle w:val="Heading8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pStyle w:val="Heading9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5CF74C9D"/>
    <w:multiLevelType w:val="multilevel"/>
    <w:tmpl w:val="D98437DA"/>
    <w:lvl w:ilvl="0">
      <w:start w:val="1"/>
      <w:numFmt w:val="bullet"/>
      <w:pStyle w:val="TableBullets"/>
      <w:lvlText w:val="●"/>
      <w:lvlJc w:val="left"/>
      <w:pPr>
        <w:ind w:left="643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7B0A0485"/>
    <w:multiLevelType w:val="multilevel"/>
    <w:tmpl w:val="49164338"/>
    <w:lvl w:ilvl="0">
      <w:start w:val="1"/>
      <w:numFmt w:val="bullet"/>
      <w:pStyle w:val="Level2Bullets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472409047">
    <w:abstractNumId w:val="2"/>
  </w:num>
  <w:num w:numId="2" w16cid:durableId="845290806">
    <w:abstractNumId w:val="3"/>
  </w:num>
  <w:num w:numId="3" w16cid:durableId="1106536699">
    <w:abstractNumId w:val="1"/>
  </w:num>
  <w:num w:numId="4" w16cid:durableId="265894434">
    <w:abstractNumId w:val="4"/>
  </w:num>
  <w:num w:numId="5" w16cid:durableId="959187654">
    <w:abstractNumId w:val="0"/>
  </w:num>
  <w:num w:numId="6" w16cid:durableId="211532080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07E6"/>
    <w:rsid w:val="00044B4C"/>
    <w:rsid w:val="002E07E6"/>
    <w:rsid w:val="00536C47"/>
    <w:rsid w:val="00547C4C"/>
    <w:rsid w:val="00FE0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785746"/>
  <w15:docId w15:val="{061DFD35-96D7-42A9-8F91-EDAE97738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ru-RU" w:eastAsia="en-GB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="Times New Roman" w:cs="Times New Roman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pPr>
      <w:spacing w:before="120"/>
      <w:jc w:val="both"/>
      <w:outlineLvl w:val="0"/>
    </w:pPr>
    <w:rPr>
      <w:rFonts w:ascii="Verdana" w:hAnsi="Verdana" w:cs="Arial"/>
      <w:b/>
      <w:bCs/>
      <w:iCs/>
      <w:color w:val="C0000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numPr>
        <w:ilvl w:val="1"/>
        <w:numId w:val="1"/>
      </w:numPr>
      <w:spacing w:before="240" w:after="240"/>
      <w:outlineLvl w:val="1"/>
    </w:pPr>
    <w:rPr>
      <w:rFonts w:cs="Arial"/>
      <w:b/>
      <w:bCs/>
      <w:color w:val="C00000"/>
      <w:sz w:val="24"/>
      <w:szCs w:val="24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numPr>
        <w:ilvl w:val="2"/>
        <w:numId w:val="1"/>
      </w:numPr>
      <w:spacing w:before="240"/>
      <w:outlineLvl w:val="2"/>
    </w:pPr>
    <w:rPr>
      <w:rFonts w:cs="Arial"/>
      <w:b/>
      <w:bCs/>
      <w:color w:val="C00000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numPr>
        <w:ilvl w:val="3"/>
        <w:numId w:val="1"/>
      </w:numPr>
      <w:spacing w:before="60" w:after="60"/>
      <w:outlineLvl w:val="3"/>
    </w:pPr>
    <w:rPr>
      <w:rFonts w:cs="Arial"/>
      <w:b/>
      <w:bCs/>
      <w:color w:val="C00000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numPr>
        <w:ilvl w:val="4"/>
        <w:numId w:val="1"/>
      </w:numPr>
      <w:spacing w:before="120" w:after="60"/>
      <w:outlineLvl w:val="4"/>
    </w:pPr>
    <w:rPr>
      <w:rFonts w:cs="Arial"/>
      <w:b/>
      <w:bCs/>
      <w:color w:val="C00000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numPr>
        <w:ilvl w:val="5"/>
        <w:numId w:val="1"/>
      </w:numPr>
      <w:spacing w:before="120" w:after="60"/>
      <w:outlineLvl w:val="5"/>
    </w:pPr>
    <w:rPr>
      <w:rFonts w:cs="Arial"/>
      <w:b/>
      <w:bCs/>
      <w:color w:val="C00000"/>
    </w:rPr>
  </w:style>
  <w:style w:type="paragraph" w:styleId="Heading7">
    <w:name w:val="heading 7"/>
    <w:basedOn w:val="Normal"/>
    <w:next w:val="Normal"/>
    <w:pPr>
      <w:keepNext/>
      <w:numPr>
        <w:ilvl w:val="6"/>
        <w:numId w:val="1"/>
      </w:numPr>
      <w:spacing w:before="120" w:after="60"/>
      <w:outlineLvl w:val="6"/>
    </w:pPr>
    <w:rPr>
      <w:rFonts w:cs="Arial"/>
      <w:b/>
      <w:bCs/>
      <w:color w:val="C00000"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spacing w:before="120" w:after="60"/>
      <w:outlineLvl w:val="7"/>
    </w:pPr>
    <w:rPr>
      <w:rFonts w:cs="Arial"/>
      <w:b/>
      <w:bCs/>
      <w:color w:val="C00000"/>
    </w:rPr>
  </w:style>
  <w:style w:type="paragraph" w:styleId="Heading9">
    <w:name w:val="heading 9"/>
    <w:basedOn w:val="Normal"/>
    <w:next w:val="Normal"/>
    <w:qFormat/>
    <w:pPr>
      <w:keepNext/>
      <w:numPr>
        <w:ilvl w:val="8"/>
        <w:numId w:val="1"/>
      </w:numPr>
      <w:spacing w:before="120" w:after="60"/>
      <w:outlineLvl w:val="8"/>
    </w:pPr>
    <w:rPr>
      <w:rFonts w:cs="Arial"/>
      <w:b/>
      <w:bCs/>
      <w:color w:val="C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semiHidden/>
    <w:unhideWhenUsed/>
    <w:qFormat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nhideWhenUsed/>
    <w:qFormat/>
  </w:style>
  <w:style w:type="paragraph" w:styleId="Caption">
    <w:name w:val="caption"/>
    <w:basedOn w:val="Normal"/>
    <w:next w:val="Normal"/>
    <w:unhideWhenUsed/>
    <w:qFormat/>
    <w:pPr>
      <w:spacing w:after="200"/>
      <w:jc w:val="center"/>
    </w:pPr>
    <w:rPr>
      <w:b/>
      <w:bCs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qFormat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qFormat/>
    <w:rPr>
      <w:b/>
      <w:bCs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Footer">
    <w:name w:val="footer"/>
    <w:basedOn w:val="Normal"/>
    <w:qFormat/>
    <w:pPr>
      <w:pBdr>
        <w:top w:val="single" w:sz="8" w:space="1" w:color="00324D"/>
      </w:pBdr>
      <w:tabs>
        <w:tab w:val="center" w:pos="4550"/>
        <w:tab w:val="left" w:pos="5818"/>
        <w:tab w:val="right" w:pos="9515"/>
      </w:tabs>
      <w:spacing w:before="240" w:after="240"/>
      <w:ind w:right="260"/>
    </w:pPr>
    <w:rPr>
      <w:color w:val="404850"/>
      <w:sz w:val="18"/>
      <w:szCs w:val="24"/>
    </w:rPr>
  </w:style>
  <w:style w:type="character" w:styleId="FootnoteReference">
    <w:name w:val="footnote reference"/>
    <w:basedOn w:val="DefaultParagraphFont"/>
    <w:link w:val="Char2"/>
    <w:qFormat/>
    <w:rPr>
      <w:vertAlign w:val="superscript"/>
    </w:rPr>
  </w:style>
  <w:style w:type="paragraph" w:customStyle="1" w:styleId="Char2">
    <w:name w:val="Char2"/>
    <w:basedOn w:val="Normal"/>
    <w:link w:val="FootnoteReference"/>
    <w:uiPriority w:val="99"/>
    <w:qFormat/>
    <w:pPr>
      <w:spacing w:after="160" w:line="240" w:lineRule="exact"/>
    </w:pPr>
    <w:rPr>
      <w:vertAlign w:val="superscript"/>
    </w:rPr>
  </w:style>
  <w:style w:type="paragraph" w:styleId="FootnoteText">
    <w:name w:val="footnote text"/>
    <w:basedOn w:val="Normal"/>
    <w:link w:val="FootnoteTextChar"/>
    <w:unhideWhenUsed/>
    <w:qFormat/>
    <w:pPr>
      <w:spacing w:after="0"/>
    </w:pPr>
    <w:rPr>
      <w:sz w:val="20"/>
      <w:szCs w:val="20"/>
    </w:rPr>
  </w:style>
  <w:style w:type="paragraph" w:styleId="Header">
    <w:name w:val="header"/>
    <w:basedOn w:val="Normal"/>
    <w:link w:val="HeaderChar"/>
    <w:unhideWhenUsed/>
    <w:qFormat/>
    <w:pPr>
      <w:pBdr>
        <w:bottom w:val="single" w:sz="8" w:space="1" w:color="00324D"/>
      </w:pBdr>
      <w:tabs>
        <w:tab w:val="center" w:pos="4513"/>
        <w:tab w:val="right" w:pos="9026"/>
      </w:tabs>
    </w:pPr>
  </w:style>
  <w:style w:type="character" w:styleId="Hyperlink">
    <w:name w:val="Hyperlink"/>
    <w:basedOn w:val="DefaultParagraphFont"/>
    <w:uiPriority w:val="99"/>
    <w:unhideWhenUsed/>
    <w:qFormat/>
    <w:rPr>
      <w:color w:val="0000FF" w:themeColor="hyperlink"/>
      <w:u w:val="single"/>
    </w:rPr>
  </w:style>
  <w:style w:type="character" w:styleId="LineNumber">
    <w:name w:val="line number"/>
    <w:basedOn w:val="DefaultParagraphFont"/>
    <w:semiHidden/>
    <w:unhideWhenUsed/>
    <w:qFormat/>
  </w:style>
  <w:style w:type="paragraph" w:styleId="NormalWeb">
    <w:name w:val="Normal (Web)"/>
    <w:basedOn w:val="Normal"/>
    <w:uiPriority w:val="99"/>
    <w:semiHidden/>
    <w:unhideWhenUsed/>
    <w:qFormat/>
    <w:pPr>
      <w:spacing w:before="100" w:beforeAutospacing="1" w:after="100" w:afterAutospacing="1"/>
    </w:pPr>
    <w:rPr>
      <w:rFonts w:ascii="Times New Roman" w:eastAsiaTheme="minorEastAsia" w:hAnsi="Times New Roman"/>
      <w:sz w:val="24"/>
      <w:szCs w:val="24"/>
    </w:rPr>
  </w:style>
  <w:style w:type="character" w:styleId="PageNumber">
    <w:name w:val="page number"/>
    <w:rPr>
      <w:rFonts w:ascii="Arial" w:hAnsi="Arial"/>
      <w:sz w:val="18"/>
    </w:rPr>
  </w:style>
  <w:style w:type="table" w:styleId="TableGrid">
    <w:name w:val="Table Grid"/>
    <w:basedOn w:val="TableNormal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qFormat/>
    <w:pPr>
      <w:spacing w:before="240"/>
    </w:pPr>
    <w:rPr>
      <w:b/>
      <w:bCs/>
      <w:szCs w:val="20"/>
    </w:rPr>
  </w:style>
  <w:style w:type="paragraph" w:styleId="TOC2">
    <w:name w:val="toc 2"/>
    <w:basedOn w:val="Normal"/>
    <w:link w:val="TOC2Char"/>
    <w:uiPriority w:val="39"/>
    <w:qFormat/>
    <w:pPr>
      <w:spacing w:before="120" w:after="0"/>
      <w:ind w:left="220"/>
    </w:pPr>
    <w:rPr>
      <w:iCs/>
      <w:szCs w:val="20"/>
    </w:rPr>
  </w:style>
  <w:style w:type="paragraph" w:styleId="TOC3">
    <w:name w:val="toc 3"/>
    <w:basedOn w:val="Normal"/>
    <w:next w:val="Normal"/>
    <w:uiPriority w:val="39"/>
    <w:qFormat/>
    <w:pPr>
      <w:spacing w:after="0"/>
      <w:ind w:left="454"/>
    </w:pPr>
    <w:rPr>
      <w:sz w:val="20"/>
      <w:szCs w:val="20"/>
    </w:rPr>
  </w:style>
  <w:style w:type="paragraph" w:styleId="TOC4">
    <w:name w:val="toc 4"/>
    <w:basedOn w:val="Normal"/>
    <w:uiPriority w:val="39"/>
    <w:qFormat/>
    <w:pPr>
      <w:spacing w:after="0"/>
      <w:ind w:left="660"/>
    </w:pPr>
    <w:rPr>
      <w:rFonts w:asciiTheme="minorHAnsi" w:hAnsi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unhideWhenUsed/>
    <w:qFormat/>
    <w:pPr>
      <w:spacing w:after="0"/>
      <w:ind w:left="880"/>
    </w:pPr>
    <w:rPr>
      <w:rFonts w:asciiTheme="minorHAnsi" w:hAnsi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unhideWhenUsed/>
    <w:qFormat/>
    <w:pPr>
      <w:spacing w:after="0"/>
      <w:ind w:left="1100"/>
    </w:pPr>
    <w:rPr>
      <w:rFonts w:asciiTheme="minorHAnsi" w:hAnsi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unhideWhenUsed/>
    <w:qFormat/>
    <w:pPr>
      <w:spacing w:after="0"/>
      <w:ind w:left="1320"/>
    </w:pPr>
    <w:rPr>
      <w:rFonts w:asciiTheme="minorHAnsi" w:hAnsi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unhideWhenUsed/>
    <w:qFormat/>
    <w:pPr>
      <w:spacing w:after="0"/>
      <w:ind w:left="1540"/>
    </w:pPr>
    <w:rPr>
      <w:rFonts w:asciiTheme="minorHAnsi" w:hAnsi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unhideWhenUsed/>
    <w:qFormat/>
    <w:pPr>
      <w:spacing w:after="0"/>
      <w:ind w:left="1760"/>
    </w:pPr>
    <w:rPr>
      <w:rFonts w:asciiTheme="minorHAnsi" w:hAnsiTheme="minorHAnsi"/>
      <w:sz w:val="20"/>
      <w:szCs w:val="20"/>
    </w:rPr>
  </w:style>
  <w:style w:type="table" w:styleId="MediumShading2-Accent2">
    <w:name w:val="Medium Shading 2 Accent 2"/>
    <w:basedOn w:val="TableNormal"/>
    <w:uiPriority w:val="64"/>
    <w:qFormat/>
    <w:tblPr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customStyle="1" w:styleId="TableBullets">
    <w:name w:val="Table Bullets"/>
    <w:basedOn w:val="TableText"/>
    <w:qFormat/>
    <w:pPr>
      <w:numPr>
        <w:numId w:val="2"/>
      </w:numPr>
    </w:pPr>
  </w:style>
  <w:style w:type="paragraph" w:customStyle="1" w:styleId="TableText">
    <w:name w:val="Table Text"/>
    <w:basedOn w:val="Normal"/>
    <w:qFormat/>
    <w:pPr>
      <w:spacing w:before="60" w:after="60"/>
    </w:pPr>
  </w:style>
  <w:style w:type="character" w:customStyle="1" w:styleId="Heading1Char">
    <w:name w:val="Heading 1 Char"/>
    <w:basedOn w:val="DefaultParagraphFont"/>
    <w:link w:val="Heading1"/>
    <w:qFormat/>
    <w:rPr>
      <w:rFonts w:ascii="Verdana" w:hAnsi="Verdana" w:cs="Arial"/>
      <w:b/>
      <w:bCs/>
      <w:iCs/>
      <w:color w:val="C00000"/>
    </w:rPr>
  </w:style>
  <w:style w:type="paragraph" w:customStyle="1" w:styleId="TitlePage-LightBlue">
    <w:name w:val="Title Page - Light Blue"/>
    <w:basedOn w:val="Normal"/>
    <w:qFormat/>
    <w:pPr>
      <w:spacing w:before="120"/>
      <w:jc w:val="right"/>
    </w:pPr>
    <w:rPr>
      <w:rFonts w:cs="Arial"/>
      <w:b/>
      <w:caps/>
      <w:snapToGrid w:val="0"/>
      <w:color w:val="808080" w:themeColor="background1" w:themeShade="80"/>
      <w:sz w:val="36"/>
      <w:szCs w:val="28"/>
      <w:lang w:val="en-US"/>
    </w:rPr>
  </w:style>
  <w:style w:type="paragraph" w:customStyle="1" w:styleId="TitlePage-MainTitle">
    <w:name w:val="Title Page - Main Title"/>
    <w:basedOn w:val="Normal"/>
    <w:qFormat/>
    <w:pPr>
      <w:spacing w:before="120"/>
      <w:jc w:val="right"/>
    </w:pPr>
    <w:rPr>
      <w:b/>
      <w:caps/>
      <w:color w:val="C00000"/>
      <w:sz w:val="40"/>
    </w:rPr>
  </w:style>
  <w:style w:type="character" w:customStyle="1" w:styleId="BoldEmphasis">
    <w:name w:val="Bold Emphasis"/>
    <w:basedOn w:val="DefaultParagraphFont"/>
    <w:uiPriority w:val="1"/>
    <w:qFormat/>
    <w:rPr>
      <w:rFonts w:ascii="Arial" w:hAnsi="Arial"/>
      <w:b/>
      <w:sz w:val="22"/>
    </w:rPr>
  </w:style>
  <w:style w:type="paragraph" w:customStyle="1" w:styleId="Level1Bullets">
    <w:name w:val="Level1 Bullets"/>
    <w:basedOn w:val="Normal"/>
    <w:uiPriority w:val="99"/>
    <w:qFormat/>
    <w:pPr>
      <w:numPr>
        <w:numId w:val="3"/>
      </w:numPr>
      <w:spacing w:before="60" w:after="60"/>
      <w:contextualSpacing/>
    </w:pPr>
  </w:style>
  <w:style w:type="paragraph" w:customStyle="1" w:styleId="Subheading">
    <w:name w:val="Subheading"/>
    <w:basedOn w:val="Normal"/>
    <w:uiPriority w:val="99"/>
    <w:qFormat/>
    <w:pPr>
      <w:spacing w:before="60" w:after="60"/>
    </w:pPr>
    <w:rPr>
      <w:b/>
      <w:color w:val="C00000"/>
      <w:sz w:val="28"/>
    </w:rPr>
  </w:style>
  <w:style w:type="paragraph" w:customStyle="1" w:styleId="Quotation">
    <w:name w:val="Quotation"/>
    <w:basedOn w:val="Normal"/>
    <w:qFormat/>
    <w:pPr>
      <w:spacing w:before="60" w:after="60"/>
      <w:jc w:val="center"/>
    </w:pPr>
    <w:rPr>
      <w:i/>
      <w:iCs/>
      <w:color w:val="1C597E"/>
    </w:rPr>
  </w:style>
  <w:style w:type="paragraph" w:customStyle="1" w:styleId="Level2Bullets">
    <w:name w:val="Level2 Bullets"/>
    <w:basedOn w:val="Level1Bullets"/>
    <w:qFormat/>
    <w:pPr>
      <w:numPr>
        <w:numId w:val="4"/>
      </w:numPr>
    </w:pPr>
  </w:style>
  <w:style w:type="paragraph" w:customStyle="1" w:styleId="CentredGraphic">
    <w:name w:val="Centred Graphic"/>
    <w:basedOn w:val="Normal"/>
    <w:qFormat/>
    <w:pPr>
      <w:jc w:val="center"/>
    </w:pPr>
  </w:style>
  <w:style w:type="paragraph" w:customStyle="1" w:styleId="TableHeadings">
    <w:name w:val="Table Headings"/>
    <w:basedOn w:val="Normal"/>
    <w:qFormat/>
    <w:pPr>
      <w:spacing w:before="60" w:after="60"/>
    </w:pPr>
    <w:rPr>
      <w:b/>
    </w:rPr>
  </w:style>
  <w:style w:type="paragraph" w:customStyle="1" w:styleId="Level1Numbering">
    <w:name w:val="Level1 Numbering"/>
    <w:basedOn w:val="Normal"/>
    <w:qFormat/>
    <w:pPr>
      <w:numPr>
        <w:numId w:val="5"/>
      </w:numPr>
      <w:spacing w:before="60" w:after="60"/>
      <w:contextualSpacing/>
    </w:pPr>
  </w:style>
  <w:style w:type="paragraph" w:customStyle="1" w:styleId="Level2Numbering">
    <w:name w:val="Level2 Numbering"/>
    <w:basedOn w:val="Level1Numbering"/>
    <w:qFormat/>
    <w:pPr>
      <w:numPr>
        <w:ilvl w:val="1"/>
      </w:numPr>
      <w:ind w:left="1418" w:hanging="357"/>
    </w:pPr>
  </w:style>
  <w:style w:type="character" w:customStyle="1" w:styleId="BalloonTextChar">
    <w:name w:val="Balloon Text Char"/>
    <w:basedOn w:val="DefaultParagraphFont"/>
    <w:link w:val="BalloonText"/>
    <w:semiHidden/>
    <w:qFormat/>
    <w:rPr>
      <w:rFonts w:ascii="Segoe UI" w:hAnsi="Segoe UI" w:cs="Segoe UI"/>
      <w:sz w:val="18"/>
      <w:szCs w:val="18"/>
      <w:lang w:eastAsia="en-US"/>
    </w:rPr>
  </w:style>
  <w:style w:type="character" w:customStyle="1" w:styleId="TOC2Char">
    <w:name w:val="TOC 2 Char"/>
    <w:basedOn w:val="Heading1Char"/>
    <w:link w:val="TOC2"/>
    <w:uiPriority w:val="39"/>
    <w:qFormat/>
    <w:rPr>
      <w:rFonts w:ascii="Arial Black" w:hAnsi="Arial Black" w:cs="Arial"/>
      <w:b w:val="0"/>
      <w:bCs w:val="0"/>
      <w:iCs w:val="0"/>
      <w:color w:val="00324D"/>
      <w:kern w:val="28"/>
      <w:sz w:val="28"/>
      <w:szCs w:val="20"/>
    </w:rPr>
  </w:style>
  <w:style w:type="character" w:customStyle="1" w:styleId="HeaderChar">
    <w:name w:val="Header Char"/>
    <w:basedOn w:val="DefaultParagraphFont"/>
    <w:link w:val="Header"/>
    <w:qFormat/>
  </w:style>
  <w:style w:type="paragraph" w:customStyle="1" w:styleId="SectionHeading">
    <w:name w:val="Section Heading"/>
    <w:basedOn w:val="Heading1"/>
    <w:next w:val="Normal"/>
    <w:link w:val="SectionHeadingChar"/>
    <w:qFormat/>
    <w:pPr>
      <w:pageBreakBefore/>
      <w:spacing w:before="240" w:after="360"/>
    </w:pPr>
    <w:rPr>
      <w:smallCaps/>
      <w:sz w:val="36"/>
    </w:rPr>
  </w:style>
  <w:style w:type="paragraph" w:customStyle="1" w:styleId="ContentsPage">
    <w:name w:val="Contents Page"/>
    <w:basedOn w:val="TitlePage-MainTitle"/>
    <w:qFormat/>
    <w:pPr>
      <w:jc w:val="left"/>
    </w:pPr>
    <w:rPr>
      <w:bCs/>
      <w:color w:val="808080" w:themeColor="background1" w:themeShade="80"/>
      <w:sz w:val="22"/>
      <w:szCs w:val="20"/>
    </w:rPr>
  </w:style>
  <w:style w:type="character" w:customStyle="1" w:styleId="SectionHeadingChar">
    <w:name w:val="Section Heading Char"/>
    <w:basedOn w:val="DefaultParagraphFont"/>
    <w:link w:val="SectionHeading"/>
    <w:qFormat/>
    <w:rPr>
      <w:b/>
      <w:smallCaps/>
      <w:color w:val="00324D"/>
      <w:sz w:val="36"/>
    </w:rPr>
  </w:style>
  <w:style w:type="paragraph" w:customStyle="1" w:styleId="TableBullets2">
    <w:name w:val="Table Bullets 2"/>
    <w:basedOn w:val="TableBullets"/>
    <w:qFormat/>
    <w:pPr>
      <w:numPr>
        <w:numId w:val="0"/>
      </w:numPr>
      <w:tabs>
        <w:tab w:val="num" w:pos="720"/>
      </w:tabs>
      <w:ind w:left="720" w:hanging="720"/>
    </w:pPr>
  </w:style>
  <w:style w:type="character" w:customStyle="1" w:styleId="ItalicEmphasis">
    <w:name w:val="Italic Emphasis"/>
    <w:basedOn w:val="DefaultParagraphFont"/>
    <w:qFormat/>
    <w:rPr>
      <w:i/>
      <w:iCs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Pr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semiHidden/>
    <w:qFormat/>
    <w:rPr>
      <w:b/>
      <w:bCs/>
      <w:sz w:val="20"/>
      <w:szCs w:val="20"/>
    </w:rPr>
  </w:style>
  <w:style w:type="paragraph" w:styleId="ListParagraph">
    <w:name w:val="List Paragraph"/>
    <w:basedOn w:val="Normal"/>
    <w:link w:val="ListParagraphChar"/>
    <w:uiPriority w:val="34"/>
    <w:qFormat/>
    <w:pPr>
      <w:ind w:left="720"/>
      <w:contextualSpacing/>
    </w:pPr>
  </w:style>
  <w:style w:type="paragraph" w:customStyle="1" w:styleId="TitlePage-Date">
    <w:name w:val="Title Page - Date"/>
    <w:basedOn w:val="TitlePage-LightBlue"/>
    <w:uiPriority w:val="99"/>
    <w:qFormat/>
    <w:rPr>
      <w:sz w:val="32"/>
    </w:rPr>
  </w:style>
  <w:style w:type="character" w:styleId="PlaceholderText">
    <w:name w:val="Placeholder Text"/>
    <w:basedOn w:val="DefaultParagraphFont"/>
    <w:uiPriority w:val="99"/>
    <w:semiHidden/>
    <w:qFormat/>
    <w:rPr>
      <w:color w:val="808080"/>
    </w:rPr>
  </w:style>
  <w:style w:type="paragraph" w:customStyle="1" w:styleId="Copyright">
    <w:name w:val="Copyright"/>
    <w:basedOn w:val="Quotation"/>
    <w:qFormat/>
    <w:pPr>
      <w:jc w:val="left"/>
    </w:pPr>
    <w:rPr>
      <w:sz w:val="18"/>
    </w:rPr>
  </w:style>
  <w:style w:type="character" w:customStyle="1" w:styleId="BodyTextChar">
    <w:name w:val="Body Text Char"/>
    <w:basedOn w:val="DefaultParagraphFont"/>
    <w:link w:val="BodyText"/>
    <w:qFormat/>
  </w:style>
  <w:style w:type="character" w:customStyle="1" w:styleId="FootnoteTextChar">
    <w:name w:val="Footnote Text Char"/>
    <w:basedOn w:val="DefaultParagraphFont"/>
    <w:link w:val="FootnoteText"/>
    <w:uiPriority w:val="99"/>
    <w:semiHidden/>
    <w:qFormat/>
    <w:rPr>
      <w:sz w:val="20"/>
      <w:szCs w:val="20"/>
    </w:rPr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ascii="Gill Sans MT" w:eastAsia="Times" w:hAnsi="Gill Sans MT" w:cs="Gill Sans MT"/>
      <w:color w:val="000000"/>
      <w:sz w:val="24"/>
      <w:szCs w:val="24"/>
      <w:lang w:val="en-GB"/>
    </w:rPr>
  </w:style>
  <w:style w:type="character" w:customStyle="1" w:styleId="ListParagraphChar">
    <w:name w:val="List Paragraph Char"/>
    <w:link w:val="ListParagraph"/>
    <w:uiPriority w:val="34"/>
    <w:qFormat/>
    <w:locked/>
  </w:style>
  <w:style w:type="paragraph" w:styleId="NoSpacing">
    <w:name w:val="No Spacing"/>
    <w:uiPriority w:val="1"/>
    <w:qFormat/>
    <w:rPr>
      <w:rFonts w:asciiTheme="minorHAnsi" w:eastAsiaTheme="minorHAnsi" w:hAnsiTheme="minorHAnsi" w:cstheme="minorBidi"/>
      <w:lang w:val="en-GB" w:eastAsia="en-US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character" w:styleId="UnresolvedMention">
    <w:name w:val="Unresolved Mention"/>
    <w:basedOn w:val="DefaultParagraphFont"/>
    <w:uiPriority w:val="99"/>
    <w:semiHidden/>
    <w:unhideWhenUsed/>
    <w:rsid w:val="00FE0F0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sh-hub.org/wp-content/uploads/sites/3/2025/05/Guidance-on-how-to-collect-the-Movement-CVA-Counting-Cash-or-Operational-Readiness-Indicators_Russian.pdf" TargetMode="Externa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cash-hub.org/wp-content/uploads/sites/3/2025/05/1.1.d-&#1047;&#1072;&#1103;&#1074;&#1083;&#1077;&#1085;&#1080;&#1077;-&#1086;&#1073;-&#1086;&#1073;&#1097;&#1077;&#1081;-&#1082;&#1086;&#1085;&#1094;&#1077;&#1087;&#1094;&#1080;&#1080;-&#1044;&#1042;&#1055;.docx" TargetMode="Externa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nxvRiBlhLG0fzcEkl2BKRg01ckw==">CgMxLjAyCGguZ2pkZ3hzMgloLjMwajB6bGwyCWguMWZvYjl0ZTIJaC4zem55c2g3MgloLjJldDkycDAyCGgudHlqY3d0OAByITEzcGV0Z3lJdXBZZjczSENNNmtRSHV3TUlDLXhfY3AwOA==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1985</Words>
  <Characters>11318</Characters>
  <Application>Microsoft Office Word</Application>
  <DocSecurity>0</DocSecurity>
  <Lines>94</Lines>
  <Paragraphs>26</Paragraphs>
  <ScaleCrop>false</ScaleCrop>
  <Company/>
  <LinksUpToDate>false</LinksUpToDate>
  <CharactersWithSpaces>13277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Sophie Fennerty</dc:creator>
  <cp:lastModifiedBy>Aisha Yusuf</cp:lastModifiedBy>
  <cp:revision>3</cp:revision>
  <dcterms:created xsi:type="dcterms:W3CDTF">2024-11-06T02:12:00Z</dcterms:created>
  <dcterms:modified xsi:type="dcterms:W3CDTF">2025-05-21T14:33:00Z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0x010100E041CBEE5444AC4294686EA8E7761EF7</vt:lpwstr>
  </property>
  <property fmtid="{D5CDD505-2E9C-101B-9397-08002B2CF9AE}" pid="3" name="TRF Doc Type">
    <vt:lpwstr>668;#Template|9589772f-cfb6-4686-9d7d-9a5a3b13e06c</vt:lpwstr>
  </property>
  <property fmtid="{D5CDD505-2E9C-101B-9397-08002B2CF9AE}" pid="4" name="_dlc_DocIdItemGuid">
    <vt:lpwstr>45c29ba5-0e4b-4302-a563-60260752b4a2</vt:lpwstr>
  </property>
  <property fmtid="{D5CDD505-2E9C-101B-9397-08002B2CF9AE}" pid="5" name="TaxKeyword">
    <vt:lpwstr>704;#Transformation|11111111-1111-1111-1111-111111111111;#702;#Report Template|2a358e42-b31d-4bc6-8856-c068f0237958</vt:lpwstr>
  </property>
  <property fmtid="{D5CDD505-2E9C-101B-9397-08002B2CF9AE}" pid="6" name="PimsDocumentType">
    <vt:lpwstr/>
  </property>
  <property fmtid="{D5CDD505-2E9C-101B-9397-08002B2CF9AE}" pid="7" name="PimsKeywords">
    <vt:lpwstr>891;#Evaluation|2f503d17-8d21-4a7d-a1b1-67b858ef728c</vt:lpwstr>
  </property>
  <property fmtid="{D5CDD505-2E9C-101B-9397-08002B2CF9AE}" pid="8" name="pimsdontrun">
    <vt:lpwstr>yes</vt:lpwstr>
  </property>
  <property fmtid="{D5CDD505-2E9C-101B-9397-08002B2CF9AE}" pid="9" name="TaxCatchAll">
    <vt:lpwstr>891;#Evaluation|2f503d17-8d21-4a7d-a1b1-67b858ef728c</vt:lpwstr>
  </property>
  <property fmtid="{D5CDD505-2E9C-101B-9397-08002B2CF9AE}" pid="10" name="MediaServiceImageTags">
    <vt:lpwstr/>
  </property>
  <property fmtid="{D5CDD505-2E9C-101B-9397-08002B2CF9AE}" pid="11" name="ClassificationContentMarkingFooterShapeIds">
    <vt:lpwstr>1,2,3</vt:lpwstr>
  </property>
  <property fmtid="{D5CDD505-2E9C-101B-9397-08002B2CF9AE}" pid="12" name="ClassificationContentMarkingFooterFontProps">
    <vt:lpwstr>#000000,10,Calibri</vt:lpwstr>
  </property>
  <property fmtid="{D5CDD505-2E9C-101B-9397-08002B2CF9AE}" pid="13" name="ClassificationContentMarkingFooterText">
    <vt:lpwstr>Internal</vt:lpwstr>
  </property>
  <property fmtid="{D5CDD505-2E9C-101B-9397-08002B2CF9AE}" pid="14" name="MSIP_Label_6627b15a-80ec-4ef7-8353-f32e3c89bf3e_Enabled">
    <vt:lpwstr>true</vt:lpwstr>
  </property>
  <property fmtid="{D5CDD505-2E9C-101B-9397-08002B2CF9AE}" pid="15" name="MSIP_Label_6627b15a-80ec-4ef7-8353-f32e3c89bf3e_SetDate">
    <vt:lpwstr>2023-02-09T15:40:27Z</vt:lpwstr>
  </property>
  <property fmtid="{D5CDD505-2E9C-101B-9397-08002B2CF9AE}" pid="16" name="MSIP_Label_6627b15a-80ec-4ef7-8353-f32e3c89bf3e_Method">
    <vt:lpwstr>Privileged</vt:lpwstr>
  </property>
  <property fmtid="{D5CDD505-2E9C-101B-9397-08002B2CF9AE}" pid="17" name="MSIP_Label_6627b15a-80ec-4ef7-8353-f32e3c89bf3e_Name">
    <vt:lpwstr>IFRC Internal</vt:lpwstr>
  </property>
  <property fmtid="{D5CDD505-2E9C-101B-9397-08002B2CF9AE}" pid="18" name="MSIP_Label_6627b15a-80ec-4ef7-8353-f32e3c89bf3e_SiteId">
    <vt:lpwstr>a2b53be5-734e-4e6c-ab0d-d184f60fd917</vt:lpwstr>
  </property>
  <property fmtid="{D5CDD505-2E9C-101B-9397-08002B2CF9AE}" pid="19" name="MSIP_Label_6627b15a-80ec-4ef7-8353-f32e3c89bf3e_ActionId">
    <vt:lpwstr>73286a79-6394-49ab-a18c-948f097b537e</vt:lpwstr>
  </property>
  <property fmtid="{D5CDD505-2E9C-101B-9397-08002B2CF9AE}" pid="20" name="MSIP_Label_6627b15a-80ec-4ef7-8353-f32e3c89bf3e_ContentBits">
    <vt:lpwstr>2</vt:lpwstr>
  </property>
  <property fmtid="{D5CDD505-2E9C-101B-9397-08002B2CF9AE}" pid="21" name="KSOProductBuildVer">
    <vt:lpwstr>1033-12.2.0.19805</vt:lpwstr>
  </property>
  <property fmtid="{D5CDD505-2E9C-101B-9397-08002B2CF9AE}" pid="22" name="ICV">
    <vt:lpwstr>6D065E714B0A4F9E82EFF820405BF7F1_13</vt:lpwstr>
  </property>
</Properties>
</file>