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547" w:rsidRPr="00A868FB" w:rsidRDefault="004F4028" w:rsidP="00770A3F">
      <w:pPr>
        <w:pStyle w:val="H1"/>
        <w:tabs>
          <w:tab w:val="right" w:pos="9632"/>
        </w:tabs>
      </w:pPr>
      <w:r>
        <w:t>Мобильные деньги.  Контрольный список требований.</w:t>
      </w:r>
      <w:r>
        <w:tab/>
      </w:r>
    </w:p>
    <w:tbl>
      <w:tblPr>
        <w:tblW w:w="1022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4"/>
        <w:gridCol w:w="6390"/>
        <w:gridCol w:w="1420"/>
      </w:tblGrid>
      <w:tr w:rsidR="00770A3F" w:rsidRPr="00F56789" w:rsidTr="006A02A5">
        <w:trPr>
          <w:trHeight w:val="494"/>
        </w:trPr>
        <w:tc>
          <w:tcPr>
            <w:tcW w:w="2414" w:type="dxa"/>
            <w:shd w:val="clear" w:color="BFBFBF" w:themeColor="background1" w:themeShade="BF" w:fill="DC281E"/>
            <w:vAlign w:val="center"/>
          </w:tcPr>
          <w:p w:rsidR="00770A3F" w:rsidRPr="00F56789" w:rsidRDefault="00770A3F" w:rsidP="003E2145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Услуга</w:t>
            </w:r>
          </w:p>
        </w:tc>
        <w:tc>
          <w:tcPr>
            <w:tcW w:w="6390" w:type="dxa"/>
            <w:shd w:val="clear" w:color="BFBFBF" w:themeColor="background1" w:themeShade="BF" w:fill="DC281E"/>
            <w:vAlign w:val="center"/>
          </w:tcPr>
          <w:p w:rsidR="00770A3F" w:rsidRPr="00F56789" w:rsidRDefault="00770A3F" w:rsidP="003E2145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Минимальные требования</w:t>
            </w:r>
          </w:p>
        </w:tc>
        <w:tc>
          <w:tcPr>
            <w:tcW w:w="1420" w:type="dxa"/>
            <w:shd w:val="clear" w:color="BFBFBF" w:themeColor="background1" w:themeShade="BF" w:fill="DC281E"/>
          </w:tcPr>
          <w:p w:rsidR="00770A3F" w:rsidRPr="00F56789" w:rsidRDefault="006A02A5" w:rsidP="003E2145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Задание выполнено?</w:t>
            </w:r>
          </w:p>
        </w:tc>
      </w:tr>
      <w:tr w:rsidR="00770A3F" w:rsidRPr="00F56789" w:rsidTr="006A02A5">
        <w:tc>
          <w:tcPr>
            <w:tcW w:w="8804" w:type="dxa"/>
            <w:gridSpan w:val="2"/>
            <w:shd w:val="clear" w:color="auto" w:fill="A6A6A6"/>
            <w:vAlign w:val="center"/>
          </w:tcPr>
          <w:p w:rsidR="00770A3F" w:rsidRPr="00F56789" w:rsidRDefault="00770A3F" w:rsidP="00F56789">
            <w:pPr>
              <w:spacing w:before="120"/>
              <w:rPr>
                <w:rFonts w:cs="Arial"/>
              </w:rPr>
            </w:pPr>
            <w:r>
              <w:rPr>
                <w:b/>
              </w:rPr>
              <w:t>Подробная информация о платёжном продукте:</w:t>
            </w:r>
            <w:r w:rsidR="00104ED3">
              <w:rPr>
                <w:b/>
              </w:rPr>
              <w:t xml:space="preserve"> </w:t>
            </w:r>
            <w:r>
              <w:rPr>
                <w:b/>
              </w:rPr>
              <w:t>Корпоративный (плательщик)</w:t>
            </w:r>
          </w:p>
        </w:tc>
        <w:tc>
          <w:tcPr>
            <w:tcW w:w="1420" w:type="dxa"/>
            <w:shd w:val="clear" w:color="auto" w:fill="A6A6A6"/>
          </w:tcPr>
          <w:p w:rsidR="00770A3F" w:rsidRPr="00F56789" w:rsidRDefault="00770A3F" w:rsidP="00F56789">
            <w:pPr>
              <w:spacing w:before="120"/>
              <w:rPr>
                <w:rFonts w:cs="Arial"/>
                <w:b/>
              </w:rPr>
            </w:pPr>
          </w:p>
        </w:tc>
      </w:tr>
      <w:tr w:rsidR="00770A3F" w:rsidRPr="00F56789" w:rsidTr="006A02A5">
        <w:tc>
          <w:tcPr>
            <w:tcW w:w="2414" w:type="dxa"/>
            <w:shd w:val="clear" w:color="auto" w:fill="E6E6E6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>
              <w:rPr>
                <w:b/>
              </w:rPr>
              <w:t>Возможности отслеживания транзакций</w:t>
            </w:r>
          </w:p>
        </w:tc>
        <w:tc>
          <w:tcPr>
            <w:tcW w:w="6390" w:type="dxa"/>
            <w:shd w:val="clear" w:color="auto" w:fill="F3F3F3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>
              <w:t>Подробная информация о том, как транзакции проверяются перед платежом, и как информация предоставляется плательщику [организации] после совершения платежей</w:t>
            </w:r>
            <w:r>
              <w:br/>
              <w:t>Простой отчёт о транзакции</w:t>
            </w:r>
          </w:p>
        </w:tc>
        <w:tc>
          <w:tcPr>
            <w:tcW w:w="1420" w:type="dxa"/>
            <w:shd w:val="clear" w:color="auto" w:fill="F3F3F3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:rsidTr="006A02A5">
        <w:tc>
          <w:tcPr>
            <w:tcW w:w="2414" w:type="dxa"/>
            <w:shd w:val="clear" w:color="auto" w:fill="E6E6E6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>
              <w:rPr>
                <w:b/>
              </w:rPr>
              <w:t>Регистрация и требования к осведомлённости о клиенте (корпоративный счёт)</w:t>
            </w:r>
          </w:p>
        </w:tc>
        <w:tc>
          <w:tcPr>
            <w:tcW w:w="6390" w:type="dxa"/>
            <w:shd w:val="clear" w:color="auto" w:fill="F3F3F3"/>
            <w:vAlign w:val="center"/>
          </w:tcPr>
          <w:p w:rsidR="00770A3F" w:rsidRPr="00F56789" w:rsidRDefault="00770A3F" w:rsidP="00104ED3">
            <w:pPr>
              <w:spacing w:before="120"/>
              <w:jc w:val="left"/>
              <w:rPr>
                <w:rFonts w:cs="Arial"/>
              </w:rPr>
            </w:pPr>
            <w:r>
              <w:t>Список требований к [организаци</w:t>
            </w:r>
            <w:r w:rsidR="00104ED3">
              <w:t>и</w:t>
            </w:r>
            <w:r>
              <w:t>] для активации счёта с услугой</w:t>
            </w:r>
          </w:p>
        </w:tc>
        <w:tc>
          <w:tcPr>
            <w:tcW w:w="1420" w:type="dxa"/>
            <w:shd w:val="clear" w:color="auto" w:fill="F3F3F3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:rsidTr="006A02A5">
        <w:tc>
          <w:tcPr>
            <w:tcW w:w="2414" w:type="dxa"/>
            <w:shd w:val="clear" w:color="auto" w:fill="E6E6E6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>
              <w:rPr>
                <w:b/>
              </w:rPr>
              <w:t>Полное описание платёжной операции (процесс оплаты)</w:t>
            </w:r>
          </w:p>
        </w:tc>
        <w:tc>
          <w:tcPr>
            <w:tcW w:w="6390" w:type="dxa"/>
            <w:shd w:val="clear" w:color="auto" w:fill="F3F3F3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>
              <w:t>Диаграмма процесса платёжной операции, включая снимки экрана.</w:t>
            </w:r>
          </w:p>
        </w:tc>
        <w:tc>
          <w:tcPr>
            <w:tcW w:w="1420" w:type="dxa"/>
            <w:shd w:val="clear" w:color="auto" w:fill="F3F3F3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:rsidTr="006A02A5">
        <w:tc>
          <w:tcPr>
            <w:tcW w:w="2414" w:type="dxa"/>
            <w:shd w:val="clear" w:color="auto" w:fill="E6E6E6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>
              <w:rPr>
                <w:b/>
              </w:rPr>
              <w:t>Ограничения на баланс счёта и объём транзакции (корпоративный счёт)</w:t>
            </w:r>
          </w:p>
        </w:tc>
        <w:tc>
          <w:tcPr>
            <w:tcW w:w="6390" w:type="dxa"/>
            <w:shd w:val="clear" w:color="auto" w:fill="F3F3F3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>
              <w:t xml:space="preserve">Детали ограничений по транзакциям, включая лимиты </w:t>
            </w:r>
            <w:r>
              <w:rPr>
                <w:b/>
                <w:i/>
              </w:rPr>
              <w:t>суммы</w:t>
            </w:r>
            <w:r>
              <w:t xml:space="preserve"> платежей, которые [организация] может отправить одному получателю в течение одного дня, и лимиты на </w:t>
            </w:r>
            <w:r>
              <w:rPr>
                <w:b/>
                <w:i/>
              </w:rPr>
              <w:t>объём</w:t>
            </w:r>
            <w:r>
              <w:t xml:space="preserve"> транзакций, которые [организация] может отправить за один день.</w:t>
            </w:r>
          </w:p>
        </w:tc>
        <w:tc>
          <w:tcPr>
            <w:tcW w:w="1420" w:type="dxa"/>
            <w:shd w:val="clear" w:color="auto" w:fill="F3F3F3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:rsidTr="006A02A5">
        <w:tc>
          <w:tcPr>
            <w:tcW w:w="2414" w:type="dxa"/>
            <w:shd w:val="clear" w:color="auto" w:fill="E6E6E6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>
              <w:rPr>
                <w:b/>
              </w:rPr>
              <w:t>Авторизация пользователей</w:t>
            </w:r>
          </w:p>
        </w:tc>
        <w:tc>
          <w:tcPr>
            <w:tcW w:w="6390" w:type="dxa"/>
            <w:shd w:val="clear" w:color="auto" w:fill="F3F3F3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>
              <w:t>Возможность назначать разные полномочия пользователям в рамках системы (т.е. создатель, проверяющий, обработчик)</w:t>
            </w:r>
          </w:p>
        </w:tc>
        <w:tc>
          <w:tcPr>
            <w:tcW w:w="1420" w:type="dxa"/>
            <w:shd w:val="clear" w:color="auto" w:fill="F3F3F3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:rsidTr="006A02A5">
        <w:trPr>
          <w:trHeight w:val="718"/>
        </w:trPr>
        <w:tc>
          <w:tcPr>
            <w:tcW w:w="2414" w:type="dxa"/>
            <w:shd w:val="clear" w:color="auto" w:fill="E6E6E6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>
              <w:rPr>
                <w:b/>
              </w:rPr>
              <w:t>Брошюра, каталог и буклет</w:t>
            </w:r>
          </w:p>
        </w:tc>
        <w:tc>
          <w:tcPr>
            <w:tcW w:w="6390" w:type="dxa"/>
            <w:shd w:val="clear" w:color="auto" w:fill="F3F3F3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>
              <w:t>Приложенные брошюры, каталоги и буклеты, иллюстрирующие функции услуги</w:t>
            </w:r>
          </w:p>
        </w:tc>
        <w:tc>
          <w:tcPr>
            <w:tcW w:w="1420" w:type="dxa"/>
            <w:shd w:val="clear" w:color="auto" w:fill="F3F3F3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:rsidTr="006A02A5">
        <w:tc>
          <w:tcPr>
            <w:tcW w:w="2414" w:type="dxa"/>
            <w:shd w:val="clear" w:color="auto" w:fill="E6E6E6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>
              <w:rPr>
                <w:b/>
              </w:rPr>
              <w:t>Совместимость</w:t>
            </w:r>
          </w:p>
        </w:tc>
        <w:tc>
          <w:tcPr>
            <w:tcW w:w="6390" w:type="dxa"/>
            <w:shd w:val="clear" w:color="auto" w:fill="F3F3F3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>
              <w:t>Совместимость платформы с другими платёжными платформами</w:t>
            </w:r>
          </w:p>
        </w:tc>
        <w:tc>
          <w:tcPr>
            <w:tcW w:w="1420" w:type="dxa"/>
            <w:shd w:val="clear" w:color="auto" w:fill="F3F3F3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:rsidTr="006A02A5">
        <w:tc>
          <w:tcPr>
            <w:tcW w:w="2414" w:type="dxa"/>
            <w:shd w:val="clear" w:color="auto" w:fill="E6E6E6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>
              <w:rPr>
                <w:b/>
              </w:rPr>
              <w:t>Ценообразование</w:t>
            </w:r>
          </w:p>
        </w:tc>
        <w:tc>
          <w:tcPr>
            <w:tcW w:w="6390" w:type="dxa"/>
            <w:shd w:val="clear" w:color="auto" w:fill="F3F3F3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>
              <w:t>Подробная ценовая матрица для транзакций</w:t>
            </w:r>
          </w:p>
        </w:tc>
        <w:tc>
          <w:tcPr>
            <w:tcW w:w="1420" w:type="dxa"/>
            <w:shd w:val="clear" w:color="auto" w:fill="F3F3F3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:rsidTr="006A02A5">
        <w:tc>
          <w:tcPr>
            <w:tcW w:w="2414" w:type="dxa"/>
            <w:tcBorders>
              <w:bottom w:val="single" w:sz="4" w:space="0" w:color="000000"/>
            </w:tcBorders>
            <w:shd w:val="clear" w:color="auto" w:fill="E6E6E6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>
              <w:rPr>
                <w:b/>
              </w:rPr>
              <w:t>Хранение данных</w:t>
            </w:r>
          </w:p>
        </w:tc>
        <w:tc>
          <w:tcPr>
            <w:tcW w:w="6390" w:type="dxa"/>
            <w:tcBorders>
              <w:bottom w:val="single" w:sz="4" w:space="0" w:color="000000"/>
            </w:tcBorders>
            <w:shd w:val="clear" w:color="auto" w:fill="F3F3F3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>
              <w:t>Возможность хранить данные получателей в платёжной платформе, чтобы избежать необходимости загружать имена при каждом совершении платежа</w:t>
            </w:r>
          </w:p>
        </w:tc>
        <w:tc>
          <w:tcPr>
            <w:tcW w:w="1420" w:type="dxa"/>
            <w:tcBorders>
              <w:bottom w:val="single" w:sz="4" w:space="0" w:color="000000"/>
            </w:tcBorders>
            <w:shd w:val="clear" w:color="auto" w:fill="F3F3F3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:rsidTr="006A02A5">
        <w:tc>
          <w:tcPr>
            <w:tcW w:w="8804" w:type="dxa"/>
            <w:gridSpan w:val="2"/>
            <w:shd w:val="clear" w:color="auto" w:fill="A6A6A6"/>
            <w:vAlign w:val="center"/>
          </w:tcPr>
          <w:p w:rsidR="00770A3F" w:rsidRPr="00F56789" w:rsidRDefault="00770A3F" w:rsidP="00F56789">
            <w:pPr>
              <w:spacing w:before="120"/>
              <w:rPr>
                <w:rFonts w:cs="Arial"/>
                <w:b/>
              </w:rPr>
            </w:pPr>
            <w:r>
              <w:rPr>
                <w:b/>
              </w:rPr>
              <w:t>Подробная информация о платёжном продукте:</w:t>
            </w:r>
            <w:r w:rsidR="00104ED3">
              <w:rPr>
                <w:b/>
              </w:rPr>
              <w:t xml:space="preserve"> </w:t>
            </w:r>
            <w:r>
              <w:rPr>
                <w:b/>
              </w:rPr>
              <w:t>Конечный пользователь (получатель платежа)</w:t>
            </w:r>
          </w:p>
        </w:tc>
        <w:tc>
          <w:tcPr>
            <w:tcW w:w="1420" w:type="dxa"/>
            <w:shd w:val="clear" w:color="auto" w:fill="A6A6A6"/>
          </w:tcPr>
          <w:p w:rsidR="00770A3F" w:rsidRPr="00F56789" w:rsidRDefault="00770A3F" w:rsidP="00F56789">
            <w:pPr>
              <w:spacing w:before="120"/>
              <w:rPr>
                <w:rFonts w:cs="Arial"/>
                <w:b/>
              </w:rPr>
            </w:pPr>
          </w:p>
        </w:tc>
      </w:tr>
      <w:tr w:rsidR="00770A3F" w:rsidRPr="00F56789" w:rsidTr="006A02A5">
        <w:tc>
          <w:tcPr>
            <w:tcW w:w="2414" w:type="dxa"/>
            <w:shd w:val="clear" w:color="auto" w:fill="E6E6E6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>
              <w:rPr>
                <w:b/>
              </w:rPr>
              <w:t>Получение средств</w:t>
            </w:r>
          </w:p>
        </w:tc>
        <w:tc>
          <w:tcPr>
            <w:tcW w:w="6390" w:type="dxa"/>
            <w:shd w:val="clear" w:color="auto" w:fill="F3F3F3"/>
            <w:vAlign w:val="center"/>
          </w:tcPr>
          <w:p w:rsidR="00770A3F" w:rsidRPr="00F56789" w:rsidRDefault="00770A3F" w:rsidP="00104ED3">
            <w:pPr>
              <w:spacing w:before="120"/>
              <w:jc w:val="left"/>
              <w:rPr>
                <w:rFonts w:cs="Arial"/>
              </w:rPr>
            </w:pPr>
            <w:r>
              <w:t>Уведомление получателя о транзакции (например, sms-сообщени</w:t>
            </w:r>
            <w:r w:rsidR="00104ED3">
              <w:t>е</w:t>
            </w:r>
            <w:r>
              <w:t>)</w:t>
            </w:r>
          </w:p>
        </w:tc>
        <w:tc>
          <w:tcPr>
            <w:tcW w:w="1420" w:type="dxa"/>
            <w:shd w:val="clear" w:color="auto" w:fill="F3F3F3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:rsidTr="006A02A5">
        <w:tc>
          <w:tcPr>
            <w:tcW w:w="2414" w:type="dxa"/>
            <w:shd w:val="clear" w:color="auto" w:fill="E6E6E6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>
              <w:rPr>
                <w:b/>
              </w:rPr>
              <w:t xml:space="preserve">Регистрация и требования к осведомлённости о клиенте (счёт конечного </w:t>
            </w:r>
            <w:r>
              <w:rPr>
                <w:b/>
              </w:rPr>
              <w:lastRenderedPageBreak/>
              <w:t>пользователя)</w:t>
            </w:r>
          </w:p>
        </w:tc>
        <w:tc>
          <w:tcPr>
            <w:tcW w:w="6390" w:type="dxa"/>
            <w:shd w:val="clear" w:color="auto" w:fill="F3F3F3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>
              <w:lastRenderedPageBreak/>
              <w:t>Список требований к получателям для активации счёта у поставщика услуг; описание возможности обрабатывать платежи или отменять регистрацию не-владельцев счетов</w:t>
            </w:r>
          </w:p>
        </w:tc>
        <w:tc>
          <w:tcPr>
            <w:tcW w:w="1420" w:type="dxa"/>
            <w:shd w:val="clear" w:color="auto" w:fill="F3F3F3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:rsidTr="006A02A5">
        <w:tc>
          <w:tcPr>
            <w:tcW w:w="2414" w:type="dxa"/>
            <w:tcBorders>
              <w:bottom w:val="single" w:sz="4" w:space="0" w:color="000000"/>
            </w:tcBorders>
            <w:shd w:val="clear" w:color="auto" w:fill="E6E6E6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>
              <w:rPr>
                <w:b/>
              </w:rPr>
              <w:t>Ограничения на баланс счёта и объём транзакции (счёт конечного пользователя)</w:t>
            </w:r>
          </w:p>
        </w:tc>
        <w:tc>
          <w:tcPr>
            <w:tcW w:w="6390" w:type="dxa"/>
            <w:tcBorders>
              <w:bottom w:val="single" w:sz="4" w:space="0" w:color="000000"/>
            </w:tcBorders>
            <w:shd w:val="clear" w:color="auto" w:fill="F3F3F3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>
              <w:t>Детальная информация о минимальной/максимальной сумме денег, которую конечный пользователь может иметь на счете, а также число транзакций, которые можно получить в течение одного дня</w:t>
            </w:r>
          </w:p>
        </w:tc>
        <w:tc>
          <w:tcPr>
            <w:tcW w:w="1420" w:type="dxa"/>
            <w:tcBorders>
              <w:bottom w:val="single" w:sz="4" w:space="0" w:color="000000"/>
            </w:tcBorders>
            <w:shd w:val="clear" w:color="auto" w:fill="F3F3F3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:rsidTr="006A02A5">
        <w:tc>
          <w:tcPr>
            <w:tcW w:w="8804" w:type="dxa"/>
            <w:gridSpan w:val="2"/>
            <w:shd w:val="clear" w:color="auto" w:fill="A6A6A6"/>
            <w:vAlign w:val="center"/>
          </w:tcPr>
          <w:p w:rsidR="00770A3F" w:rsidRPr="00F56789" w:rsidRDefault="00770A3F" w:rsidP="00F56789">
            <w:pPr>
              <w:spacing w:before="120"/>
              <w:rPr>
                <w:rFonts w:cs="Arial"/>
              </w:rPr>
            </w:pPr>
            <w:r>
              <w:rPr>
                <w:b/>
              </w:rPr>
              <w:t>Раздача</w:t>
            </w:r>
          </w:p>
        </w:tc>
        <w:tc>
          <w:tcPr>
            <w:tcW w:w="1420" w:type="dxa"/>
            <w:shd w:val="clear" w:color="auto" w:fill="A6A6A6"/>
          </w:tcPr>
          <w:p w:rsidR="00770A3F" w:rsidRPr="00F56789" w:rsidRDefault="00770A3F" w:rsidP="00F56789">
            <w:pPr>
              <w:spacing w:before="120"/>
              <w:rPr>
                <w:rFonts w:cs="Arial"/>
                <w:b/>
              </w:rPr>
            </w:pPr>
          </w:p>
        </w:tc>
      </w:tr>
      <w:tr w:rsidR="00770A3F" w:rsidRPr="00F56789" w:rsidTr="006A02A5">
        <w:tc>
          <w:tcPr>
            <w:tcW w:w="2414" w:type="dxa"/>
            <w:shd w:val="clear" w:color="auto" w:fill="E6E6E6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>
              <w:rPr>
                <w:b/>
              </w:rPr>
              <w:t>Зона покрытия и сеть для осуществления раздачи</w:t>
            </w:r>
          </w:p>
        </w:tc>
        <w:tc>
          <w:tcPr>
            <w:tcW w:w="6390" w:type="dxa"/>
            <w:shd w:val="clear" w:color="auto" w:fill="F3F3F3"/>
            <w:vAlign w:val="center"/>
          </w:tcPr>
          <w:p w:rsidR="00770A3F" w:rsidRPr="00F56789" w:rsidRDefault="00770A3F" w:rsidP="00104ED3">
            <w:pPr>
              <w:spacing w:before="120"/>
              <w:jc w:val="left"/>
              <w:rPr>
                <w:rFonts w:cs="Arial"/>
              </w:rPr>
            </w:pPr>
            <w:r>
              <w:t>Карта географических областей, где предоставляется услуга в [стран</w:t>
            </w:r>
            <w:r w:rsidR="00104ED3">
              <w:t>е</w:t>
            </w:r>
            <w:r>
              <w:t>].</w:t>
            </w:r>
            <w:r w:rsidR="00104ED3">
              <w:t xml:space="preserve"> </w:t>
            </w:r>
            <w:r>
              <w:t>Список всех пунктов снятия и внесения наличных (агенты)</w:t>
            </w:r>
          </w:p>
        </w:tc>
        <w:tc>
          <w:tcPr>
            <w:tcW w:w="1420" w:type="dxa"/>
            <w:shd w:val="clear" w:color="auto" w:fill="F3F3F3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:rsidTr="006A02A5">
        <w:tc>
          <w:tcPr>
            <w:tcW w:w="2414" w:type="dxa"/>
            <w:tcBorders>
              <w:bottom w:val="single" w:sz="4" w:space="0" w:color="000000"/>
            </w:tcBorders>
            <w:shd w:val="clear" w:color="auto" w:fill="E6E6E6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>
              <w:rPr>
                <w:b/>
              </w:rPr>
              <w:t>Контроль уровня наличных в пунктах снятия и внесения наличных</w:t>
            </w:r>
          </w:p>
        </w:tc>
        <w:tc>
          <w:tcPr>
            <w:tcW w:w="6390" w:type="dxa"/>
            <w:tcBorders>
              <w:bottom w:val="single" w:sz="4" w:space="0" w:color="000000"/>
            </w:tcBorders>
            <w:shd w:val="clear" w:color="auto" w:fill="F3F3F3"/>
            <w:vAlign w:val="center"/>
          </w:tcPr>
          <w:p w:rsidR="00770A3F" w:rsidRPr="00F56789" w:rsidRDefault="00104ED3" w:rsidP="00104ED3">
            <w:pPr>
              <w:spacing w:before="120"/>
              <w:jc w:val="left"/>
              <w:rPr>
                <w:rFonts w:cs="Arial"/>
              </w:rPr>
            </w:pPr>
            <w:r>
              <w:t>Подробная информация о работе с</w:t>
            </w:r>
            <w:r w:rsidR="00770A3F">
              <w:t xml:space="preserve"> наличными средствами в пунктах снятия и внесения наличных (агенты)</w:t>
            </w:r>
          </w:p>
        </w:tc>
        <w:tc>
          <w:tcPr>
            <w:tcW w:w="1420" w:type="dxa"/>
            <w:tcBorders>
              <w:bottom w:val="single" w:sz="4" w:space="0" w:color="000000"/>
            </w:tcBorders>
            <w:shd w:val="clear" w:color="auto" w:fill="F3F3F3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:rsidTr="006A02A5">
        <w:tc>
          <w:tcPr>
            <w:tcW w:w="8804" w:type="dxa"/>
            <w:gridSpan w:val="2"/>
            <w:shd w:val="clear" w:color="auto" w:fill="A6A6A6"/>
            <w:vAlign w:val="center"/>
          </w:tcPr>
          <w:p w:rsidR="00770A3F" w:rsidRPr="00F56789" w:rsidRDefault="00770A3F" w:rsidP="00F56789">
            <w:pPr>
              <w:keepNext/>
              <w:spacing w:before="120"/>
              <w:rPr>
                <w:rFonts w:cs="Arial"/>
              </w:rPr>
            </w:pPr>
            <w:r>
              <w:rPr>
                <w:b/>
              </w:rPr>
              <w:t>Обслуживание клиентов/обучение:</w:t>
            </w:r>
            <w:r w:rsidR="00104ED3">
              <w:rPr>
                <w:b/>
              </w:rPr>
              <w:t xml:space="preserve"> </w:t>
            </w:r>
            <w:r>
              <w:rPr>
                <w:b/>
              </w:rPr>
              <w:t>Корпоративный (плательщик)</w:t>
            </w:r>
          </w:p>
        </w:tc>
        <w:tc>
          <w:tcPr>
            <w:tcW w:w="1420" w:type="dxa"/>
            <w:shd w:val="clear" w:color="auto" w:fill="A6A6A6"/>
          </w:tcPr>
          <w:p w:rsidR="00770A3F" w:rsidRPr="00F56789" w:rsidRDefault="00770A3F" w:rsidP="00F56789">
            <w:pPr>
              <w:keepNext/>
              <w:spacing w:before="120"/>
              <w:rPr>
                <w:rFonts w:cs="Arial"/>
                <w:b/>
              </w:rPr>
            </w:pPr>
          </w:p>
        </w:tc>
      </w:tr>
      <w:tr w:rsidR="00770A3F" w:rsidRPr="00F56789" w:rsidTr="006A02A5">
        <w:tc>
          <w:tcPr>
            <w:tcW w:w="2414" w:type="dxa"/>
            <w:shd w:val="clear" w:color="auto" w:fill="E6E6E6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>
              <w:rPr>
                <w:b/>
              </w:rPr>
              <w:t>Обучение сотрудников</w:t>
            </w:r>
          </w:p>
        </w:tc>
        <w:tc>
          <w:tcPr>
            <w:tcW w:w="6390" w:type="dxa"/>
            <w:shd w:val="clear" w:color="auto" w:fill="F3F3F3"/>
            <w:vAlign w:val="center"/>
          </w:tcPr>
          <w:p w:rsidR="00770A3F" w:rsidRPr="00F56789" w:rsidRDefault="00770A3F" w:rsidP="00104ED3">
            <w:pPr>
              <w:spacing w:before="120"/>
              <w:jc w:val="left"/>
              <w:rPr>
                <w:rFonts w:cs="Arial"/>
              </w:rPr>
            </w:pPr>
            <w:r>
              <w:t>Подробная информация об обучении работе с системой, проведённого для сотрудников [организаци</w:t>
            </w:r>
            <w:r w:rsidR="00104ED3">
              <w:t>и</w:t>
            </w:r>
            <w:r>
              <w:t>]</w:t>
            </w:r>
          </w:p>
        </w:tc>
        <w:tc>
          <w:tcPr>
            <w:tcW w:w="1420" w:type="dxa"/>
            <w:shd w:val="clear" w:color="auto" w:fill="F3F3F3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:rsidTr="006A02A5">
        <w:tc>
          <w:tcPr>
            <w:tcW w:w="2414" w:type="dxa"/>
            <w:shd w:val="clear" w:color="auto" w:fill="E6E6E6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>
              <w:rPr>
                <w:b/>
              </w:rPr>
              <w:t>Договоры оказания технической поддержки/услуг</w:t>
            </w:r>
          </w:p>
        </w:tc>
        <w:tc>
          <w:tcPr>
            <w:tcW w:w="6390" w:type="dxa"/>
            <w:shd w:val="clear" w:color="auto" w:fill="F3F3F3"/>
            <w:vAlign w:val="center"/>
          </w:tcPr>
          <w:p w:rsidR="00770A3F" w:rsidRPr="00F56789" w:rsidRDefault="00770A3F" w:rsidP="00104ED3">
            <w:pPr>
              <w:spacing w:before="120"/>
              <w:jc w:val="left"/>
              <w:rPr>
                <w:rFonts w:cs="Arial"/>
              </w:rPr>
            </w:pPr>
            <w:r>
              <w:t xml:space="preserve">Подробная информация о наличии у поставщика услуг службы поддержки, </w:t>
            </w:r>
            <w:r w:rsidR="00104ED3">
              <w:t>системах мониторинга</w:t>
            </w:r>
            <w:r>
              <w:t>, измерени</w:t>
            </w:r>
            <w:r w:rsidR="00104ED3">
              <w:t>я и отчётов</w:t>
            </w:r>
            <w:r>
              <w:t xml:space="preserve"> служб технической поддержки.</w:t>
            </w:r>
          </w:p>
        </w:tc>
        <w:tc>
          <w:tcPr>
            <w:tcW w:w="1420" w:type="dxa"/>
            <w:shd w:val="clear" w:color="auto" w:fill="F3F3F3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:rsidTr="006A02A5">
        <w:tc>
          <w:tcPr>
            <w:tcW w:w="2414" w:type="dxa"/>
            <w:tcBorders>
              <w:bottom w:val="single" w:sz="4" w:space="0" w:color="000000"/>
            </w:tcBorders>
            <w:shd w:val="clear" w:color="auto" w:fill="E6E6E6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>
              <w:rPr>
                <w:b/>
              </w:rPr>
              <w:t>Решение проблем, возникающих при совершении операций</w:t>
            </w:r>
          </w:p>
        </w:tc>
        <w:tc>
          <w:tcPr>
            <w:tcW w:w="6390" w:type="dxa"/>
            <w:tcBorders>
              <w:bottom w:val="single" w:sz="4" w:space="0" w:color="000000"/>
            </w:tcBorders>
            <w:shd w:val="clear" w:color="auto" w:fill="F3F3F3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>
              <w:t>Подробная информация о процессе разрешения споров и процессе возврата неполученных или полученных получателем средств, а также другие сценарии решения проблем</w:t>
            </w:r>
          </w:p>
        </w:tc>
        <w:tc>
          <w:tcPr>
            <w:tcW w:w="1420" w:type="dxa"/>
            <w:tcBorders>
              <w:bottom w:val="single" w:sz="4" w:space="0" w:color="000000"/>
            </w:tcBorders>
            <w:shd w:val="clear" w:color="auto" w:fill="F3F3F3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:rsidTr="006A02A5">
        <w:tc>
          <w:tcPr>
            <w:tcW w:w="8804" w:type="dxa"/>
            <w:gridSpan w:val="2"/>
            <w:shd w:val="clear" w:color="auto" w:fill="A6A6A6"/>
            <w:vAlign w:val="center"/>
          </w:tcPr>
          <w:p w:rsidR="00770A3F" w:rsidRPr="00F56789" w:rsidRDefault="00770A3F" w:rsidP="00F56789">
            <w:pPr>
              <w:spacing w:before="120"/>
              <w:rPr>
                <w:rFonts w:cs="Arial"/>
              </w:rPr>
            </w:pPr>
            <w:r>
              <w:rPr>
                <w:b/>
              </w:rPr>
              <w:t>Обслуживание клиентов/обучение:</w:t>
            </w:r>
            <w:r w:rsidR="00104ED3">
              <w:rPr>
                <w:b/>
              </w:rPr>
              <w:t xml:space="preserve"> </w:t>
            </w:r>
            <w:r>
              <w:rPr>
                <w:b/>
              </w:rPr>
              <w:t>Конечный пользователь (получатель платежа)</w:t>
            </w:r>
          </w:p>
        </w:tc>
        <w:tc>
          <w:tcPr>
            <w:tcW w:w="1420" w:type="dxa"/>
            <w:shd w:val="clear" w:color="auto" w:fill="A6A6A6"/>
          </w:tcPr>
          <w:p w:rsidR="00770A3F" w:rsidRPr="00F56789" w:rsidRDefault="00770A3F" w:rsidP="00F56789">
            <w:pPr>
              <w:spacing w:before="120"/>
              <w:rPr>
                <w:rFonts w:cs="Arial"/>
                <w:b/>
              </w:rPr>
            </w:pPr>
          </w:p>
        </w:tc>
      </w:tr>
      <w:tr w:rsidR="00770A3F" w:rsidRPr="00F56789" w:rsidTr="006A02A5">
        <w:tc>
          <w:tcPr>
            <w:tcW w:w="2414" w:type="dxa"/>
            <w:shd w:val="clear" w:color="auto" w:fill="E6E6E6"/>
            <w:vAlign w:val="center"/>
          </w:tcPr>
          <w:p w:rsidR="00770A3F" w:rsidRPr="00F56789" w:rsidRDefault="00770A3F" w:rsidP="004D5767">
            <w:pPr>
              <w:keepNext/>
              <w:spacing w:before="40" w:after="40"/>
              <w:jc w:val="left"/>
              <w:rPr>
                <w:rFonts w:cs="Arial"/>
                <w:b/>
              </w:rPr>
            </w:pPr>
            <w:r>
              <w:rPr>
                <w:b/>
              </w:rPr>
              <w:t>Обучение конечных пользователей (получателей)</w:t>
            </w:r>
          </w:p>
        </w:tc>
        <w:tc>
          <w:tcPr>
            <w:tcW w:w="6390" w:type="dxa"/>
            <w:shd w:val="clear" w:color="auto" w:fill="F3F3F3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>
              <w:t>Подробная информация об обучении, проведённом (если оно было проведено) для конечных пользователей (получателей платежа).</w:t>
            </w:r>
          </w:p>
        </w:tc>
        <w:tc>
          <w:tcPr>
            <w:tcW w:w="1420" w:type="dxa"/>
            <w:shd w:val="clear" w:color="auto" w:fill="F3F3F3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:rsidTr="006A02A5">
        <w:tc>
          <w:tcPr>
            <w:tcW w:w="2414" w:type="dxa"/>
            <w:shd w:val="clear" w:color="auto" w:fill="E6E6E6"/>
            <w:vAlign w:val="center"/>
          </w:tcPr>
          <w:p w:rsidR="00770A3F" w:rsidRPr="00F56789" w:rsidRDefault="00770A3F" w:rsidP="004D5767">
            <w:pPr>
              <w:keepNext/>
              <w:spacing w:before="40" w:after="40"/>
              <w:jc w:val="left"/>
              <w:rPr>
                <w:rFonts w:cs="Arial"/>
                <w:b/>
              </w:rPr>
            </w:pPr>
            <w:r>
              <w:rPr>
                <w:b/>
              </w:rPr>
              <w:t>Техническая поддержка</w:t>
            </w:r>
          </w:p>
        </w:tc>
        <w:tc>
          <w:tcPr>
            <w:tcW w:w="6390" w:type="dxa"/>
            <w:shd w:val="clear" w:color="auto" w:fill="F3F3F3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>
              <w:t>Подробная информация о системах обслуживания клиентов и поддержки, их наличии и стандартах</w:t>
            </w:r>
          </w:p>
        </w:tc>
        <w:tc>
          <w:tcPr>
            <w:tcW w:w="1420" w:type="dxa"/>
            <w:shd w:val="clear" w:color="auto" w:fill="F3F3F3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:rsidTr="006A02A5">
        <w:tc>
          <w:tcPr>
            <w:tcW w:w="2414" w:type="dxa"/>
            <w:tcBorders>
              <w:bottom w:val="single" w:sz="4" w:space="0" w:color="000000"/>
            </w:tcBorders>
            <w:shd w:val="clear" w:color="auto" w:fill="E6E6E6"/>
            <w:vAlign w:val="center"/>
          </w:tcPr>
          <w:p w:rsidR="00770A3F" w:rsidRPr="00F56789" w:rsidRDefault="00770A3F" w:rsidP="004D5767">
            <w:pPr>
              <w:spacing w:before="40" w:after="40"/>
              <w:jc w:val="left"/>
              <w:rPr>
                <w:rFonts w:cs="Arial"/>
                <w:b/>
              </w:rPr>
            </w:pPr>
            <w:r>
              <w:rPr>
                <w:b/>
              </w:rPr>
              <w:t>Решение проблем получателей платежей</w:t>
            </w:r>
          </w:p>
        </w:tc>
        <w:tc>
          <w:tcPr>
            <w:tcW w:w="6390" w:type="dxa"/>
            <w:tcBorders>
              <w:bottom w:val="single" w:sz="4" w:space="0" w:color="000000"/>
            </w:tcBorders>
            <w:shd w:val="clear" w:color="auto" w:fill="F3F3F3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>
              <w:t>Подробная информация о том, кто отвечает за решение проблем с транзакциями, с которыми сталкиваются получатели платежей.</w:t>
            </w:r>
          </w:p>
        </w:tc>
        <w:tc>
          <w:tcPr>
            <w:tcW w:w="1420" w:type="dxa"/>
            <w:tcBorders>
              <w:bottom w:val="single" w:sz="4" w:space="0" w:color="000000"/>
            </w:tcBorders>
            <w:shd w:val="clear" w:color="auto" w:fill="F3F3F3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:rsidTr="006A02A5">
        <w:tc>
          <w:tcPr>
            <w:tcW w:w="8804" w:type="dxa"/>
            <w:gridSpan w:val="2"/>
            <w:shd w:val="clear" w:color="auto" w:fill="A6A6A6"/>
            <w:vAlign w:val="center"/>
          </w:tcPr>
          <w:p w:rsidR="00770A3F" w:rsidRPr="00F56789" w:rsidRDefault="00770A3F" w:rsidP="00F56789">
            <w:pPr>
              <w:spacing w:before="120"/>
              <w:rPr>
                <w:rFonts w:cs="Arial"/>
              </w:rPr>
            </w:pPr>
            <w:r>
              <w:rPr>
                <w:b/>
              </w:rPr>
              <w:t>Конфиденциальность данных</w:t>
            </w:r>
            <w:r w:rsidR="00104ED3">
              <w:rPr>
                <w:b/>
              </w:rPr>
              <w:t xml:space="preserve"> </w:t>
            </w:r>
            <w:r>
              <w:rPr>
                <w:b/>
              </w:rPr>
              <w:t>/</w:t>
            </w:r>
            <w:r w:rsidR="00104ED3">
              <w:rPr>
                <w:b/>
              </w:rPr>
              <w:t xml:space="preserve"> </w:t>
            </w:r>
            <w:r>
              <w:rPr>
                <w:b/>
              </w:rPr>
              <w:t>Безопасность</w:t>
            </w:r>
            <w:r w:rsidR="00104ED3">
              <w:rPr>
                <w:b/>
              </w:rPr>
              <w:t xml:space="preserve"> </w:t>
            </w:r>
            <w:r>
              <w:rPr>
                <w:b/>
              </w:rPr>
              <w:t>/</w:t>
            </w:r>
            <w:r w:rsidR="00104ED3">
              <w:rPr>
                <w:b/>
              </w:rPr>
              <w:t xml:space="preserve"> </w:t>
            </w:r>
            <w:r>
              <w:rPr>
                <w:b/>
              </w:rPr>
              <w:t>Внутренние механизмы контроля поставщика услуг</w:t>
            </w:r>
          </w:p>
        </w:tc>
        <w:tc>
          <w:tcPr>
            <w:tcW w:w="1420" w:type="dxa"/>
            <w:shd w:val="clear" w:color="auto" w:fill="A6A6A6"/>
          </w:tcPr>
          <w:p w:rsidR="00770A3F" w:rsidRPr="00F56789" w:rsidRDefault="00770A3F" w:rsidP="00F56789">
            <w:pPr>
              <w:spacing w:before="120"/>
              <w:rPr>
                <w:rFonts w:cs="Arial"/>
                <w:b/>
              </w:rPr>
            </w:pPr>
          </w:p>
        </w:tc>
      </w:tr>
      <w:tr w:rsidR="00770A3F" w:rsidRPr="00F56789" w:rsidTr="006A02A5">
        <w:tc>
          <w:tcPr>
            <w:tcW w:w="2414" w:type="dxa"/>
            <w:shd w:val="clear" w:color="auto" w:fill="E6E6E6"/>
            <w:vAlign w:val="center"/>
          </w:tcPr>
          <w:p w:rsidR="00770A3F" w:rsidRPr="00F56789" w:rsidRDefault="00770A3F" w:rsidP="004D5767">
            <w:pPr>
              <w:spacing w:before="40" w:after="40"/>
              <w:jc w:val="left"/>
              <w:rPr>
                <w:rFonts w:cs="Arial"/>
                <w:b/>
              </w:rPr>
            </w:pPr>
            <w:r>
              <w:rPr>
                <w:b/>
              </w:rPr>
              <w:t>Сохранность денежных средств</w:t>
            </w:r>
          </w:p>
        </w:tc>
        <w:tc>
          <w:tcPr>
            <w:tcW w:w="6390" w:type="dxa"/>
            <w:shd w:val="clear" w:color="auto" w:fill="F3F3F3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>
              <w:t>Процедуры и правила обеспечения сохранности денежных средств после того, как они зачислены на счёт</w:t>
            </w:r>
          </w:p>
        </w:tc>
        <w:tc>
          <w:tcPr>
            <w:tcW w:w="1420" w:type="dxa"/>
            <w:shd w:val="clear" w:color="auto" w:fill="F3F3F3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:rsidTr="006A02A5">
        <w:tc>
          <w:tcPr>
            <w:tcW w:w="2414" w:type="dxa"/>
            <w:shd w:val="clear" w:color="auto" w:fill="E6E6E6"/>
            <w:vAlign w:val="center"/>
          </w:tcPr>
          <w:p w:rsidR="00770A3F" w:rsidRPr="00F56789" w:rsidRDefault="00770A3F" w:rsidP="004D5767">
            <w:pPr>
              <w:spacing w:before="40" w:after="40"/>
              <w:jc w:val="left"/>
              <w:rPr>
                <w:rFonts w:cs="Arial"/>
                <w:b/>
              </w:rPr>
            </w:pPr>
            <w:r>
              <w:rPr>
                <w:b/>
              </w:rPr>
              <w:t>Защита данных</w:t>
            </w:r>
          </w:p>
        </w:tc>
        <w:tc>
          <w:tcPr>
            <w:tcW w:w="6390" w:type="dxa"/>
            <w:shd w:val="clear" w:color="auto" w:fill="F3F3F3"/>
            <w:vAlign w:val="center"/>
          </w:tcPr>
          <w:p w:rsidR="00770A3F" w:rsidRPr="00F56789" w:rsidRDefault="00770A3F" w:rsidP="00104ED3">
            <w:pPr>
              <w:spacing w:before="120"/>
              <w:jc w:val="left"/>
              <w:rPr>
                <w:rFonts w:cs="Arial"/>
              </w:rPr>
            </w:pPr>
            <w:r>
              <w:t>Процедуры и правила обеспечения конфиденциальности и сохранности данных, содержащих историю транзакций [организаци</w:t>
            </w:r>
            <w:r w:rsidR="00104ED3">
              <w:t>и</w:t>
            </w:r>
            <w:r>
              <w:t>]</w:t>
            </w:r>
          </w:p>
        </w:tc>
        <w:tc>
          <w:tcPr>
            <w:tcW w:w="1420" w:type="dxa"/>
            <w:shd w:val="clear" w:color="auto" w:fill="F3F3F3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:rsidTr="006A02A5">
        <w:tc>
          <w:tcPr>
            <w:tcW w:w="2414" w:type="dxa"/>
            <w:shd w:val="clear" w:color="auto" w:fill="E6E6E6"/>
            <w:vAlign w:val="center"/>
          </w:tcPr>
          <w:p w:rsidR="00770A3F" w:rsidRPr="00F56789" w:rsidRDefault="00770A3F" w:rsidP="004D5767">
            <w:pPr>
              <w:spacing w:before="40" w:after="40"/>
              <w:jc w:val="left"/>
              <w:rPr>
                <w:rFonts w:cs="Arial"/>
                <w:b/>
              </w:rPr>
            </w:pPr>
            <w:r>
              <w:rPr>
                <w:b/>
              </w:rPr>
              <w:t>Конфиденциальность данных</w:t>
            </w:r>
          </w:p>
        </w:tc>
        <w:tc>
          <w:tcPr>
            <w:tcW w:w="6390" w:type="dxa"/>
            <w:shd w:val="clear" w:color="auto" w:fill="F3F3F3"/>
            <w:vAlign w:val="center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>
              <w:t>Процедуры и правила обеспечения сохранности и конфиденциальности данных получателей платежей</w:t>
            </w:r>
          </w:p>
        </w:tc>
        <w:tc>
          <w:tcPr>
            <w:tcW w:w="1420" w:type="dxa"/>
            <w:shd w:val="clear" w:color="auto" w:fill="F3F3F3"/>
          </w:tcPr>
          <w:p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</w:tbl>
    <w:p w:rsidR="00104ED3" w:rsidRDefault="00104ED3" w:rsidP="00104ED3">
      <w:pPr>
        <w:spacing w:after="0"/>
        <w:jc w:val="right"/>
        <w:rPr>
          <w:sz w:val="18"/>
        </w:rPr>
      </w:pPr>
    </w:p>
    <w:p w:rsidR="00104ED3" w:rsidRDefault="0090017E" w:rsidP="00104ED3">
      <w:pPr>
        <w:spacing w:after="0"/>
        <w:jc w:val="right"/>
        <w:rPr>
          <w:sz w:val="18"/>
        </w:rPr>
      </w:pPr>
      <w:r>
        <w:rPr>
          <w:sz w:val="18"/>
        </w:rPr>
        <w:t>Выдержка из основного инструмента</w:t>
      </w:r>
      <w:r w:rsidR="00104ED3">
        <w:rPr>
          <w:sz w:val="18"/>
        </w:rPr>
        <w:t xml:space="preserve"> «</w:t>
      </w:r>
      <w:r>
        <w:rPr>
          <w:sz w:val="18"/>
        </w:rPr>
        <w:t>Оценка потенциала поставщика услуг</w:t>
      </w:r>
      <w:r w:rsidR="00104ED3">
        <w:rPr>
          <w:sz w:val="18"/>
        </w:rPr>
        <w:t>» АМР</w:t>
      </w:r>
      <w:r w:rsidR="00104ED3" w:rsidRPr="00104ED3">
        <w:rPr>
          <w:sz w:val="18"/>
        </w:rPr>
        <w:t xml:space="preserve"> </w:t>
      </w:r>
      <w:r w:rsidR="00104ED3">
        <w:rPr>
          <w:sz w:val="18"/>
        </w:rPr>
        <w:t>США</w:t>
      </w:r>
      <w:r w:rsidR="00104ED3" w:rsidRPr="00104ED3">
        <w:rPr>
          <w:sz w:val="18"/>
        </w:rPr>
        <w:t xml:space="preserve"> </w:t>
      </w:r>
      <w:r w:rsidR="00104ED3">
        <w:rPr>
          <w:sz w:val="18"/>
        </w:rPr>
        <w:t>и</w:t>
      </w:r>
      <w:r w:rsidR="00104ED3" w:rsidRPr="00104ED3">
        <w:rPr>
          <w:sz w:val="18"/>
        </w:rPr>
        <w:t xml:space="preserve"> </w:t>
      </w:r>
      <w:r w:rsidR="00104ED3" w:rsidRPr="00104ED3">
        <w:rPr>
          <w:sz w:val="18"/>
          <w:lang w:val="en-US"/>
        </w:rPr>
        <w:t>NetHope</w:t>
      </w:r>
      <w:r w:rsidR="00104ED3" w:rsidRPr="00104ED3">
        <w:rPr>
          <w:sz w:val="18"/>
        </w:rPr>
        <w:t>.</w:t>
      </w:r>
      <w:r w:rsidR="00104ED3">
        <w:rPr>
          <w:sz w:val="18"/>
        </w:rPr>
        <w:t xml:space="preserve"> / </w:t>
      </w:r>
    </w:p>
    <w:p w:rsidR="00104ED3" w:rsidRPr="00104ED3" w:rsidRDefault="00104ED3" w:rsidP="00104ED3">
      <w:pPr>
        <w:spacing w:after="0"/>
        <w:jc w:val="right"/>
        <w:rPr>
          <w:rFonts w:cs="Arial"/>
          <w:sz w:val="18"/>
          <w:lang w:val="en-US"/>
        </w:rPr>
      </w:pPr>
      <w:r w:rsidRPr="00104ED3">
        <w:rPr>
          <w:sz w:val="18"/>
        </w:rPr>
        <w:t xml:space="preserve"> </w:t>
      </w:r>
      <w:r w:rsidR="0090017E" w:rsidRPr="00104ED3">
        <w:rPr>
          <w:sz w:val="18"/>
          <w:lang w:val="en-US"/>
        </w:rPr>
        <w:t>Servic</w:t>
      </w:r>
      <w:r>
        <w:rPr>
          <w:sz w:val="18"/>
          <w:lang w:val="en-US"/>
        </w:rPr>
        <w:t>e Provider Capacity Assessment</w:t>
      </w:r>
      <w:r w:rsidRPr="00104ED3">
        <w:rPr>
          <w:rFonts w:cs="Arial"/>
          <w:sz w:val="18"/>
          <w:lang w:val="en-US"/>
        </w:rPr>
        <w:t>, USAID and</w:t>
      </w:r>
      <w:r w:rsidRPr="00F41574">
        <w:rPr>
          <w:rFonts w:cs="Arial"/>
          <w:sz w:val="18"/>
          <w:lang w:val="en-US"/>
        </w:rPr>
        <w:t xml:space="preserve"> </w:t>
      </w:r>
      <w:r w:rsidRPr="00104ED3">
        <w:rPr>
          <w:rFonts w:cs="Arial"/>
          <w:sz w:val="18"/>
          <w:lang w:val="en-US"/>
        </w:rPr>
        <w:t>NetHope.</w:t>
      </w:r>
    </w:p>
    <w:sectPr w:rsidR="00104ED3" w:rsidRPr="00104ED3" w:rsidSect="00770A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17" w:code="9"/>
      <w:pgMar w:top="1134" w:right="1134" w:bottom="1134" w:left="113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3DB" w:rsidRDefault="00E833DB" w:rsidP="00A403E1">
      <w:pPr>
        <w:spacing w:after="0"/>
      </w:pPr>
      <w:r>
        <w:separator/>
      </w:r>
    </w:p>
  </w:endnote>
  <w:endnote w:type="continuationSeparator" w:id="0">
    <w:p w:rsidR="00E833DB" w:rsidRDefault="00E833DB" w:rsidP="00A403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3E1" w:rsidRDefault="00644141" w:rsidP="00541F05">
    <w:pPr>
      <w:pStyle w:val="a7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A403E1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04ED3">
      <w:rPr>
        <w:rStyle w:val="ac"/>
        <w:noProof/>
      </w:rPr>
      <w:t>0</w:t>
    </w:r>
    <w:r>
      <w:rPr>
        <w:rStyle w:val="ac"/>
      </w:rPr>
      <w:fldChar w:fldCharType="end"/>
    </w:r>
  </w:p>
  <w:p w:rsidR="00A403E1" w:rsidRDefault="00A403E1" w:rsidP="00A403E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8FB" w:rsidRPr="00B45C74" w:rsidRDefault="00644141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A868FB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2C28E0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A868FB" w:rsidRPr="003A3500" w:rsidRDefault="00A868FB" w:rsidP="00ED1B2B">
    <w:pPr>
      <w:pStyle w:val="a7"/>
    </w:pPr>
    <w:r>
      <w:rPr>
        <w:b/>
      </w:rPr>
      <w:t>Модуль 4.</w:t>
    </w:r>
    <w:r w:rsidR="002C28E0">
      <w:t>Раздел 3.Подраздел</w:t>
    </w:r>
    <w:r>
      <w:t xml:space="preserve"> 1. </w:t>
    </w:r>
    <w:r w:rsidR="00E833DB">
      <w:fldChar w:fldCharType="begin"/>
    </w:r>
    <w:r w:rsidR="00E833DB">
      <w:instrText xml:space="preserve"> STYLEREF  H1 \t  \* MERGEFORMAT </w:instrText>
    </w:r>
    <w:r w:rsidR="00E833DB">
      <w:fldChar w:fldCharType="separate"/>
    </w:r>
    <w:r w:rsidR="002C28E0" w:rsidRPr="002C28E0">
      <w:rPr>
        <w:bCs/>
        <w:noProof/>
      </w:rPr>
      <w:t xml:space="preserve">Мобильные деньги.  Контрольный </w:t>
    </w:r>
    <w:r w:rsidR="002C28E0" w:rsidRPr="002C28E0">
      <w:rPr>
        <w:i/>
        <w:noProof/>
      </w:rPr>
      <w:t>список требований.</w:t>
    </w:r>
    <w:r w:rsidR="00E833DB">
      <w:rPr>
        <w:i/>
        <w:noProof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8E0" w:rsidRDefault="002C28E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3DB" w:rsidRDefault="00E833DB" w:rsidP="00A403E1">
      <w:pPr>
        <w:spacing w:after="0"/>
      </w:pPr>
      <w:r>
        <w:separator/>
      </w:r>
    </w:p>
  </w:footnote>
  <w:footnote w:type="continuationSeparator" w:id="0">
    <w:p w:rsidR="00E833DB" w:rsidRDefault="00E833DB" w:rsidP="00A403E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8E0" w:rsidRDefault="002C28E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8FB" w:rsidRPr="002C28E0" w:rsidRDefault="00A868FB" w:rsidP="00173FF2">
    <w:pPr>
      <w:pStyle w:val="a5"/>
      <w:rPr>
        <w:szCs w:val="16"/>
      </w:rPr>
    </w:pPr>
    <w:r>
      <w:rPr>
        <w:rStyle w:val="Pantone485"/>
      </w:rPr>
      <w:t>Международное движение Красного Креста и Красного Полумесяца</w:t>
    </w:r>
    <w:r w:rsidR="00104ED3">
      <w:rPr>
        <w:rStyle w:val="Pantone485"/>
      </w:rPr>
      <w:t xml:space="preserve"> </w:t>
    </w:r>
    <w:r>
      <w:rPr>
        <w:rStyle w:val="ac"/>
        <w:bCs/>
        <w:szCs w:val="16"/>
      </w:rPr>
      <w:t>I</w:t>
    </w:r>
    <w:r w:rsidR="00104ED3">
      <w:rPr>
        <w:rStyle w:val="ac"/>
        <w:bCs/>
        <w:szCs w:val="16"/>
      </w:rPr>
      <w:t xml:space="preserve"> </w:t>
    </w:r>
    <w:r w:rsidR="002C28E0">
      <w:rPr>
        <w:szCs w:val="16"/>
      </w:rPr>
      <w:t>Наличные денежные средства в условиях ЧС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8E0" w:rsidRDefault="002C28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6686D"/>
    <w:multiLevelType w:val="hybridMultilevel"/>
    <w:tmpl w:val="F7284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74A60"/>
    <w:multiLevelType w:val="hybridMultilevel"/>
    <w:tmpl w:val="FFDC2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198E"/>
    <w:multiLevelType w:val="hybridMultilevel"/>
    <w:tmpl w:val="3E467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4D109A"/>
    <w:multiLevelType w:val="hybridMultilevel"/>
    <w:tmpl w:val="26F85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1A0470"/>
    <w:multiLevelType w:val="hybridMultilevel"/>
    <w:tmpl w:val="249CE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C3D80"/>
    <w:multiLevelType w:val="hybridMultilevel"/>
    <w:tmpl w:val="42808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8"/>
  </w:num>
  <w:num w:numId="9">
    <w:abstractNumId w:val="2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linkStyles/>
  <w:defaultTabStop w:val="708"/>
  <w:hyphenationZone w:val="283"/>
  <w:drawingGridHorizontalSpacing w:val="100"/>
  <w:drawingGridVerticalSpacing w:val="299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2547"/>
    <w:rsid w:val="00011672"/>
    <w:rsid w:val="00030DB9"/>
    <w:rsid w:val="0007350C"/>
    <w:rsid w:val="000D5B62"/>
    <w:rsid w:val="00104ED3"/>
    <w:rsid w:val="001435B6"/>
    <w:rsid w:val="001F6E69"/>
    <w:rsid w:val="002B32DD"/>
    <w:rsid w:val="002C28E0"/>
    <w:rsid w:val="002F03A0"/>
    <w:rsid w:val="0033737A"/>
    <w:rsid w:val="003955F9"/>
    <w:rsid w:val="003E2145"/>
    <w:rsid w:val="00432547"/>
    <w:rsid w:val="004377B5"/>
    <w:rsid w:val="00490455"/>
    <w:rsid w:val="004D5767"/>
    <w:rsid w:val="004F4028"/>
    <w:rsid w:val="00562E97"/>
    <w:rsid w:val="005A7597"/>
    <w:rsid w:val="005B2877"/>
    <w:rsid w:val="005D7FE6"/>
    <w:rsid w:val="00644141"/>
    <w:rsid w:val="006A02A5"/>
    <w:rsid w:val="00770A3F"/>
    <w:rsid w:val="008C2471"/>
    <w:rsid w:val="0090017E"/>
    <w:rsid w:val="00A403E1"/>
    <w:rsid w:val="00A45574"/>
    <w:rsid w:val="00A730C9"/>
    <w:rsid w:val="00A868FB"/>
    <w:rsid w:val="00B20425"/>
    <w:rsid w:val="00B75A6E"/>
    <w:rsid w:val="00CA0430"/>
    <w:rsid w:val="00CB6EA9"/>
    <w:rsid w:val="00DE08A3"/>
    <w:rsid w:val="00E25072"/>
    <w:rsid w:val="00E833DB"/>
    <w:rsid w:val="00F56789"/>
    <w:rsid w:val="00F7368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C342DE"/>
  <w15:docId w15:val="{4649B787-FA56-494A-BCAD-C9E5EDE53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DE08A3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1">
    <w:name w:val="heading 1"/>
    <w:basedOn w:val="H1"/>
    <w:next w:val="a"/>
    <w:link w:val="10"/>
    <w:uiPriority w:val="9"/>
    <w:rsid w:val="00DE08A3"/>
  </w:style>
  <w:style w:type="paragraph" w:styleId="2">
    <w:name w:val="heading 2"/>
    <w:basedOn w:val="a"/>
    <w:next w:val="a"/>
    <w:link w:val="20"/>
    <w:uiPriority w:val="9"/>
    <w:unhideWhenUsed/>
    <w:qFormat/>
    <w:rsid w:val="00DE08A3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3">
    <w:name w:val="heading 3"/>
    <w:basedOn w:val="a"/>
    <w:next w:val="a"/>
    <w:link w:val="30"/>
    <w:uiPriority w:val="9"/>
    <w:unhideWhenUsed/>
    <w:qFormat/>
    <w:rsid w:val="00DE08A3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08A3"/>
    <w:rPr>
      <w:rFonts w:ascii="Arial" w:eastAsiaTheme="minorEastAsia" w:hAnsi="Arial" w:cs="Times New Roman"/>
      <w:b/>
      <w:sz w:val="40"/>
      <w:szCs w:val="52"/>
    </w:rPr>
  </w:style>
  <w:style w:type="character" w:customStyle="1" w:styleId="20">
    <w:name w:val="Заголовок 2 Знак"/>
    <w:basedOn w:val="a0"/>
    <w:link w:val="2"/>
    <w:uiPriority w:val="9"/>
    <w:rsid w:val="00DE08A3"/>
    <w:rPr>
      <w:rFonts w:ascii="Arial" w:eastAsiaTheme="minorEastAsia" w:hAnsi="Arial" w:cs="Times New Roman"/>
      <w:b/>
      <w:caps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E08A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08A3"/>
    <w:rPr>
      <w:rFonts w:ascii="Lucida Grande" w:eastAsiaTheme="minorEastAsia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E08A3"/>
    <w:pPr>
      <w:spacing w:after="0" w:line="288" w:lineRule="auto"/>
      <w:jc w:val="left"/>
    </w:pPr>
    <w:rPr>
      <w:sz w:val="16"/>
    </w:rPr>
  </w:style>
  <w:style w:type="character" w:customStyle="1" w:styleId="a6">
    <w:name w:val="Верхний колонтитул Знак"/>
    <w:basedOn w:val="a0"/>
    <w:link w:val="a5"/>
    <w:uiPriority w:val="99"/>
    <w:rsid w:val="00DE08A3"/>
    <w:rPr>
      <w:rFonts w:ascii="Arial" w:eastAsiaTheme="minorEastAsia" w:hAnsi="Arial" w:cs="Times New Roman"/>
      <w:sz w:val="16"/>
      <w:szCs w:val="20"/>
    </w:rPr>
  </w:style>
  <w:style w:type="paragraph" w:styleId="a7">
    <w:name w:val="footer"/>
    <w:basedOn w:val="a"/>
    <w:link w:val="a8"/>
    <w:uiPriority w:val="99"/>
    <w:unhideWhenUsed/>
    <w:rsid w:val="00DE08A3"/>
    <w:pPr>
      <w:spacing w:after="0"/>
      <w:jc w:val="left"/>
    </w:pPr>
    <w:rPr>
      <w:sz w:val="16"/>
      <w:szCs w:val="18"/>
    </w:rPr>
  </w:style>
  <w:style w:type="character" w:customStyle="1" w:styleId="a8">
    <w:name w:val="Нижний колонтитул Знак"/>
    <w:basedOn w:val="a0"/>
    <w:link w:val="a7"/>
    <w:uiPriority w:val="99"/>
    <w:rsid w:val="00DE08A3"/>
    <w:rPr>
      <w:rFonts w:ascii="Arial" w:eastAsiaTheme="minorEastAsia" w:hAnsi="Arial" w:cs="Times New Roman"/>
      <w:sz w:val="16"/>
      <w:szCs w:val="18"/>
    </w:rPr>
  </w:style>
  <w:style w:type="paragraph" w:styleId="a9">
    <w:name w:val="List Paragraph"/>
    <w:basedOn w:val="a"/>
    <w:link w:val="aa"/>
    <w:uiPriority w:val="34"/>
    <w:qFormat/>
    <w:rsid w:val="00DE08A3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ab">
    <w:name w:val="Table Grid"/>
    <w:basedOn w:val="a1"/>
    <w:uiPriority w:val="59"/>
    <w:rsid w:val="00DE08A3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uiPriority w:val="99"/>
    <w:unhideWhenUsed/>
    <w:rsid w:val="00DE08A3"/>
    <w:rPr>
      <w:b/>
    </w:rPr>
  </w:style>
  <w:style w:type="character" w:customStyle="1" w:styleId="30">
    <w:name w:val="Заголовок 3 Знак"/>
    <w:basedOn w:val="a0"/>
    <w:link w:val="3"/>
    <w:uiPriority w:val="9"/>
    <w:rsid w:val="00DE08A3"/>
    <w:rPr>
      <w:rFonts w:ascii="Arial" w:eastAsiaTheme="minorEastAsia" w:hAnsi="Arial" w:cs="Times New Roman"/>
      <w:b/>
      <w:sz w:val="22"/>
    </w:rPr>
  </w:style>
  <w:style w:type="character" w:customStyle="1" w:styleId="aa">
    <w:name w:val="Абзац списка Знак"/>
    <w:basedOn w:val="a0"/>
    <w:link w:val="a9"/>
    <w:uiPriority w:val="34"/>
    <w:rsid w:val="00DE08A3"/>
    <w:rPr>
      <w:rFonts w:ascii="Arial" w:hAnsi="Arial"/>
      <w:sz w:val="20"/>
      <w:szCs w:val="22"/>
    </w:rPr>
  </w:style>
  <w:style w:type="paragraph" w:customStyle="1" w:styleId="Default">
    <w:name w:val="Default"/>
    <w:rsid w:val="00DE08A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ad">
    <w:name w:val="annotation reference"/>
    <w:basedOn w:val="a0"/>
    <w:uiPriority w:val="99"/>
    <w:semiHidden/>
    <w:unhideWhenUsed/>
    <w:rsid w:val="00DE08A3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868FB"/>
  </w:style>
  <w:style w:type="character" w:customStyle="1" w:styleId="af">
    <w:name w:val="Текст примечания Знак"/>
    <w:basedOn w:val="a0"/>
    <w:link w:val="ae"/>
    <w:uiPriority w:val="99"/>
    <w:semiHidden/>
    <w:rsid w:val="00A868FB"/>
    <w:rPr>
      <w:rFonts w:ascii="Arial" w:eastAsiaTheme="minorEastAsia" w:hAnsi="Arial" w:cs="Times New Roman"/>
      <w:sz w:val="20"/>
      <w:szCs w:val="20"/>
    </w:rPr>
  </w:style>
  <w:style w:type="paragraph" w:styleId="af0">
    <w:name w:val="annotation subject"/>
    <w:basedOn w:val="a"/>
    <w:link w:val="af1"/>
    <w:uiPriority w:val="99"/>
    <w:semiHidden/>
    <w:unhideWhenUsed/>
    <w:rsid w:val="00DE08A3"/>
    <w:rPr>
      <w:b/>
      <w:bCs/>
    </w:rPr>
  </w:style>
  <w:style w:type="character" w:customStyle="1" w:styleId="af1">
    <w:name w:val="Тема примечания Знак"/>
    <w:basedOn w:val="a0"/>
    <w:link w:val="af0"/>
    <w:uiPriority w:val="99"/>
    <w:semiHidden/>
    <w:rsid w:val="00DE08A3"/>
    <w:rPr>
      <w:rFonts w:ascii="Arial" w:eastAsiaTheme="minorEastAsia" w:hAnsi="Arial" w:cs="Times New Roman"/>
      <w:b/>
      <w:bCs/>
      <w:sz w:val="20"/>
      <w:szCs w:val="20"/>
    </w:rPr>
  </w:style>
  <w:style w:type="character" w:styleId="af2">
    <w:name w:val="Hyperlink"/>
    <w:basedOn w:val="a0"/>
    <w:uiPriority w:val="99"/>
    <w:unhideWhenUsed/>
    <w:rsid w:val="00DE08A3"/>
    <w:rPr>
      <w:color w:val="0000FF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DE08A3"/>
    <w:rPr>
      <w:color w:val="800080" w:themeColor="followedHyperlink"/>
      <w:u w:val="single"/>
    </w:rPr>
  </w:style>
  <w:style w:type="paragraph" w:styleId="af4">
    <w:name w:val="footnote text"/>
    <w:basedOn w:val="a"/>
    <w:link w:val="af5"/>
    <w:uiPriority w:val="99"/>
    <w:unhideWhenUsed/>
    <w:rsid w:val="00DE08A3"/>
    <w:pPr>
      <w:spacing w:after="0"/>
    </w:pPr>
    <w:rPr>
      <w:sz w:val="16"/>
      <w:szCs w:val="22"/>
    </w:rPr>
  </w:style>
  <w:style w:type="character" w:customStyle="1" w:styleId="af5">
    <w:name w:val="Текст сноски Знак"/>
    <w:basedOn w:val="a0"/>
    <w:link w:val="af4"/>
    <w:uiPriority w:val="99"/>
    <w:rsid w:val="00DE08A3"/>
    <w:rPr>
      <w:rFonts w:ascii="Arial" w:eastAsiaTheme="minorEastAsia" w:hAnsi="Arial" w:cs="Times New Roman"/>
      <w:sz w:val="16"/>
      <w:szCs w:val="22"/>
    </w:rPr>
  </w:style>
  <w:style w:type="character" w:styleId="af6">
    <w:name w:val="footnote reference"/>
    <w:basedOn w:val="a0"/>
    <w:uiPriority w:val="99"/>
    <w:unhideWhenUsed/>
    <w:rsid w:val="00DE08A3"/>
    <w:rPr>
      <w:vertAlign w:val="superscript"/>
    </w:rPr>
  </w:style>
  <w:style w:type="paragraph" w:styleId="af7">
    <w:name w:val="Revision"/>
    <w:hidden/>
    <w:uiPriority w:val="99"/>
    <w:semiHidden/>
    <w:rsid w:val="00DE08A3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a"/>
    <w:uiPriority w:val="99"/>
    <w:rsid w:val="00DE08A3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a"/>
    <w:link w:val="H1Char"/>
    <w:qFormat/>
    <w:rsid w:val="00DE08A3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a"/>
    <w:rsid w:val="00DE08A3"/>
    <w:pPr>
      <w:numPr>
        <w:numId w:val="9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a"/>
    <w:rsid w:val="00DE08A3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a"/>
    <w:rsid w:val="00DE08A3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a5"/>
    <w:rsid w:val="00DE08A3"/>
    <w:rPr>
      <w:b/>
      <w:sz w:val="24"/>
      <w:szCs w:val="24"/>
    </w:rPr>
  </w:style>
  <w:style w:type="character" w:customStyle="1" w:styleId="Pantone485">
    <w:name w:val="Pantone 485"/>
    <w:basedOn w:val="a0"/>
    <w:uiPriority w:val="1"/>
    <w:qFormat/>
    <w:rsid w:val="00DE08A3"/>
    <w:rPr>
      <w:rFonts w:cs="Caecilia-Light"/>
      <w:color w:val="DC281E"/>
      <w:szCs w:val="16"/>
    </w:rPr>
  </w:style>
  <w:style w:type="character" w:customStyle="1" w:styleId="H1Char">
    <w:name w:val="H1 Char"/>
    <w:basedOn w:val="a0"/>
    <w:link w:val="H1"/>
    <w:rsid w:val="00DE08A3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a1"/>
    <w:uiPriority w:val="99"/>
    <w:rsid w:val="00DE08A3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a9"/>
    <w:rsid w:val="00DE08A3"/>
    <w:pPr>
      <w:numPr>
        <w:numId w:val="10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a"/>
    <w:rsid w:val="00DE08A3"/>
    <w:pPr>
      <w:numPr>
        <w:ilvl w:val="1"/>
        <w:numId w:val="7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a"/>
    <w:qFormat/>
    <w:rsid w:val="00DE08A3"/>
    <w:pPr>
      <w:numPr>
        <w:numId w:val="8"/>
      </w:numPr>
    </w:pPr>
    <w:rPr>
      <w:rFonts w:eastAsia="MS Mincho"/>
      <w:b/>
      <w:sz w:val="22"/>
    </w:rPr>
  </w:style>
  <w:style w:type="paragraph" w:customStyle="1" w:styleId="Bullet3">
    <w:name w:val="Bullet 3"/>
    <w:basedOn w:val="a9"/>
    <w:qFormat/>
    <w:rsid w:val="00DE08A3"/>
    <w:pPr>
      <w:numPr>
        <w:numId w:val="11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a"/>
    <w:qFormat/>
    <w:rsid w:val="00DE08A3"/>
    <w:pPr>
      <w:ind w:left="567"/>
    </w:pPr>
    <w:rPr>
      <w:rFonts w:cs="Arial"/>
      <w:b/>
    </w:rPr>
  </w:style>
  <w:style w:type="paragraph" w:customStyle="1" w:styleId="TitreTableau">
    <w:name w:val="Titre Tableau"/>
    <w:basedOn w:val="a"/>
    <w:qFormat/>
    <w:rsid w:val="00DE08A3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DE08A3"/>
    <w:pPr>
      <w:keepNext/>
      <w:keepLines/>
      <w:framePr w:hSpace="141" w:wrap="around" w:vAnchor="text" w:hAnchor="margin" w:y="402"/>
      <w:numPr>
        <w:numId w:val="12"/>
      </w:numPr>
      <w:spacing w:beforeLines="60" w:afterLines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8</TotalTime>
  <Pages>1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Independent Consultant</Company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Creti Pantaleo</dc:creator>
  <cp:lastModifiedBy>Mareta GAZIKOVA</cp:lastModifiedBy>
  <cp:revision>5</cp:revision>
  <cp:lastPrinted>2015-09-30T20:00:00Z</cp:lastPrinted>
  <dcterms:created xsi:type="dcterms:W3CDTF">2016-06-22T18:00:00Z</dcterms:created>
  <dcterms:modified xsi:type="dcterms:W3CDTF">2017-04-21T12:06:00Z</dcterms:modified>
</cp:coreProperties>
</file>