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7C307C" w:rsidRPr="00A077E1" w:rsidRDefault="001301EF" w:rsidP="00A077E1">
      <w:pPr>
        <w:pStyle w:val="Heading1"/>
        <w:jc w:val="both"/>
        <w:rPr>
          <w:rFonts w:ascii="Century Gothic" w:hAnsi="Century Gothic" w:cs="Arial"/>
          <w:b/>
          <w:bCs/>
          <w:sz w:val="22"/>
          <w:szCs w:val="22"/>
        </w:rPr>
      </w:pPr>
      <w:r w:rsidRPr="00A077E1">
        <w:rPr>
          <w:rFonts w:ascii="Century Gothic" w:hAnsi="Century Gothic" w:cs="Arial"/>
          <w:b/>
          <w:bCs/>
          <w:sz w:val="22"/>
          <w:szCs w:val="22"/>
        </w:rPr>
        <w:t>Introduction</w:t>
      </w:r>
    </w:p>
    <w:p w14:paraId="4F7B0AA7" w14:textId="4FB4A2A4" w:rsidR="005A621F" w:rsidRPr="00A077E1" w:rsidRDefault="00A077E1" w:rsidP="00A077E1">
      <w:pPr>
        <w:jc w:val="both"/>
        <w:rPr>
          <w:rFonts w:ascii="Arial" w:hAnsi="Arial" w:cs="Arial"/>
          <w:sz w:val="19"/>
          <w:szCs w:val="19"/>
        </w:rPr>
      </w:pPr>
      <w:r>
        <w:br/>
      </w:r>
      <w:r w:rsidR="005A621F" w:rsidRPr="00A077E1">
        <w:rPr>
          <w:rFonts w:ascii="Arial" w:hAnsi="Arial" w:cs="Arial"/>
          <w:sz w:val="19"/>
          <w:szCs w:val="19"/>
        </w:rPr>
        <w:t>Although this step is rarely form</w:t>
      </w:r>
      <w:r w:rsidR="6F855459" w:rsidRPr="00A077E1">
        <w:rPr>
          <w:rFonts w:ascii="Arial" w:hAnsi="Arial" w:cs="Arial"/>
          <w:sz w:val="19"/>
          <w:szCs w:val="19"/>
        </w:rPr>
        <w:t>al</w:t>
      </w:r>
      <w:r w:rsidR="005A621F" w:rsidRPr="00A077E1">
        <w:rPr>
          <w:rFonts w:ascii="Arial" w:hAnsi="Arial" w:cs="Arial"/>
          <w:sz w:val="19"/>
          <w:szCs w:val="19"/>
        </w:rPr>
        <w:t>ly documented it is useful for the shelter practitioner and other senior operational staff to methodically consider what responses are most appropriate given the context. This then helps to set the direction of the operation with limited RCRC resources being focus</w:t>
      </w:r>
      <w:r w:rsidR="000C5C99" w:rsidRPr="00A077E1">
        <w:rPr>
          <w:rFonts w:ascii="Arial" w:hAnsi="Arial" w:cs="Arial"/>
          <w:sz w:val="19"/>
          <w:szCs w:val="19"/>
        </w:rPr>
        <w:t>ed</w:t>
      </w:r>
      <w:r w:rsidR="005A621F" w:rsidRPr="00A077E1">
        <w:rPr>
          <w:rFonts w:ascii="Arial" w:hAnsi="Arial" w:cs="Arial"/>
          <w:sz w:val="19"/>
          <w:szCs w:val="19"/>
        </w:rPr>
        <w:t xml:space="preserve"> strategically to have greatest impact on those they are trying to assist.</w:t>
      </w:r>
    </w:p>
    <w:p w14:paraId="44AAB586" w14:textId="34EAA8B2" w:rsidR="005176BA" w:rsidRPr="00A077E1" w:rsidRDefault="005A621F" w:rsidP="00A077E1">
      <w:pPr>
        <w:jc w:val="both"/>
        <w:rPr>
          <w:rFonts w:ascii="Arial" w:hAnsi="Arial" w:cs="Arial"/>
          <w:sz w:val="19"/>
          <w:szCs w:val="19"/>
        </w:rPr>
      </w:pPr>
      <w:r w:rsidRPr="00A077E1">
        <w:rPr>
          <w:rFonts w:ascii="Arial" w:hAnsi="Arial" w:cs="Arial"/>
          <w:sz w:val="19"/>
          <w:szCs w:val="19"/>
        </w:rPr>
        <w:t xml:space="preserve">There may be </w:t>
      </w:r>
      <w:r w:rsidR="00FB43B0">
        <w:rPr>
          <w:rFonts w:ascii="Arial" w:hAnsi="Arial" w:cs="Arial"/>
          <w:sz w:val="19"/>
          <w:szCs w:val="19"/>
        </w:rPr>
        <w:t xml:space="preserve">a </w:t>
      </w:r>
      <w:r w:rsidR="000C5C99" w:rsidRPr="00A077E1">
        <w:rPr>
          <w:rFonts w:ascii="Arial" w:hAnsi="Arial" w:cs="Arial"/>
          <w:sz w:val="19"/>
          <w:szCs w:val="19"/>
        </w:rPr>
        <w:t xml:space="preserve">response option </w:t>
      </w:r>
      <w:r w:rsidRPr="00A077E1">
        <w:rPr>
          <w:rFonts w:ascii="Arial" w:hAnsi="Arial" w:cs="Arial"/>
          <w:sz w:val="19"/>
          <w:szCs w:val="19"/>
        </w:rPr>
        <w:t xml:space="preserve">analysis </w:t>
      </w:r>
      <w:r w:rsidR="000C5C99" w:rsidRPr="00A077E1">
        <w:rPr>
          <w:rFonts w:ascii="Arial" w:hAnsi="Arial" w:cs="Arial"/>
          <w:sz w:val="19"/>
          <w:szCs w:val="19"/>
        </w:rPr>
        <w:t xml:space="preserve">undertaken </w:t>
      </w:r>
      <w:r w:rsidRPr="00A077E1">
        <w:rPr>
          <w:rFonts w:ascii="Arial" w:hAnsi="Arial" w:cs="Arial"/>
          <w:sz w:val="19"/>
          <w:szCs w:val="19"/>
        </w:rPr>
        <w:t>across the sectors (</w:t>
      </w:r>
      <w:r w:rsidR="000C5C99" w:rsidRPr="00A077E1">
        <w:rPr>
          <w:rFonts w:ascii="Arial" w:hAnsi="Arial" w:cs="Arial"/>
          <w:sz w:val="19"/>
          <w:szCs w:val="19"/>
        </w:rPr>
        <w:t>for example, should</w:t>
      </w:r>
      <w:r w:rsidRPr="00A077E1">
        <w:rPr>
          <w:rFonts w:ascii="Arial" w:hAnsi="Arial" w:cs="Arial"/>
          <w:sz w:val="19"/>
          <w:szCs w:val="19"/>
        </w:rPr>
        <w:t xml:space="preserve"> </w:t>
      </w:r>
      <w:r w:rsidR="000C5C99" w:rsidRPr="00A077E1">
        <w:rPr>
          <w:rFonts w:ascii="Arial" w:hAnsi="Arial" w:cs="Arial"/>
          <w:sz w:val="19"/>
          <w:szCs w:val="19"/>
        </w:rPr>
        <w:t>y</w:t>
      </w:r>
      <w:r w:rsidRPr="00A077E1">
        <w:rPr>
          <w:rFonts w:ascii="Arial" w:hAnsi="Arial" w:cs="Arial"/>
          <w:sz w:val="19"/>
          <w:szCs w:val="19"/>
        </w:rPr>
        <w:t>our response include</w:t>
      </w:r>
      <w:r w:rsidR="000C5C99" w:rsidRPr="00A077E1">
        <w:rPr>
          <w:rFonts w:ascii="Arial" w:hAnsi="Arial" w:cs="Arial"/>
          <w:sz w:val="19"/>
          <w:szCs w:val="19"/>
        </w:rPr>
        <w:t xml:space="preserve"> elements of</w:t>
      </w:r>
      <w:r w:rsidRPr="00A077E1">
        <w:rPr>
          <w:rFonts w:ascii="Arial" w:hAnsi="Arial" w:cs="Arial"/>
          <w:sz w:val="19"/>
          <w:szCs w:val="19"/>
        </w:rPr>
        <w:t xml:space="preserve"> health as well as multi-purpose cash and shelter for example), and there may be analysis within specific sectors. </w:t>
      </w:r>
      <w:r w:rsidRPr="00A077E1">
        <w:rPr>
          <w:rFonts w:ascii="Arial" w:hAnsi="Arial" w:cs="Arial"/>
          <w:sz w:val="19"/>
          <w:szCs w:val="19"/>
          <w:u w:val="single"/>
        </w:rPr>
        <w:t xml:space="preserve">This SoP concerns response option analysis within the </w:t>
      </w:r>
      <w:r w:rsidR="000C5C99" w:rsidRPr="00A077E1">
        <w:rPr>
          <w:rFonts w:ascii="Arial" w:hAnsi="Arial" w:cs="Arial"/>
          <w:sz w:val="19"/>
          <w:szCs w:val="19"/>
          <w:u w:val="single"/>
        </w:rPr>
        <w:t xml:space="preserve">shelter </w:t>
      </w:r>
      <w:r w:rsidRPr="00A077E1">
        <w:rPr>
          <w:rFonts w:ascii="Arial" w:hAnsi="Arial" w:cs="Arial"/>
          <w:sz w:val="19"/>
          <w:szCs w:val="19"/>
          <w:u w:val="single"/>
        </w:rPr>
        <w:t>sector.</w:t>
      </w:r>
    </w:p>
    <w:p w14:paraId="22DDBF5B" w14:textId="57E142B3" w:rsidR="005A621F" w:rsidRPr="00A077E1" w:rsidRDefault="005A621F" w:rsidP="00A077E1">
      <w:pPr>
        <w:jc w:val="both"/>
        <w:rPr>
          <w:rFonts w:ascii="Arial" w:hAnsi="Arial" w:cs="Arial"/>
          <w:sz w:val="19"/>
          <w:szCs w:val="19"/>
        </w:rPr>
      </w:pPr>
      <w:r w:rsidRPr="00A077E1">
        <w:rPr>
          <w:rFonts w:ascii="Arial" w:hAnsi="Arial" w:cs="Arial"/>
          <w:sz w:val="19"/>
          <w:szCs w:val="19"/>
        </w:rPr>
        <w:t xml:space="preserve">The </w:t>
      </w:r>
      <w:hyperlink r:id="rId11" w:tgtFrame="_blank" w:history="1">
        <w:r w:rsidRPr="00A077E1">
          <w:rPr>
            <w:rStyle w:val="normaltextrun"/>
            <w:rFonts w:ascii="Arial" w:eastAsiaTheme="majorEastAsia" w:hAnsi="Arial" w:cs="Arial"/>
            <w:color w:val="0563C1"/>
            <w:sz w:val="19"/>
            <w:szCs w:val="19"/>
            <w:u w:val="single"/>
          </w:rPr>
          <w:t>IFRC (2020) Step-by-step guide for rental assistance to people affected by crisis</w:t>
        </w:r>
      </w:hyperlink>
      <w:r w:rsidRPr="00A077E1">
        <w:rPr>
          <w:rFonts w:ascii="Arial" w:hAnsi="Arial" w:cs="Arial"/>
          <w:sz w:val="19"/>
          <w:szCs w:val="19"/>
        </w:rPr>
        <w:t xml:space="preserve"> , step 1, sub-step 2, provides information on the different shelter assistance options that can be considered</w:t>
      </w:r>
      <w:r w:rsidR="007B493F" w:rsidRPr="00A077E1">
        <w:rPr>
          <w:rFonts w:ascii="Arial" w:hAnsi="Arial" w:cs="Arial"/>
          <w:sz w:val="19"/>
          <w:szCs w:val="19"/>
        </w:rPr>
        <w:t>, and the list of considerations</w:t>
      </w:r>
      <w:r w:rsidRPr="00A077E1">
        <w:rPr>
          <w:rFonts w:ascii="Arial" w:hAnsi="Arial" w:cs="Arial"/>
          <w:sz w:val="19"/>
          <w:szCs w:val="19"/>
        </w:rPr>
        <w:t xml:space="preserve">. </w:t>
      </w:r>
      <w:r w:rsidR="000C5C99" w:rsidRPr="00A077E1">
        <w:rPr>
          <w:rFonts w:ascii="Arial" w:hAnsi="Arial" w:cs="Arial"/>
          <w:sz w:val="19"/>
          <w:szCs w:val="19"/>
        </w:rPr>
        <w:t xml:space="preserve"> Annex 2 of the step-by-step guide includes the use of a tool against a specific example scenario.</w:t>
      </w:r>
      <w:r w:rsidR="00F706BA" w:rsidRPr="00A077E1">
        <w:rPr>
          <w:rFonts w:ascii="Arial" w:hAnsi="Arial" w:cs="Arial"/>
          <w:sz w:val="19"/>
          <w:szCs w:val="19"/>
        </w:rPr>
        <w:t xml:space="preserve"> Note that you may undertake a </w:t>
      </w:r>
      <w:r w:rsidR="00E02490" w:rsidRPr="00A077E1">
        <w:rPr>
          <w:rFonts w:ascii="Arial" w:hAnsi="Arial" w:cs="Arial"/>
          <w:sz w:val="19"/>
          <w:szCs w:val="19"/>
        </w:rPr>
        <w:t xml:space="preserve">response option analysis in the initial weeks and months of the emergency and </w:t>
      </w:r>
      <w:r w:rsidR="00195FB8" w:rsidRPr="00A077E1">
        <w:rPr>
          <w:rFonts w:ascii="Arial" w:hAnsi="Arial" w:cs="Arial"/>
          <w:sz w:val="19"/>
          <w:szCs w:val="19"/>
        </w:rPr>
        <w:t xml:space="preserve">a revision or a separate response option analysis </w:t>
      </w:r>
      <w:r w:rsidR="00E02490" w:rsidRPr="00A077E1">
        <w:rPr>
          <w:rFonts w:ascii="Arial" w:hAnsi="Arial" w:cs="Arial"/>
          <w:sz w:val="19"/>
          <w:szCs w:val="19"/>
        </w:rPr>
        <w:t>when planning in recovery and mid-term/</w:t>
      </w:r>
      <w:r w:rsidR="00450A7C">
        <w:rPr>
          <w:rFonts w:ascii="Arial" w:hAnsi="Arial" w:cs="Arial"/>
          <w:sz w:val="19"/>
          <w:szCs w:val="19"/>
        </w:rPr>
        <w:t xml:space="preserve"> </w:t>
      </w:r>
      <w:r w:rsidR="00E02490" w:rsidRPr="00A077E1">
        <w:rPr>
          <w:rFonts w:ascii="Arial" w:hAnsi="Arial" w:cs="Arial"/>
          <w:sz w:val="19"/>
          <w:szCs w:val="19"/>
        </w:rPr>
        <w:t>long-term protracted crisis.</w:t>
      </w:r>
    </w:p>
    <w:p w14:paraId="3375F369" w14:textId="498934BB" w:rsidR="0000331E" w:rsidRPr="00A077E1" w:rsidRDefault="0000331E" w:rsidP="00A077E1">
      <w:pPr>
        <w:jc w:val="both"/>
        <w:rPr>
          <w:rFonts w:ascii="Arial" w:hAnsi="Arial" w:cs="Arial"/>
          <w:sz w:val="19"/>
          <w:szCs w:val="19"/>
        </w:rPr>
      </w:pPr>
      <w:r w:rsidRPr="00A077E1">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7BEEFEA1" wp14:editId="7001CB49">
                <wp:simplePos x="0" y="0"/>
                <wp:positionH relativeFrom="column">
                  <wp:posOffset>-6350</wp:posOffset>
                </wp:positionH>
                <wp:positionV relativeFrom="paragraph">
                  <wp:posOffset>330835</wp:posOffset>
                </wp:positionV>
                <wp:extent cx="5784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404620"/>
                        </a:xfrm>
                        <a:prstGeom prst="rect">
                          <a:avLst/>
                        </a:prstGeom>
                        <a:solidFill>
                          <a:srgbClr val="FEF5F4"/>
                        </a:solidFill>
                        <a:ln w="9525">
                          <a:noFill/>
                          <a:miter lim="800000"/>
                          <a:headEnd/>
                          <a:tailEnd/>
                        </a:ln>
                      </wps:spPr>
                      <wps:txbx>
                        <w:txbxContent>
                          <w:p w14:paraId="47288E3C" w14:textId="0036DCFB" w:rsidR="007B493F" w:rsidRPr="003967A7" w:rsidRDefault="000C5C99" w:rsidP="00A077E1">
                            <w:pPr>
                              <w:pStyle w:val="ListParagraph"/>
                              <w:numPr>
                                <w:ilvl w:val="0"/>
                                <w:numId w:val="34"/>
                              </w:numPr>
                              <w:shd w:val="clear" w:color="auto" w:fill="FEF5F4"/>
                              <w:rPr>
                                <w:rFonts w:ascii="Arial" w:hAnsi="Arial" w:cs="Arial"/>
                                <w:sz w:val="19"/>
                                <w:szCs w:val="19"/>
                              </w:rPr>
                            </w:pPr>
                            <w:r w:rsidRPr="003967A7">
                              <w:rPr>
                                <w:rFonts w:ascii="Arial" w:hAnsi="Arial" w:cs="Arial"/>
                                <w:sz w:val="19"/>
                                <w:szCs w:val="19"/>
                              </w:rPr>
                              <w:t xml:space="preserve">1.2 </w:t>
                            </w:r>
                            <w:r w:rsidR="007B493F" w:rsidRPr="003967A7">
                              <w:rPr>
                                <w:rFonts w:ascii="Arial" w:hAnsi="Arial" w:cs="Arial"/>
                                <w:sz w:val="19"/>
                                <w:szCs w:val="19"/>
                              </w:rPr>
                              <w:t>Tool_ShelterResponseOptionAnalysis.xlsx</w:t>
                            </w:r>
                          </w:p>
                          <w:p w14:paraId="6F780CE2" w14:textId="2B937D2B" w:rsidR="005E5C76" w:rsidRPr="003967A7" w:rsidRDefault="000A762D" w:rsidP="00A077E1">
                            <w:pPr>
                              <w:pStyle w:val="ListParagraph"/>
                              <w:numPr>
                                <w:ilvl w:val="1"/>
                                <w:numId w:val="34"/>
                              </w:numPr>
                              <w:shd w:val="clear" w:color="auto" w:fill="FEF5F4"/>
                              <w:rPr>
                                <w:rFonts w:ascii="Arial" w:hAnsi="Arial" w:cs="Arial"/>
                                <w:sz w:val="19"/>
                                <w:szCs w:val="19"/>
                              </w:rPr>
                            </w:pPr>
                            <w:r w:rsidRPr="003967A7">
                              <w:rPr>
                                <w:rFonts w:ascii="Arial" w:hAnsi="Arial" w:cs="Arial"/>
                                <w:sz w:val="19"/>
                                <w:szCs w:val="19"/>
                              </w:rPr>
                              <w:t>Editable s</w:t>
                            </w:r>
                            <w:r w:rsidR="001A78F5" w:rsidRPr="003967A7">
                              <w:rPr>
                                <w:rFonts w:ascii="Arial" w:hAnsi="Arial" w:cs="Arial"/>
                                <w:sz w:val="19"/>
                                <w:szCs w:val="19"/>
                              </w:rPr>
                              <w:t>preadsheet</w:t>
                            </w:r>
                            <w:r w:rsidRPr="003967A7">
                              <w:rPr>
                                <w:rFonts w:ascii="Arial" w:hAnsi="Arial" w:cs="Arial"/>
                                <w:sz w:val="19"/>
                                <w:szCs w:val="19"/>
                              </w:rPr>
                              <w:t xml:space="preserve"> based on the </w:t>
                            </w:r>
                            <w:r w:rsidR="001F4395" w:rsidRPr="003967A7">
                              <w:rPr>
                                <w:rFonts w:ascii="Arial" w:hAnsi="Arial" w:cs="Arial"/>
                                <w:sz w:val="19"/>
                                <w:szCs w:val="19"/>
                              </w:rPr>
                              <w:t>tool from the step-by-step guide</w:t>
                            </w:r>
                            <w:r w:rsidR="001A78F5" w:rsidRPr="003967A7">
                              <w:rPr>
                                <w:rFonts w:ascii="Arial" w:hAnsi="Arial" w:cs="Arial"/>
                                <w:sz w:val="19"/>
                                <w:szCs w:val="19"/>
                              </w:rPr>
                              <w:t xml:space="preserve"> that</w:t>
                            </w:r>
                            <w:r w:rsidR="007B493F" w:rsidRPr="003967A7">
                              <w:rPr>
                                <w:rFonts w:ascii="Arial" w:hAnsi="Arial" w:cs="Arial"/>
                                <w:sz w:val="19"/>
                                <w:szCs w:val="19"/>
                              </w:rPr>
                              <w:t xml:space="preserve"> can be used as a semi-quantitative method to compare different response options.  </w:t>
                            </w:r>
                            <w:r w:rsidR="001F4395" w:rsidRPr="003967A7">
                              <w:rPr>
                                <w:rFonts w:ascii="Arial" w:hAnsi="Arial" w:cs="Arial"/>
                                <w:sz w:val="19"/>
                                <w:szCs w:val="19"/>
                              </w:rPr>
                              <w:t>A</w:t>
                            </w:r>
                            <w:r w:rsidR="007B493F" w:rsidRPr="003967A7">
                              <w:rPr>
                                <w:rFonts w:ascii="Arial" w:hAnsi="Arial" w:cs="Arial"/>
                                <w:sz w:val="19"/>
                                <w:szCs w:val="19"/>
                              </w:rPr>
                              <w:t xml:space="preserve"> simple</w:t>
                            </w:r>
                            <w:r w:rsidR="001F4395" w:rsidRPr="003967A7">
                              <w:rPr>
                                <w:rFonts w:ascii="Arial" w:hAnsi="Arial" w:cs="Arial"/>
                                <w:sz w:val="19"/>
                                <w:szCs w:val="19"/>
                              </w:rPr>
                              <w:t>r</w:t>
                            </w:r>
                            <w:r w:rsidR="007B493F" w:rsidRPr="003967A7">
                              <w:rPr>
                                <w:rFonts w:ascii="Arial" w:hAnsi="Arial" w:cs="Arial"/>
                                <w:sz w:val="19"/>
                                <w:szCs w:val="19"/>
                              </w:rPr>
                              <w:t xml:space="preserve"> use of this tool </w:t>
                            </w:r>
                            <w:r w:rsidR="002A05AA" w:rsidRPr="003967A7">
                              <w:rPr>
                                <w:rFonts w:ascii="Arial" w:hAnsi="Arial" w:cs="Arial"/>
                                <w:sz w:val="19"/>
                                <w:szCs w:val="19"/>
                              </w:rPr>
                              <w:t>involves not</w:t>
                            </w:r>
                            <w:r w:rsidR="007B493F" w:rsidRPr="003967A7">
                              <w:rPr>
                                <w:rFonts w:ascii="Arial" w:hAnsi="Arial" w:cs="Arial"/>
                                <w:sz w:val="19"/>
                                <w:szCs w:val="19"/>
                              </w:rPr>
                              <w:t xml:space="preserve"> </w:t>
                            </w:r>
                            <w:r w:rsidR="00A83C28" w:rsidRPr="003967A7">
                              <w:rPr>
                                <w:rFonts w:ascii="Arial" w:hAnsi="Arial" w:cs="Arial"/>
                                <w:sz w:val="19"/>
                                <w:szCs w:val="19"/>
                              </w:rPr>
                              <w:t>filling in the</w:t>
                            </w:r>
                            <w:r w:rsidR="007B493F" w:rsidRPr="003967A7">
                              <w:rPr>
                                <w:rFonts w:ascii="Arial" w:hAnsi="Arial" w:cs="Arial"/>
                                <w:sz w:val="19"/>
                                <w:szCs w:val="19"/>
                              </w:rPr>
                              <w:t xml:space="preserve"> numbers </w:t>
                            </w:r>
                            <w:r w:rsidR="00A83C28" w:rsidRPr="003967A7">
                              <w:rPr>
                                <w:rFonts w:ascii="Arial" w:hAnsi="Arial" w:cs="Arial"/>
                                <w:sz w:val="19"/>
                                <w:szCs w:val="19"/>
                              </w:rPr>
                              <w:t xml:space="preserve">but </w:t>
                            </w:r>
                            <w:r w:rsidR="007B493F" w:rsidRPr="003967A7">
                              <w:rPr>
                                <w:rFonts w:ascii="Arial" w:hAnsi="Arial" w:cs="Arial"/>
                                <w:sz w:val="19"/>
                                <w:szCs w:val="19"/>
                              </w:rPr>
                              <w:t>just completing it with narrative to show what has been considered in relation to each response option.</w:t>
                            </w:r>
                            <w:r w:rsidR="00675CE5" w:rsidRPr="003967A7">
                              <w:rPr>
                                <w:rFonts w:ascii="Arial" w:hAnsi="Arial" w:cs="Arial"/>
                                <w:sz w:val="19"/>
                                <w:szCs w:val="19"/>
                              </w:rPr>
                              <w:t xml:space="preserve"> Available in French and Spanish.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EFEA1" id="_x0000_t202" coordsize="21600,21600" o:spt="202" path="m,l,21600r21600,l21600,xe">
                <v:stroke joinstyle="miter"/>
                <v:path gradientshapeok="t" o:connecttype="rect"/>
              </v:shapetype>
              <v:shape id="Text Box 2" o:spid="_x0000_s1026" type="#_x0000_t202" style="position:absolute;left:0;text-align:left;margin-left:-.5pt;margin-top:26.05pt;width: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" fillcolor="#fef5f4" stroked="f">
                <v:textbox style="mso-fit-shape-to-text:t">
                  <w:txbxContent>
                    <w:p w14:paraId="47288E3C" w14:textId="0036DCFB" w:rsidR="007B493F" w:rsidRPr="003967A7" w:rsidRDefault="000C5C99" w:rsidP="00A077E1">
                      <w:pPr>
                        <w:pStyle w:val="ListParagraph"/>
                        <w:numPr>
                          <w:ilvl w:val="0"/>
                          <w:numId w:val="34"/>
                        </w:numPr>
                        <w:shd w:val="clear" w:color="auto" w:fill="FEF5F4"/>
                        <w:rPr>
                          <w:rFonts w:ascii="Arial" w:hAnsi="Arial" w:cs="Arial"/>
                          <w:sz w:val="19"/>
                          <w:szCs w:val="19"/>
                        </w:rPr>
                      </w:pPr>
                      <w:r w:rsidRPr="003967A7">
                        <w:rPr>
                          <w:rFonts w:ascii="Arial" w:hAnsi="Arial" w:cs="Arial"/>
                          <w:sz w:val="19"/>
                          <w:szCs w:val="19"/>
                        </w:rPr>
                        <w:t xml:space="preserve">1.2 </w:t>
                      </w:r>
                      <w:r w:rsidR="007B493F" w:rsidRPr="003967A7">
                        <w:rPr>
                          <w:rFonts w:ascii="Arial" w:hAnsi="Arial" w:cs="Arial"/>
                          <w:sz w:val="19"/>
                          <w:szCs w:val="19"/>
                        </w:rPr>
                        <w:t>Tool_ShelterResponseOptionAnalysis.xlsx</w:t>
                      </w:r>
                    </w:p>
                    <w:p w14:paraId="6F780CE2" w14:textId="2B937D2B" w:rsidR="005E5C76" w:rsidRPr="003967A7" w:rsidRDefault="000A762D" w:rsidP="00A077E1">
                      <w:pPr>
                        <w:pStyle w:val="ListParagraph"/>
                        <w:numPr>
                          <w:ilvl w:val="1"/>
                          <w:numId w:val="34"/>
                        </w:numPr>
                        <w:shd w:val="clear" w:color="auto" w:fill="FEF5F4"/>
                        <w:rPr>
                          <w:rFonts w:ascii="Arial" w:hAnsi="Arial" w:cs="Arial"/>
                          <w:sz w:val="19"/>
                          <w:szCs w:val="19"/>
                        </w:rPr>
                      </w:pPr>
                      <w:r w:rsidRPr="003967A7">
                        <w:rPr>
                          <w:rFonts w:ascii="Arial" w:hAnsi="Arial" w:cs="Arial"/>
                          <w:sz w:val="19"/>
                          <w:szCs w:val="19"/>
                        </w:rPr>
                        <w:t>Editable s</w:t>
                      </w:r>
                      <w:r w:rsidR="001A78F5" w:rsidRPr="003967A7">
                        <w:rPr>
                          <w:rFonts w:ascii="Arial" w:hAnsi="Arial" w:cs="Arial"/>
                          <w:sz w:val="19"/>
                          <w:szCs w:val="19"/>
                        </w:rPr>
                        <w:t>preadsheet</w:t>
                      </w:r>
                      <w:r w:rsidRPr="003967A7">
                        <w:rPr>
                          <w:rFonts w:ascii="Arial" w:hAnsi="Arial" w:cs="Arial"/>
                          <w:sz w:val="19"/>
                          <w:szCs w:val="19"/>
                        </w:rPr>
                        <w:t xml:space="preserve"> based on the </w:t>
                      </w:r>
                      <w:r w:rsidR="001F4395" w:rsidRPr="003967A7">
                        <w:rPr>
                          <w:rFonts w:ascii="Arial" w:hAnsi="Arial" w:cs="Arial"/>
                          <w:sz w:val="19"/>
                          <w:szCs w:val="19"/>
                        </w:rPr>
                        <w:t>tool from the step-by-step guide</w:t>
                      </w:r>
                      <w:r w:rsidR="001A78F5" w:rsidRPr="003967A7">
                        <w:rPr>
                          <w:rFonts w:ascii="Arial" w:hAnsi="Arial" w:cs="Arial"/>
                          <w:sz w:val="19"/>
                          <w:szCs w:val="19"/>
                        </w:rPr>
                        <w:t xml:space="preserve"> that</w:t>
                      </w:r>
                      <w:r w:rsidR="007B493F" w:rsidRPr="003967A7">
                        <w:rPr>
                          <w:rFonts w:ascii="Arial" w:hAnsi="Arial" w:cs="Arial"/>
                          <w:sz w:val="19"/>
                          <w:szCs w:val="19"/>
                        </w:rPr>
                        <w:t xml:space="preserve"> can be used as a semi-quantitative method to compare different response options.  </w:t>
                      </w:r>
                      <w:r w:rsidR="001F4395" w:rsidRPr="003967A7">
                        <w:rPr>
                          <w:rFonts w:ascii="Arial" w:hAnsi="Arial" w:cs="Arial"/>
                          <w:sz w:val="19"/>
                          <w:szCs w:val="19"/>
                        </w:rPr>
                        <w:t>A</w:t>
                      </w:r>
                      <w:r w:rsidR="007B493F" w:rsidRPr="003967A7">
                        <w:rPr>
                          <w:rFonts w:ascii="Arial" w:hAnsi="Arial" w:cs="Arial"/>
                          <w:sz w:val="19"/>
                          <w:szCs w:val="19"/>
                        </w:rPr>
                        <w:t xml:space="preserve"> simple</w:t>
                      </w:r>
                      <w:r w:rsidR="001F4395" w:rsidRPr="003967A7">
                        <w:rPr>
                          <w:rFonts w:ascii="Arial" w:hAnsi="Arial" w:cs="Arial"/>
                          <w:sz w:val="19"/>
                          <w:szCs w:val="19"/>
                        </w:rPr>
                        <w:t>r</w:t>
                      </w:r>
                      <w:r w:rsidR="007B493F" w:rsidRPr="003967A7">
                        <w:rPr>
                          <w:rFonts w:ascii="Arial" w:hAnsi="Arial" w:cs="Arial"/>
                          <w:sz w:val="19"/>
                          <w:szCs w:val="19"/>
                        </w:rPr>
                        <w:t xml:space="preserve"> use of this tool </w:t>
                      </w:r>
                      <w:r w:rsidR="002A05AA" w:rsidRPr="003967A7">
                        <w:rPr>
                          <w:rFonts w:ascii="Arial" w:hAnsi="Arial" w:cs="Arial"/>
                          <w:sz w:val="19"/>
                          <w:szCs w:val="19"/>
                        </w:rPr>
                        <w:t>involves not</w:t>
                      </w:r>
                      <w:r w:rsidR="007B493F" w:rsidRPr="003967A7">
                        <w:rPr>
                          <w:rFonts w:ascii="Arial" w:hAnsi="Arial" w:cs="Arial"/>
                          <w:sz w:val="19"/>
                          <w:szCs w:val="19"/>
                        </w:rPr>
                        <w:t xml:space="preserve"> </w:t>
                      </w:r>
                      <w:r w:rsidR="00A83C28" w:rsidRPr="003967A7">
                        <w:rPr>
                          <w:rFonts w:ascii="Arial" w:hAnsi="Arial" w:cs="Arial"/>
                          <w:sz w:val="19"/>
                          <w:szCs w:val="19"/>
                        </w:rPr>
                        <w:t>filling in the</w:t>
                      </w:r>
                      <w:r w:rsidR="007B493F" w:rsidRPr="003967A7">
                        <w:rPr>
                          <w:rFonts w:ascii="Arial" w:hAnsi="Arial" w:cs="Arial"/>
                          <w:sz w:val="19"/>
                          <w:szCs w:val="19"/>
                        </w:rPr>
                        <w:t xml:space="preserve"> numbers </w:t>
                      </w:r>
                      <w:r w:rsidR="00A83C28" w:rsidRPr="003967A7">
                        <w:rPr>
                          <w:rFonts w:ascii="Arial" w:hAnsi="Arial" w:cs="Arial"/>
                          <w:sz w:val="19"/>
                          <w:szCs w:val="19"/>
                        </w:rPr>
                        <w:t xml:space="preserve">but </w:t>
                      </w:r>
                      <w:r w:rsidR="007B493F" w:rsidRPr="003967A7">
                        <w:rPr>
                          <w:rFonts w:ascii="Arial" w:hAnsi="Arial" w:cs="Arial"/>
                          <w:sz w:val="19"/>
                          <w:szCs w:val="19"/>
                        </w:rPr>
                        <w:t>just completing it with narrative to show what has been considered in relation to each response option.</w:t>
                      </w:r>
                      <w:r w:rsidR="00675CE5" w:rsidRPr="003967A7">
                        <w:rPr>
                          <w:rFonts w:ascii="Arial" w:hAnsi="Arial" w:cs="Arial"/>
                          <w:sz w:val="19"/>
                          <w:szCs w:val="19"/>
                        </w:rPr>
                        <w:t xml:space="preserve"> Available in French and Spanish.</w:t>
                      </w:r>
                    </w:p>
                  </w:txbxContent>
                </v:textbox>
                <w10:wrap type="square"/>
              </v:shape>
            </w:pict>
          </mc:Fallback>
        </mc:AlternateContent>
      </w:r>
      <w:r w:rsidR="000A762D" w:rsidRPr="00A077E1">
        <w:rPr>
          <w:rFonts w:ascii="Arial" w:hAnsi="Arial" w:cs="Arial"/>
          <w:noProof/>
          <w:sz w:val="19"/>
          <w:szCs w:val="19"/>
        </w:rPr>
        <w:t>A tool</w:t>
      </w:r>
      <w:r w:rsidRPr="00A077E1">
        <w:rPr>
          <w:rFonts w:ascii="Arial" w:hAnsi="Arial" w:cs="Arial"/>
          <w:sz w:val="19"/>
          <w:szCs w:val="19"/>
        </w:rPr>
        <w:t xml:space="preserve"> from the tool</w:t>
      </w:r>
      <w:r w:rsidR="006766EA" w:rsidRPr="00A077E1">
        <w:rPr>
          <w:rFonts w:ascii="Arial" w:hAnsi="Arial" w:cs="Arial"/>
          <w:sz w:val="19"/>
          <w:szCs w:val="19"/>
        </w:rPr>
        <w:t>kit</w:t>
      </w:r>
      <w:r w:rsidRPr="00A077E1">
        <w:rPr>
          <w:rFonts w:ascii="Arial" w:hAnsi="Arial" w:cs="Arial"/>
          <w:sz w:val="19"/>
          <w:szCs w:val="19"/>
        </w:rPr>
        <w:t>, that may be useful to assist here include</w:t>
      </w:r>
      <w:r w:rsidR="000A762D" w:rsidRPr="00A077E1">
        <w:rPr>
          <w:rFonts w:ascii="Arial" w:hAnsi="Arial" w:cs="Arial"/>
          <w:sz w:val="19"/>
          <w:szCs w:val="19"/>
        </w:rPr>
        <w:t>s</w:t>
      </w:r>
      <w:r w:rsidRPr="00A077E1">
        <w:rPr>
          <w:rFonts w:ascii="Arial" w:hAnsi="Arial" w:cs="Arial"/>
          <w:sz w:val="19"/>
          <w:szCs w:val="19"/>
        </w:rPr>
        <w:t>:</w:t>
      </w:r>
    </w:p>
    <w:p w14:paraId="54A43E59" w14:textId="77777777" w:rsidR="009B6362" w:rsidRPr="00A077E1" w:rsidRDefault="009B6362" w:rsidP="00A077E1">
      <w:pPr>
        <w:jc w:val="both"/>
        <w:rPr>
          <w:rFonts w:ascii="Arial" w:hAnsi="Arial" w:cs="Arial"/>
          <w:sz w:val="19"/>
          <w:szCs w:val="19"/>
        </w:rPr>
      </w:pPr>
    </w:p>
    <w:sectPr w:rsidR="009B6362" w:rsidRPr="00A077E1" w:rsidSect="0023235A">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A400" w14:textId="77777777" w:rsidR="00304ABA" w:rsidRDefault="00304ABA" w:rsidP="001301EF">
      <w:pPr>
        <w:spacing w:after="0" w:line="240" w:lineRule="auto"/>
      </w:pPr>
      <w:r>
        <w:separator/>
      </w:r>
    </w:p>
  </w:endnote>
  <w:endnote w:type="continuationSeparator" w:id="0">
    <w:p w14:paraId="04A59A81" w14:textId="77777777" w:rsidR="00304ABA" w:rsidRDefault="00304ABA"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2DA4" w14:textId="52DCB023" w:rsidR="00A614AF" w:rsidRDefault="00A614AF">
    <w:pPr>
      <w:pStyle w:val="Footer"/>
    </w:pPr>
    <w:r>
      <w:rPr>
        <w:noProof/>
      </w:rPr>
      <mc:AlternateContent>
        <mc:Choice Requires="wps">
          <w:drawing>
            <wp:anchor distT="0" distB="0" distL="0" distR="0" simplePos="0" relativeHeight="251659264" behindDoc="0" locked="0" layoutInCell="1" allowOverlap="1" wp14:anchorId="775E17FC" wp14:editId="7CC6693B">
              <wp:simplePos x="635" y="635"/>
              <wp:positionH relativeFrom="page">
                <wp:align>left</wp:align>
              </wp:positionH>
              <wp:positionV relativeFrom="page">
                <wp:align>bottom</wp:align>
              </wp:positionV>
              <wp:extent cx="443865" cy="443865"/>
              <wp:effectExtent l="0" t="0" r="9525" b="0"/>
              <wp:wrapNone/>
              <wp:docPr id="21" name="Text Box 2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5E17FC" id="_x0000_t202" coordsize="21600,21600" o:spt="202" path="m,l,21600r21600,l21600,xe">
              <v:stroke joinstyle="miter"/>
              <v:path gradientshapeok="t" o:connecttype="rect"/>
            </v:shapetype>
            <v:shape id="Text Box 21" o:spid="_x0000_s1028"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90FF" w14:textId="3BFBAFAB" w:rsidR="00F14540" w:rsidRDefault="00F14540">
    <w:pPr>
      <w:pStyle w:val="Footer"/>
      <w:jc w:val="right"/>
    </w:pPr>
  </w:p>
  <w:p w14:paraId="72C7B2C5" w14:textId="77777777" w:rsidR="00F14540" w:rsidRDefault="00F1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6BE8" w14:textId="6ED5C0E4" w:rsidR="00A614AF" w:rsidRDefault="00A614AF">
    <w:pPr>
      <w:pStyle w:val="Footer"/>
    </w:pPr>
    <w:r>
      <w:rPr>
        <w:noProof/>
      </w:rPr>
      <mc:AlternateContent>
        <mc:Choice Requires="wps">
          <w:drawing>
            <wp:anchor distT="0" distB="0" distL="0" distR="0" simplePos="0" relativeHeight="251658240" behindDoc="0" locked="0" layoutInCell="1" allowOverlap="1" wp14:anchorId="1955E903" wp14:editId="0F275CF1">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55E903" id="_x0000_t202" coordsize="21600,21600" o:spt="202" path="m,l,21600r21600,l21600,xe">
              <v:stroke joinstyle="miter"/>
              <v:path gradientshapeok="t" o:connecttype="rect"/>
            </v:shapetype>
            <v:shape id="Text Box 1" o:spid="_x0000_s1029"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3049D48" w14:textId="5312B144"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4044" w14:textId="77777777" w:rsidR="00304ABA" w:rsidRDefault="00304ABA" w:rsidP="001301EF">
      <w:pPr>
        <w:spacing w:after="0" w:line="240" w:lineRule="auto"/>
      </w:pPr>
      <w:r>
        <w:separator/>
      </w:r>
    </w:p>
  </w:footnote>
  <w:footnote w:type="continuationSeparator" w:id="0">
    <w:p w14:paraId="1AED7246" w14:textId="77777777" w:rsidR="00304ABA" w:rsidRDefault="00304ABA"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535B" w14:textId="2866DF1F" w:rsidR="001301EF" w:rsidRDefault="00A077E1">
    <w:pPr>
      <w:pStyle w:val="Header"/>
    </w:pPr>
    <w:r>
      <w:rPr>
        <w:rFonts w:ascii="Arial" w:hAnsi="Arial" w:cs="Arial"/>
        <w:b/>
        <w:bCs/>
        <w:noProof/>
        <w:sz w:val="19"/>
        <w:szCs w:val="19"/>
      </w:rPr>
      <mc:AlternateContent>
        <mc:Choice Requires="wps">
          <w:drawing>
            <wp:anchor distT="0" distB="0" distL="114300" distR="114300" simplePos="0" relativeHeight="251662336" behindDoc="0" locked="0" layoutInCell="1" allowOverlap="1" wp14:anchorId="64CE8131" wp14:editId="5BA8817E">
              <wp:simplePos x="0" y="0"/>
              <wp:positionH relativeFrom="column">
                <wp:posOffset>1564640</wp:posOffset>
              </wp:positionH>
              <wp:positionV relativeFrom="paragraph">
                <wp:posOffset>109220</wp:posOffset>
              </wp:positionV>
              <wp:extent cx="3799840" cy="833120"/>
              <wp:effectExtent l="0" t="0" r="0" b="0"/>
              <wp:wrapNone/>
              <wp:docPr id="1924065200" name="Cuadro de texto 2"/>
              <wp:cNvGraphicFramePr/>
              <a:graphic xmlns:a="http://schemas.openxmlformats.org/drawingml/2006/main">
                <a:graphicData uri="http://schemas.microsoft.com/office/word/2010/wordprocessingShape">
                  <wps:wsp>
                    <wps:cNvSpPr txBox="1"/>
                    <wps:spPr>
                      <a:xfrm>
                        <a:off x="0" y="0"/>
                        <a:ext cx="3799840" cy="833120"/>
                      </a:xfrm>
                      <a:prstGeom prst="rect">
                        <a:avLst/>
                      </a:prstGeom>
                      <a:noFill/>
                      <a:ln w="6350">
                        <a:noFill/>
                      </a:ln>
                    </wps:spPr>
                    <wps:txbx>
                      <w:txbxContent>
                        <w:p w14:paraId="020C784F" w14:textId="4FE3F7C4" w:rsidR="00A077E1" w:rsidRPr="009503F7" w:rsidRDefault="00A077E1" w:rsidP="00A077E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077E1">
                            <w:rPr>
                              <w:rFonts w:ascii="Century Gothic" w:eastAsiaTheme="majorEastAsia" w:hAnsi="Century Gothic" w:cs="Arial"/>
                              <w:b/>
                              <w:bCs/>
                              <w:color w:val="F5333F"/>
                              <w:spacing w:val="-10"/>
                              <w:kern w:val="28"/>
                              <w:sz w:val="44"/>
                              <w:szCs w:val="44"/>
                            </w:rPr>
                            <w:t>SoP 1.2 – Response Option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E8131" id="_x0000_t202" coordsize="21600,21600" o:spt="202" path="m,l,21600r21600,l21600,xe">
              <v:stroke joinstyle="miter"/>
              <v:path gradientshapeok="t" o:connecttype="rect"/>
            </v:shapetype>
            <v:shape id="Cuadro de texto 2" o:spid="_x0000_s1027" type="#_x0000_t202" style="position:absolute;margin-left:123.2pt;margin-top:8.6pt;width:299.2pt;height: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" filled="f" stroked="f" strokeweight=".5pt">
              <v:textbox>
                <w:txbxContent>
                  <w:p w14:paraId="020C784F" w14:textId="4FE3F7C4" w:rsidR="00A077E1" w:rsidRPr="009503F7" w:rsidRDefault="00A077E1" w:rsidP="00A077E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A077E1">
                      <w:rPr>
                        <w:rFonts w:ascii="Century Gothic" w:eastAsiaTheme="majorEastAsia" w:hAnsi="Century Gothic" w:cs="Arial"/>
                        <w:b/>
                        <w:bCs/>
                        <w:color w:val="F5333F"/>
                        <w:spacing w:val="-10"/>
                        <w:kern w:val="28"/>
                        <w:sz w:val="44"/>
                        <w:szCs w:val="44"/>
                      </w:rPr>
                      <w:t>SoP 1.2 – Response Option Analysis</w:t>
                    </w:r>
                  </w:p>
                </w:txbxContent>
              </v:textbox>
            </v:shape>
          </w:pict>
        </mc:Fallback>
      </mc:AlternateContent>
    </w:r>
    <w:r>
      <w:rPr>
        <w:rFonts w:ascii="Arial" w:hAnsi="Arial" w:cs="Arial"/>
        <w:b/>
        <w:bCs/>
        <w:noProof/>
        <w:sz w:val="19"/>
        <w:szCs w:val="19"/>
      </w:rPr>
      <w:drawing>
        <wp:anchor distT="0" distB="0" distL="114300" distR="114300" simplePos="0" relativeHeight="251661312" behindDoc="0" locked="0" layoutInCell="1" allowOverlap="1" wp14:anchorId="706E836C" wp14:editId="24300D22">
          <wp:simplePos x="0" y="0"/>
          <wp:positionH relativeFrom="column">
            <wp:posOffset>-904240</wp:posOffset>
          </wp:positionH>
          <wp:positionV relativeFrom="page">
            <wp:posOffset>-48895</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53AB"/>
    <w:multiLevelType w:val="hybridMultilevel"/>
    <w:tmpl w:val="44C0CEF8"/>
    <w:lvl w:ilvl="0" w:tplc="0C5A1C8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8B"/>
    <w:multiLevelType w:val="hybridMultilevel"/>
    <w:tmpl w:val="8ABE33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104D9"/>
    <w:multiLevelType w:val="hybridMultilevel"/>
    <w:tmpl w:val="6916E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54073"/>
    <w:multiLevelType w:val="hybridMultilevel"/>
    <w:tmpl w:val="6656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2" w15:restartNumberingAfterBreak="0">
    <w:nsid w:val="39803093"/>
    <w:multiLevelType w:val="hybridMultilevel"/>
    <w:tmpl w:val="71229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0CB"/>
    <w:multiLevelType w:val="hybridMultilevel"/>
    <w:tmpl w:val="82706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7F2BB9"/>
    <w:multiLevelType w:val="hybridMultilevel"/>
    <w:tmpl w:val="1BF05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A3835"/>
    <w:multiLevelType w:val="hybridMultilevel"/>
    <w:tmpl w:val="88AEFD0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914B54"/>
    <w:multiLevelType w:val="hybridMultilevel"/>
    <w:tmpl w:val="1AEC4690"/>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72967"/>
    <w:multiLevelType w:val="hybridMultilevel"/>
    <w:tmpl w:val="8ABE3360"/>
    <w:lvl w:ilvl="0" w:tplc="0D385E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506B7C"/>
    <w:multiLevelType w:val="hybridMultilevel"/>
    <w:tmpl w:val="83E45986"/>
    <w:lvl w:ilvl="0" w:tplc="BD701FA2">
      <w:start w:val="1"/>
      <w:numFmt w:val="bullet"/>
      <w:lvlText w:val="•"/>
      <w:lvlJc w:val="left"/>
      <w:pPr>
        <w:tabs>
          <w:tab w:val="num" w:pos="360"/>
        </w:tabs>
        <w:ind w:left="360" w:hanging="360"/>
      </w:pPr>
      <w:rPr>
        <w:rFonts w:ascii="Times New Roman" w:hAnsi="Times New Roman" w:hint="default"/>
      </w:rPr>
    </w:lvl>
    <w:lvl w:ilvl="1" w:tplc="DFAEC96C">
      <w:numFmt w:val="bullet"/>
      <w:lvlText w:val="•"/>
      <w:lvlJc w:val="left"/>
      <w:pPr>
        <w:tabs>
          <w:tab w:val="num" w:pos="1080"/>
        </w:tabs>
        <w:ind w:left="1080" w:hanging="360"/>
      </w:pPr>
      <w:rPr>
        <w:rFonts w:ascii="Times New Roman" w:hAnsi="Times New Roman" w:hint="default"/>
      </w:rPr>
    </w:lvl>
    <w:lvl w:ilvl="2" w:tplc="E968B71E" w:tentative="1">
      <w:start w:val="1"/>
      <w:numFmt w:val="bullet"/>
      <w:lvlText w:val="•"/>
      <w:lvlJc w:val="left"/>
      <w:pPr>
        <w:tabs>
          <w:tab w:val="num" w:pos="1800"/>
        </w:tabs>
        <w:ind w:left="1800" w:hanging="360"/>
      </w:pPr>
      <w:rPr>
        <w:rFonts w:ascii="Times New Roman" w:hAnsi="Times New Roman" w:hint="default"/>
      </w:rPr>
    </w:lvl>
    <w:lvl w:ilvl="3" w:tplc="A0B23CAC" w:tentative="1">
      <w:start w:val="1"/>
      <w:numFmt w:val="bullet"/>
      <w:lvlText w:val="•"/>
      <w:lvlJc w:val="left"/>
      <w:pPr>
        <w:tabs>
          <w:tab w:val="num" w:pos="2520"/>
        </w:tabs>
        <w:ind w:left="2520" w:hanging="360"/>
      </w:pPr>
      <w:rPr>
        <w:rFonts w:ascii="Times New Roman" w:hAnsi="Times New Roman" w:hint="default"/>
      </w:rPr>
    </w:lvl>
    <w:lvl w:ilvl="4" w:tplc="E1BA26AC" w:tentative="1">
      <w:start w:val="1"/>
      <w:numFmt w:val="bullet"/>
      <w:lvlText w:val="•"/>
      <w:lvlJc w:val="left"/>
      <w:pPr>
        <w:tabs>
          <w:tab w:val="num" w:pos="3240"/>
        </w:tabs>
        <w:ind w:left="3240" w:hanging="360"/>
      </w:pPr>
      <w:rPr>
        <w:rFonts w:ascii="Times New Roman" w:hAnsi="Times New Roman" w:hint="default"/>
      </w:rPr>
    </w:lvl>
    <w:lvl w:ilvl="5" w:tplc="01D80BE6" w:tentative="1">
      <w:start w:val="1"/>
      <w:numFmt w:val="bullet"/>
      <w:lvlText w:val="•"/>
      <w:lvlJc w:val="left"/>
      <w:pPr>
        <w:tabs>
          <w:tab w:val="num" w:pos="3960"/>
        </w:tabs>
        <w:ind w:left="3960" w:hanging="360"/>
      </w:pPr>
      <w:rPr>
        <w:rFonts w:ascii="Times New Roman" w:hAnsi="Times New Roman" w:hint="default"/>
      </w:rPr>
    </w:lvl>
    <w:lvl w:ilvl="6" w:tplc="B0ECF9CA" w:tentative="1">
      <w:start w:val="1"/>
      <w:numFmt w:val="bullet"/>
      <w:lvlText w:val="•"/>
      <w:lvlJc w:val="left"/>
      <w:pPr>
        <w:tabs>
          <w:tab w:val="num" w:pos="4680"/>
        </w:tabs>
        <w:ind w:left="4680" w:hanging="360"/>
      </w:pPr>
      <w:rPr>
        <w:rFonts w:ascii="Times New Roman" w:hAnsi="Times New Roman" w:hint="default"/>
      </w:rPr>
    </w:lvl>
    <w:lvl w:ilvl="7" w:tplc="58E24184" w:tentative="1">
      <w:start w:val="1"/>
      <w:numFmt w:val="bullet"/>
      <w:lvlText w:val="•"/>
      <w:lvlJc w:val="left"/>
      <w:pPr>
        <w:tabs>
          <w:tab w:val="num" w:pos="5400"/>
        </w:tabs>
        <w:ind w:left="5400" w:hanging="360"/>
      </w:pPr>
      <w:rPr>
        <w:rFonts w:ascii="Times New Roman" w:hAnsi="Times New Roman" w:hint="default"/>
      </w:rPr>
    </w:lvl>
    <w:lvl w:ilvl="8" w:tplc="CFDCD2C8"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31E451D"/>
    <w:multiLevelType w:val="hybridMultilevel"/>
    <w:tmpl w:val="74463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A3FFB"/>
    <w:multiLevelType w:val="hybridMultilevel"/>
    <w:tmpl w:val="6D942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7392C"/>
    <w:multiLevelType w:val="hybridMultilevel"/>
    <w:tmpl w:val="1AA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86651"/>
    <w:multiLevelType w:val="hybridMultilevel"/>
    <w:tmpl w:val="C66CCA5A"/>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51936"/>
    <w:multiLevelType w:val="hybridMultilevel"/>
    <w:tmpl w:val="F93C1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BC603F"/>
    <w:multiLevelType w:val="hybridMultilevel"/>
    <w:tmpl w:val="3A925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0701F"/>
    <w:multiLevelType w:val="hybridMultilevel"/>
    <w:tmpl w:val="430C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F628F3"/>
    <w:multiLevelType w:val="hybridMultilevel"/>
    <w:tmpl w:val="3AE01744"/>
    <w:lvl w:ilvl="0" w:tplc="C4BC1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1556221">
    <w:abstractNumId w:val="14"/>
  </w:num>
  <w:num w:numId="2" w16cid:durableId="1307317685">
    <w:abstractNumId w:val="31"/>
  </w:num>
  <w:num w:numId="3" w16cid:durableId="1375888059">
    <w:abstractNumId w:val="11"/>
  </w:num>
  <w:num w:numId="4" w16cid:durableId="462117161">
    <w:abstractNumId w:val="13"/>
  </w:num>
  <w:num w:numId="5" w16cid:durableId="1171137479">
    <w:abstractNumId w:val="10"/>
  </w:num>
  <w:num w:numId="6" w16cid:durableId="2081638827">
    <w:abstractNumId w:val="1"/>
  </w:num>
  <w:num w:numId="7" w16cid:durableId="1869102553">
    <w:abstractNumId w:val="30"/>
  </w:num>
  <w:num w:numId="8" w16cid:durableId="1699771869">
    <w:abstractNumId w:val="6"/>
  </w:num>
  <w:num w:numId="9" w16cid:durableId="32118787">
    <w:abstractNumId w:val="23"/>
  </w:num>
  <w:num w:numId="10" w16cid:durableId="565803007">
    <w:abstractNumId w:val="0"/>
  </w:num>
  <w:num w:numId="11" w16cid:durableId="723526735">
    <w:abstractNumId w:val="3"/>
  </w:num>
  <w:num w:numId="12" w16cid:durableId="352607706">
    <w:abstractNumId w:val="19"/>
  </w:num>
  <w:num w:numId="13" w16cid:durableId="1140419985">
    <w:abstractNumId w:val="4"/>
  </w:num>
  <w:num w:numId="14" w16cid:durableId="1567229601">
    <w:abstractNumId w:val="16"/>
  </w:num>
  <w:num w:numId="15" w16cid:durableId="4870481">
    <w:abstractNumId w:val="18"/>
  </w:num>
  <w:num w:numId="16" w16cid:durableId="1827280461">
    <w:abstractNumId w:val="17"/>
  </w:num>
  <w:num w:numId="17" w16cid:durableId="62681521">
    <w:abstractNumId w:val="24"/>
  </w:num>
  <w:num w:numId="18" w16cid:durableId="1324118540">
    <w:abstractNumId w:val="2"/>
  </w:num>
  <w:num w:numId="19" w16cid:durableId="1425036556">
    <w:abstractNumId w:val="22"/>
  </w:num>
  <w:num w:numId="20" w16cid:durableId="533888741">
    <w:abstractNumId w:val="25"/>
  </w:num>
  <w:num w:numId="21" w16cid:durableId="1099132617">
    <w:abstractNumId w:val="33"/>
  </w:num>
  <w:num w:numId="22" w16cid:durableId="1771313626">
    <w:abstractNumId w:val="21"/>
  </w:num>
  <w:num w:numId="23" w16cid:durableId="133766882">
    <w:abstractNumId w:val="5"/>
  </w:num>
  <w:num w:numId="24" w16cid:durableId="898173799">
    <w:abstractNumId w:val="8"/>
  </w:num>
  <w:num w:numId="25" w16cid:durableId="1943685314">
    <w:abstractNumId w:val="32"/>
  </w:num>
  <w:num w:numId="26" w16cid:durableId="2008089935">
    <w:abstractNumId w:val="27"/>
  </w:num>
  <w:num w:numId="27" w16cid:durableId="1903052690">
    <w:abstractNumId w:val="28"/>
  </w:num>
  <w:num w:numId="28" w16cid:durableId="2029136947">
    <w:abstractNumId w:val="26"/>
  </w:num>
  <w:num w:numId="29" w16cid:durableId="176311794">
    <w:abstractNumId w:val="29"/>
  </w:num>
  <w:num w:numId="30" w16cid:durableId="1823153104">
    <w:abstractNumId w:val="9"/>
  </w:num>
  <w:num w:numId="31" w16cid:durableId="1415588444">
    <w:abstractNumId w:val="15"/>
  </w:num>
  <w:num w:numId="32" w16cid:durableId="999425772">
    <w:abstractNumId w:val="12"/>
  </w:num>
  <w:num w:numId="33" w16cid:durableId="1643729703">
    <w:abstractNumId w:val="20"/>
  </w:num>
  <w:num w:numId="34" w16cid:durableId="1547597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1E"/>
    <w:rsid w:val="0004506B"/>
    <w:rsid w:val="00075681"/>
    <w:rsid w:val="000A59DE"/>
    <w:rsid w:val="000A762D"/>
    <w:rsid w:val="000C5C99"/>
    <w:rsid w:val="000D058A"/>
    <w:rsid w:val="000D08E0"/>
    <w:rsid w:val="000F0AFA"/>
    <w:rsid w:val="001114AF"/>
    <w:rsid w:val="001301EF"/>
    <w:rsid w:val="00176739"/>
    <w:rsid w:val="00195FB8"/>
    <w:rsid w:val="0019780C"/>
    <w:rsid w:val="001A78F5"/>
    <w:rsid w:val="001B04E4"/>
    <w:rsid w:val="001E154B"/>
    <w:rsid w:val="001F4395"/>
    <w:rsid w:val="00202E28"/>
    <w:rsid w:val="00211FF3"/>
    <w:rsid w:val="00215261"/>
    <w:rsid w:val="0023235A"/>
    <w:rsid w:val="002464D5"/>
    <w:rsid w:val="002623CE"/>
    <w:rsid w:val="0028778A"/>
    <w:rsid w:val="002A05AA"/>
    <w:rsid w:val="002F4FC8"/>
    <w:rsid w:val="00304ABA"/>
    <w:rsid w:val="00314976"/>
    <w:rsid w:val="00342D67"/>
    <w:rsid w:val="00344C26"/>
    <w:rsid w:val="003967A7"/>
    <w:rsid w:val="003E38BE"/>
    <w:rsid w:val="00402382"/>
    <w:rsid w:val="00410344"/>
    <w:rsid w:val="0042573D"/>
    <w:rsid w:val="004401F4"/>
    <w:rsid w:val="00440DE4"/>
    <w:rsid w:val="00450A7C"/>
    <w:rsid w:val="00455C07"/>
    <w:rsid w:val="00460E1A"/>
    <w:rsid w:val="004C525A"/>
    <w:rsid w:val="00503F45"/>
    <w:rsid w:val="00505033"/>
    <w:rsid w:val="005176BA"/>
    <w:rsid w:val="005270E6"/>
    <w:rsid w:val="005349BF"/>
    <w:rsid w:val="0054715D"/>
    <w:rsid w:val="00552CBA"/>
    <w:rsid w:val="005A621F"/>
    <w:rsid w:val="005B7B47"/>
    <w:rsid w:val="005C1A8B"/>
    <w:rsid w:val="005E3543"/>
    <w:rsid w:val="005E5C76"/>
    <w:rsid w:val="005F2C3E"/>
    <w:rsid w:val="00623093"/>
    <w:rsid w:val="006423C6"/>
    <w:rsid w:val="0066241D"/>
    <w:rsid w:val="00665755"/>
    <w:rsid w:val="00675CE5"/>
    <w:rsid w:val="006766EA"/>
    <w:rsid w:val="006F743A"/>
    <w:rsid w:val="00712AE8"/>
    <w:rsid w:val="00753E03"/>
    <w:rsid w:val="0077738D"/>
    <w:rsid w:val="00780A92"/>
    <w:rsid w:val="0079415E"/>
    <w:rsid w:val="007B493F"/>
    <w:rsid w:val="007C307C"/>
    <w:rsid w:val="007D334F"/>
    <w:rsid w:val="00826F2D"/>
    <w:rsid w:val="008A3B26"/>
    <w:rsid w:val="008C3830"/>
    <w:rsid w:val="008D5351"/>
    <w:rsid w:val="008D6655"/>
    <w:rsid w:val="008F0ECD"/>
    <w:rsid w:val="008F3927"/>
    <w:rsid w:val="009012B1"/>
    <w:rsid w:val="00902945"/>
    <w:rsid w:val="00931961"/>
    <w:rsid w:val="009358FC"/>
    <w:rsid w:val="009B1005"/>
    <w:rsid w:val="009B6362"/>
    <w:rsid w:val="009C3DE0"/>
    <w:rsid w:val="009C7203"/>
    <w:rsid w:val="009D69A9"/>
    <w:rsid w:val="00A077E1"/>
    <w:rsid w:val="00A614AF"/>
    <w:rsid w:val="00A83C28"/>
    <w:rsid w:val="00A8722F"/>
    <w:rsid w:val="00AB337A"/>
    <w:rsid w:val="00AB610D"/>
    <w:rsid w:val="00AE7834"/>
    <w:rsid w:val="00B061AE"/>
    <w:rsid w:val="00B06A33"/>
    <w:rsid w:val="00B06C1B"/>
    <w:rsid w:val="00B16085"/>
    <w:rsid w:val="00B26063"/>
    <w:rsid w:val="00B327E4"/>
    <w:rsid w:val="00B42179"/>
    <w:rsid w:val="00B5547A"/>
    <w:rsid w:val="00B91A43"/>
    <w:rsid w:val="00BB3D9B"/>
    <w:rsid w:val="00BD1D2D"/>
    <w:rsid w:val="00BE7C90"/>
    <w:rsid w:val="00BF0AB2"/>
    <w:rsid w:val="00C943F7"/>
    <w:rsid w:val="00CA4BBF"/>
    <w:rsid w:val="00CB1A6A"/>
    <w:rsid w:val="00CB2CF0"/>
    <w:rsid w:val="00CB417B"/>
    <w:rsid w:val="00CB676E"/>
    <w:rsid w:val="00CE2D4B"/>
    <w:rsid w:val="00D04980"/>
    <w:rsid w:val="00DE24E8"/>
    <w:rsid w:val="00DF52A4"/>
    <w:rsid w:val="00E02490"/>
    <w:rsid w:val="00E11343"/>
    <w:rsid w:val="00E307A9"/>
    <w:rsid w:val="00E309A4"/>
    <w:rsid w:val="00E36709"/>
    <w:rsid w:val="00E650B1"/>
    <w:rsid w:val="00E96B54"/>
    <w:rsid w:val="00EA0FAE"/>
    <w:rsid w:val="00EC498C"/>
    <w:rsid w:val="00EC4C13"/>
    <w:rsid w:val="00F0238B"/>
    <w:rsid w:val="00F14540"/>
    <w:rsid w:val="00F706BA"/>
    <w:rsid w:val="00FB43B0"/>
    <w:rsid w:val="00FD0B4A"/>
    <w:rsid w:val="00FF069C"/>
    <w:rsid w:val="08C38C80"/>
    <w:rsid w:val="11D7D6E8"/>
    <w:rsid w:val="252D88FA"/>
    <w:rsid w:val="3163FE94"/>
    <w:rsid w:val="49C7698E"/>
    <w:rsid w:val="4C1E08F4"/>
    <w:rsid w:val="5FE726C9"/>
    <w:rsid w:val="6F85545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table" w:styleId="TableGrid">
    <w:name w:val="Table Grid"/>
    <w:basedOn w:val="TableNormal"/>
    <w:uiPriority w:val="39"/>
    <w:rsid w:val="00B9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B91A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B91A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9B6362"/>
  </w:style>
  <w:style w:type="paragraph" w:styleId="EndnoteText">
    <w:name w:val="endnote text"/>
    <w:basedOn w:val="Normal"/>
    <w:link w:val="EndnoteTextChar"/>
    <w:uiPriority w:val="99"/>
    <w:semiHidden/>
    <w:unhideWhenUsed/>
    <w:rsid w:val="009B63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362"/>
    <w:rPr>
      <w:sz w:val="20"/>
      <w:szCs w:val="20"/>
    </w:rPr>
  </w:style>
  <w:style w:type="character" w:styleId="EndnoteReference">
    <w:name w:val="endnote reference"/>
    <w:basedOn w:val="DefaultParagraphFont"/>
    <w:uiPriority w:val="99"/>
    <w:semiHidden/>
    <w:unhideWhenUsed/>
    <w:rsid w:val="009B6362"/>
    <w:rPr>
      <w:vertAlign w:val="superscript"/>
    </w:rPr>
  </w:style>
  <w:style w:type="paragraph" w:styleId="FootnoteText">
    <w:name w:val="footnote text"/>
    <w:basedOn w:val="Normal"/>
    <w:link w:val="FootnoteTextChar"/>
    <w:uiPriority w:val="99"/>
    <w:semiHidden/>
    <w:unhideWhenUsed/>
    <w:rsid w:val="009B6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362"/>
    <w:rPr>
      <w:sz w:val="20"/>
      <w:szCs w:val="20"/>
    </w:rPr>
  </w:style>
  <w:style w:type="character" w:styleId="FootnoteReference">
    <w:name w:val="footnote reference"/>
    <w:basedOn w:val="DefaultParagraphFont"/>
    <w:uiPriority w:val="99"/>
    <w:semiHidden/>
    <w:unhideWhenUsed/>
    <w:rsid w:val="009B6362"/>
    <w:rPr>
      <w:vertAlign w:val="superscript"/>
    </w:rPr>
  </w:style>
  <w:style w:type="paragraph" w:styleId="Revision">
    <w:name w:val="Revision"/>
    <w:hidden/>
    <w:uiPriority w:val="99"/>
    <w:semiHidden/>
    <w:rsid w:val="001A78F5"/>
    <w:pPr>
      <w:spacing w:after="0" w:line="240" w:lineRule="auto"/>
    </w:pPr>
  </w:style>
  <w:style w:type="character" w:styleId="CommentReference">
    <w:name w:val="annotation reference"/>
    <w:basedOn w:val="DefaultParagraphFont"/>
    <w:uiPriority w:val="99"/>
    <w:semiHidden/>
    <w:unhideWhenUsed/>
    <w:rsid w:val="00503F45"/>
    <w:rPr>
      <w:sz w:val="16"/>
      <w:szCs w:val="16"/>
    </w:rPr>
  </w:style>
  <w:style w:type="paragraph" w:styleId="CommentText">
    <w:name w:val="annotation text"/>
    <w:basedOn w:val="Normal"/>
    <w:link w:val="CommentTextChar"/>
    <w:uiPriority w:val="99"/>
    <w:unhideWhenUsed/>
    <w:rsid w:val="00503F45"/>
    <w:pPr>
      <w:spacing w:line="240" w:lineRule="auto"/>
    </w:pPr>
    <w:rPr>
      <w:sz w:val="20"/>
      <w:szCs w:val="20"/>
    </w:rPr>
  </w:style>
  <w:style w:type="character" w:customStyle="1" w:styleId="CommentTextChar">
    <w:name w:val="Comment Text Char"/>
    <w:basedOn w:val="DefaultParagraphFont"/>
    <w:link w:val="CommentText"/>
    <w:uiPriority w:val="99"/>
    <w:rsid w:val="00503F45"/>
    <w:rPr>
      <w:sz w:val="20"/>
      <w:szCs w:val="20"/>
    </w:rPr>
  </w:style>
  <w:style w:type="paragraph" w:styleId="CommentSubject">
    <w:name w:val="annotation subject"/>
    <w:basedOn w:val="CommentText"/>
    <w:next w:val="CommentText"/>
    <w:link w:val="CommentSubjectChar"/>
    <w:uiPriority w:val="99"/>
    <w:semiHidden/>
    <w:unhideWhenUsed/>
    <w:rsid w:val="00503F45"/>
    <w:rPr>
      <w:b/>
      <w:bCs/>
    </w:rPr>
  </w:style>
  <w:style w:type="character" w:customStyle="1" w:styleId="CommentSubjectChar">
    <w:name w:val="Comment Subject Char"/>
    <w:basedOn w:val="CommentTextChar"/>
    <w:link w:val="CommentSubject"/>
    <w:uiPriority w:val="99"/>
    <w:semiHidden/>
    <w:rsid w:val="00503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F52B9D36-919C-4FD8-94DF-342B03759B1F}">
  <ds:schemaRefs>
    <ds:schemaRef ds:uri="http://schemas.openxmlformats.org/officeDocument/2006/bibliography"/>
  </ds:schemaRefs>
</ds:datastoreItem>
</file>

<file path=customXml/itemProps4.xml><?xml version="1.0" encoding="utf-8"?>
<ds:datastoreItem xmlns:ds="http://schemas.openxmlformats.org/officeDocument/2006/customXml" ds:itemID="{1F2E11BF-4CDC-48FF-882B-F63C09984118}"/>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5</cp:revision>
  <dcterms:created xsi:type="dcterms:W3CDTF">2024-05-19T19:54:00Z</dcterms:created>
  <dcterms:modified xsi:type="dcterms:W3CDTF">2024-06-17T08:01:00Z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ies>
</file>