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DE0B" w14:textId="52F70EFB" w:rsidR="000A78A5" w:rsidRPr="00E85BC3" w:rsidRDefault="000A78A5" w:rsidP="002E0B77">
      <w:pPr>
        <w:pStyle w:val="Heading1"/>
        <w:jc w:val="both"/>
        <w:rPr>
          <w:rFonts w:ascii="Century Gothic" w:hAnsi="Century Gothic" w:cs="Arial"/>
          <w:b/>
          <w:bCs/>
          <w:color w:val="F5333F"/>
          <w:sz w:val="22"/>
          <w:szCs w:val="22"/>
        </w:rPr>
      </w:pPr>
      <w:r w:rsidRPr="00E85BC3">
        <w:rPr>
          <w:rFonts w:ascii="Century Gothic" w:hAnsi="Century Gothic" w:cs="Arial"/>
          <w:b/>
          <w:bCs/>
          <w:color w:val="F5333F"/>
          <w:sz w:val="22"/>
          <w:szCs w:val="22"/>
        </w:rPr>
        <w:t>Introduction</w:t>
      </w:r>
    </w:p>
    <w:p w14:paraId="59E66409" w14:textId="7F76757A" w:rsidR="009C2301" w:rsidRPr="00E85BC3" w:rsidRDefault="002E0B77" w:rsidP="002E0B77">
      <w:pPr>
        <w:jc w:val="both"/>
        <w:rPr>
          <w:rFonts w:ascii="Arial" w:hAnsi="Arial" w:cs="Arial"/>
          <w:sz w:val="19"/>
          <w:szCs w:val="19"/>
        </w:rPr>
      </w:pPr>
      <w:r>
        <w:rPr>
          <w:rFonts w:ascii="Arial" w:hAnsi="Arial" w:cs="Arial"/>
          <w:sz w:val="19"/>
          <w:szCs w:val="19"/>
        </w:rPr>
        <w:br/>
      </w:r>
      <w:r w:rsidR="009C2301" w:rsidRPr="00E85BC3">
        <w:rPr>
          <w:rFonts w:ascii="Arial" w:hAnsi="Arial" w:cs="Arial"/>
          <w:sz w:val="19"/>
          <w:szCs w:val="19"/>
        </w:rPr>
        <w:t>For the displaced who are new to the rental market in a specific country or perhaps have not rented before</w:t>
      </w:r>
      <w:r w:rsidR="002945C4" w:rsidRPr="00E85BC3">
        <w:rPr>
          <w:rFonts w:ascii="Arial" w:hAnsi="Arial" w:cs="Arial"/>
          <w:sz w:val="19"/>
          <w:szCs w:val="19"/>
        </w:rPr>
        <w:t>,</w:t>
      </w:r>
      <w:r w:rsidR="009C2301" w:rsidRPr="00E85BC3">
        <w:rPr>
          <w:rFonts w:ascii="Arial" w:hAnsi="Arial" w:cs="Arial"/>
          <w:sz w:val="19"/>
          <w:szCs w:val="19"/>
        </w:rPr>
        <w:t xml:space="preserve"> it can be useful to provide information</w:t>
      </w:r>
      <w:r w:rsidR="00267FE3" w:rsidRPr="00E85BC3">
        <w:rPr>
          <w:rFonts w:ascii="Arial" w:hAnsi="Arial" w:cs="Arial"/>
          <w:sz w:val="19"/>
          <w:szCs w:val="19"/>
        </w:rPr>
        <w:t xml:space="preserve"> to help them better understand rental market practices and how to access it</w:t>
      </w:r>
      <w:r w:rsidR="009C2301" w:rsidRPr="00E85BC3">
        <w:rPr>
          <w:rFonts w:ascii="Arial" w:hAnsi="Arial" w:cs="Arial"/>
          <w:sz w:val="19"/>
          <w:szCs w:val="19"/>
        </w:rPr>
        <w:t xml:space="preserve">. This can be published online or </w:t>
      </w:r>
      <w:r w:rsidR="00267FE3" w:rsidRPr="00E85BC3">
        <w:rPr>
          <w:rFonts w:ascii="Arial" w:hAnsi="Arial" w:cs="Arial"/>
          <w:sz w:val="19"/>
          <w:szCs w:val="19"/>
        </w:rPr>
        <w:t xml:space="preserve">be </w:t>
      </w:r>
      <w:r w:rsidR="009C2301" w:rsidRPr="00E85BC3">
        <w:rPr>
          <w:rFonts w:ascii="Arial" w:hAnsi="Arial" w:cs="Arial"/>
          <w:sz w:val="19"/>
          <w:szCs w:val="19"/>
        </w:rPr>
        <w:t xml:space="preserve">given in leaflet or </w:t>
      </w:r>
      <w:r w:rsidR="00267FE3" w:rsidRPr="00E85BC3">
        <w:rPr>
          <w:rFonts w:ascii="Arial" w:hAnsi="Arial" w:cs="Arial"/>
          <w:sz w:val="19"/>
          <w:szCs w:val="19"/>
        </w:rPr>
        <w:t xml:space="preserve">shown in </w:t>
      </w:r>
      <w:r w:rsidR="009C2301" w:rsidRPr="00E85BC3">
        <w:rPr>
          <w:rFonts w:ascii="Arial" w:hAnsi="Arial" w:cs="Arial"/>
          <w:sz w:val="19"/>
          <w:szCs w:val="19"/>
        </w:rPr>
        <w:t>poster format at key points (e.g. branch offices, humanitarian service points, local authorities).</w:t>
      </w:r>
    </w:p>
    <w:p w14:paraId="0DC8EC8C" w14:textId="77777777" w:rsidR="00267FE3" w:rsidRPr="00E85BC3" w:rsidRDefault="00267FE3" w:rsidP="002E0B77">
      <w:pPr>
        <w:jc w:val="both"/>
        <w:rPr>
          <w:rFonts w:ascii="Arial" w:hAnsi="Arial" w:cs="Arial"/>
          <w:sz w:val="19"/>
          <w:szCs w:val="19"/>
        </w:rPr>
      </w:pPr>
      <w:r w:rsidRPr="00E85BC3">
        <w:rPr>
          <w:rFonts w:ascii="Arial" w:hAnsi="Arial" w:cs="Arial"/>
          <w:sz w:val="19"/>
          <w:szCs w:val="19"/>
        </w:rPr>
        <w:t xml:space="preserve">This component of rental assistance can be of use to a wider number of households than those that the programme directly supports with rental payments. </w:t>
      </w:r>
    </w:p>
    <w:p w14:paraId="49DB2609" w14:textId="7074F8E9" w:rsidR="0056069D" w:rsidRPr="00E85BC3" w:rsidRDefault="0056069D" w:rsidP="002E0B77">
      <w:pPr>
        <w:jc w:val="both"/>
        <w:rPr>
          <w:rFonts w:ascii="Arial" w:hAnsi="Arial" w:cs="Arial"/>
          <w:sz w:val="19"/>
          <w:szCs w:val="19"/>
        </w:rPr>
      </w:pPr>
      <w:r w:rsidRPr="00E85BC3">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774F1556" wp14:editId="35140595">
                <wp:simplePos x="0" y="0"/>
                <wp:positionH relativeFrom="column">
                  <wp:posOffset>-7620</wp:posOffset>
                </wp:positionH>
                <wp:positionV relativeFrom="paragraph">
                  <wp:posOffset>329565</wp:posOffset>
                </wp:positionV>
                <wp:extent cx="5784850" cy="48768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487680"/>
                        </a:xfrm>
                        <a:prstGeom prst="rect">
                          <a:avLst/>
                        </a:prstGeom>
                        <a:solidFill>
                          <a:srgbClr val="FEF5F4"/>
                        </a:solidFill>
                        <a:ln w="9525">
                          <a:noFill/>
                          <a:miter lim="800000"/>
                          <a:headEnd/>
                          <a:tailEnd/>
                        </a:ln>
                      </wps:spPr>
                      <wps:txbx>
                        <w:txbxContent>
                          <w:p w14:paraId="56C009AB" w14:textId="0110C954" w:rsidR="0056069D" w:rsidRPr="00E85BC3" w:rsidRDefault="0056069D" w:rsidP="0056069D">
                            <w:pPr>
                              <w:pStyle w:val="ListParagraph"/>
                              <w:numPr>
                                <w:ilvl w:val="0"/>
                                <w:numId w:val="17"/>
                              </w:numPr>
                              <w:rPr>
                                <w:rFonts w:ascii="Arial" w:hAnsi="Arial" w:cs="Arial"/>
                                <w:sz w:val="19"/>
                                <w:szCs w:val="19"/>
                              </w:rPr>
                            </w:pPr>
                            <w:r w:rsidRPr="00E85BC3">
                              <w:rPr>
                                <w:rFonts w:ascii="Arial" w:hAnsi="Arial" w:cs="Arial"/>
                                <w:sz w:val="19"/>
                                <w:szCs w:val="19"/>
                              </w:rPr>
                              <w:t>3.</w:t>
                            </w:r>
                            <w:r w:rsidR="00945A83" w:rsidRPr="00E85BC3">
                              <w:rPr>
                                <w:rFonts w:ascii="Arial" w:hAnsi="Arial" w:cs="Arial"/>
                                <w:sz w:val="19"/>
                                <w:szCs w:val="19"/>
                              </w:rPr>
                              <w:t>4</w:t>
                            </w:r>
                            <w:r w:rsidRPr="00E85BC3">
                              <w:rPr>
                                <w:rFonts w:ascii="Arial" w:hAnsi="Arial" w:cs="Arial"/>
                                <w:sz w:val="19"/>
                                <w:szCs w:val="19"/>
                              </w:rPr>
                              <w:t>_Tool_Information_checklist_ENG.pdf</w:t>
                            </w:r>
                            <w:r w:rsidRPr="00E85BC3">
                              <w:rPr>
                                <w:rFonts w:ascii="Arial" w:hAnsi="Arial" w:cs="Arial"/>
                                <w:sz w:val="19"/>
                                <w:szCs w:val="19"/>
                              </w:rPr>
                              <w:br/>
                              <w:t xml:space="preserve">- </w:t>
                            </w:r>
                            <w:r w:rsidR="00830172" w:rsidRPr="00E85BC3">
                              <w:rPr>
                                <w:rFonts w:ascii="Arial" w:hAnsi="Arial" w:cs="Arial"/>
                                <w:sz w:val="19"/>
                                <w:szCs w:val="19"/>
                              </w:rPr>
                              <w:t>Guidance</w:t>
                            </w:r>
                            <w:r w:rsidRPr="00E85BC3">
                              <w:rPr>
                                <w:rFonts w:ascii="Arial" w:hAnsi="Arial" w:cs="Arial"/>
                                <w:sz w:val="19"/>
                                <w:szCs w:val="19"/>
                              </w:rPr>
                              <w:t xml:space="preserve"> on what to share with people arriving in a new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F1556" id="_x0000_t202" coordsize="21600,21600" o:spt="202" path="m,l,21600r21600,l21600,xe">
                <v:stroke joinstyle="miter"/>
                <v:path gradientshapeok="t" o:connecttype="rect"/>
              </v:shapetype>
              <v:shape id="Text Box 733933811" o:spid="_x0000_s1026" type="#_x0000_t202" style="position:absolute;left:0;text-align:left;margin-left:-.6pt;margin-top:25.95pt;width:455.5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" fillcolor="#fef5f4" stroked="f">
                <v:textbox>
                  <w:txbxContent>
                    <w:p w14:paraId="56C009AB" w14:textId="0110C954" w:rsidR="0056069D" w:rsidRPr="00E85BC3" w:rsidRDefault="0056069D" w:rsidP="0056069D">
                      <w:pPr>
                        <w:pStyle w:val="ListParagraph"/>
                        <w:numPr>
                          <w:ilvl w:val="0"/>
                          <w:numId w:val="17"/>
                        </w:numPr>
                        <w:rPr>
                          <w:rFonts w:ascii="Arial" w:hAnsi="Arial" w:cs="Arial"/>
                          <w:sz w:val="19"/>
                          <w:szCs w:val="19"/>
                        </w:rPr>
                      </w:pPr>
                      <w:r w:rsidRPr="00E85BC3">
                        <w:rPr>
                          <w:rFonts w:ascii="Arial" w:hAnsi="Arial" w:cs="Arial"/>
                          <w:sz w:val="19"/>
                          <w:szCs w:val="19"/>
                        </w:rPr>
                        <w:t>3.</w:t>
                      </w:r>
                      <w:r w:rsidR="00945A83" w:rsidRPr="00E85BC3">
                        <w:rPr>
                          <w:rFonts w:ascii="Arial" w:hAnsi="Arial" w:cs="Arial"/>
                          <w:sz w:val="19"/>
                          <w:szCs w:val="19"/>
                        </w:rPr>
                        <w:t>4</w:t>
                      </w:r>
                      <w:r w:rsidRPr="00E85BC3">
                        <w:rPr>
                          <w:rFonts w:ascii="Arial" w:hAnsi="Arial" w:cs="Arial"/>
                          <w:sz w:val="19"/>
                          <w:szCs w:val="19"/>
                        </w:rPr>
                        <w:t>_Tool_Information_checklist_ENG.pdf</w:t>
                      </w:r>
                      <w:r w:rsidRPr="00E85BC3">
                        <w:rPr>
                          <w:rFonts w:ascii="Arial" w:hAnsi="Arial" w:cs="Arial"/>
                          <w:sz w:val="19"/>
                          <w:szCs w:val="19"/>
                        </w:rPr>
                        <w:br/>
                        <w:t xml:space="preserve">- </w:t>
                      </w:r>
                      <w:r w:rsidR="00830172" w:rsidRPr="00E85BC3">
                        <w:rPr>
                          <w:rFonts w:ascii="Arial" w:hAnsi="Arial" w:cs="Arial"/>
                          <w:sz w:val="19"/>
                          <w:szCs w:val="19"/>
                        </w:rPr>
                        <w:t>Guidance</w:t>
                      </w:r>
                      <w:r w:rsidRPr="00E85BC3">
                        <w:rPr>
                          <w:rFonts w:ascii="Arial" w:hAnsi="Arial" w:cs="Arial"/>
                          <w:sz w:val="19"/>
                          <w:szCs w:val="19"/>
                        </w:rPr>
                        <w:t xml:space="preserve"> on what to share with people arriving in a new location.</w:t>
                      </w:r>
                    </w:p>
                  </w:txbxContent>
                </v:textbox>
                <w10:wrap type="square"/>
              </v:shape>
            </w:pict>
          </mc:Fallback>
        </mc:AlternateContent>
      </w:r>
      <w:r w:rsidR="00830172" w:rsidRPr="00E85BC3">
        <w:rPr>
          <w:rFonts w:ascii="Arial" w:hAnsi="Arial" w:cs="Arial"/>
          <w:sz w:val="19"/>
          <w:szCs w:val="19"/>
        </w:rPr>
        <w:t>A t</w:t>
      </w:r>
      <w:r w:rsidRPr="00E85BC3">
        <w:rPr>
          <w:rFonts w:ascii="Arial" w:hAnsi="Arial" w:cs="Arial"/>
          <w:sz w:val="19"/>
          <w:szCs w:val="19"/>
        </w:rPr>
        <w:t>ool from the toolkit, that may be useful to assist here include</w:t>
      </w:r>
      <w:r w:rsidR="048538DC" w:rsidRPr="00E85BC3">
        <w:rPr>
          <w:rFonts w:ascii="Arial" w:hAnsi="Arial" w:cs="Arial"/>
          <w:sz w:val="19"/>
          <w:szCs w:val="19"/>
        </w:rPr>
        <w:t>s</w:t>
      </w:r>
      <w:r w:rsidRPr="00E85BC3">
        <w:rPr>
          <w:rFonts w:ascii="Arial" w:hAnsi="Arial" w:cs="Arial"/>
          <w:sz w:val="19"/>
          <w:szCs w:val="19"/>
        </w:rPr>
        <w:t>:</w:t>
      </w:r>
    </w:p>
    <w:p w14:paraId="078A47B3" w14:textId="5C26EEB5" w:rsidR="00267FE3" w:rsidRPr="00E85BC3" w:rsidRDefault="002E0B77" w:rsidP="002E0B77">
      <w:pPr>
        <w:pStyle w:val="Heading1"/>
        <w:jc w:val="both"/>
        <w:rPr>
          <w:rFonts w:ascii="Century Gothic" w:hAnsi="Century Gothic" w:cs="Arial"/>
          <w:b/>
          <w:bCs/>
          <w:sz w:val="22"/>
          <w:szCs w:val="22"/>
        </w:rPr>
      </w:pPr>
      <w:r>
        <w:rPr>
          <w:rFonts w:ascii="Arial" w:hAnsi="Arial" w:cs="Arial"/>
          <w:sz w:val="19"/>
          <w:szCs w:val="19"/>
        </w:rPr>
        <w:br/>
      </w:r>
      <w:r w:rsidR="00267FE3" w:rsidRPr="00E85BC3">
        <w:rPr>
          <w:rFonts w:ascii="Century Gothic" w:hAnsi="Century Gothic" w:cs="Arial"/>
          <w:b/>
          <w:bCs/>
          <w:color w:val="F5333F"/>
          <w:sz w:val="22"/>
          <w:szCs w:val="22"/>
        </w:rPr>
        <w:t xml:space="preserve">Recommended </w:t>
      </w:r>
      <w:r w:rsidR="573C8312" w:rsidRPr="00E85BC3">
        <w:rPr>
          <w:rFonts w:ascii="Century Gothic" w:hAnsi="Century Gothic" w:cs="Arial"/>
          <w:b/>
          <w:bCs/>
          <w:color w:val="F5333F"/>
          <w:sz w:val="22"/>
          <w:szCs w:val="22"/>
        </w:rPr>
        <w:t>p</w:t>
      </w:r>
      <w:r w:rsidR="00267FE3" w:rsidRPr="00E85BC3">
        <w:rPr>
          <w:rFonts w:ascii="Century Gothic" w:hAnsi="Century Gothic" w:cs="Arial"/>
          <w:b/>
          <w:bCs/>
          <w:color w:val="F5333F"/>
          <w:sz w:val="22"/>
          <w:szCs w:val="22"/>
        </w:rPr>
        <w:t>rocess:</w:t>
      </w:r>
    </w:p>
    <w:p w14:paraId="05880B71" w14:textId="77777777" w:rsidR="002E0B77" w:rsidRPr="002E0B77" w:rsidRDefault="002E0B77" w:rsidP="002E0B77">
      <w:pPr>
        <w:rPr>
          <w:sz w:val="12"/>
          <w:szCs w:val="12"/>
        </w:rPr>
      </w:pPr>
    </w:p>
    <w:p w14:paraId="624727BF" w14:textId="0453EDFA"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Search tenant rights organisations and other civil-society organisations engaged in the rental space for information leaflets that could be useful to support those new to the rental market in this context.</w:t>
      </w:r>
    </w:p>
    <w:p w14:paraId="1938F38C" w14:textId="3EB28939"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Hold focus group discussions or household interviews with target households who are trying to access the rental market or have recently been able to rent to understand what the information gap is (what would they like to know / have liked to know when trying to access the rental market.</w:t>
      </w:r>
    </w:p>
    <w:p w14:paraId="6EC4D79A" w14:textId="546027B1"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 xml:space="preserve">Ask the target population how (what </w:t>
      </w:r>
      <w:r w:rsidR="00A37009" w:rsidRPr="00E85BC3">
        <w:rPr>
          <w:rFonts w:ascii="Arial" w:hAnsi="Arial" w:cs="Arial"/>
          <w:sz w:val="19"/>
          <w:szCs w:val="19"/>
        </w:rPr>
        <w:t>channel</w:t>
      </w:r>
      <w:r w:rsidRPr="00E85BC3">
        <w:rPr>
          <w:rFonts w:ascii="Arial" w:hAnsi="Arial" w:cs="Arial"/>
          <w:sz w:val="19"/>
          <w:szCs w:val="19"/>
        </w:rPr>
        <w:t>) they would like to receive information</w:t>
      </w:r>
      <w:r w:rsidR="00A633D9" w:rsidRPr="00E85BC3">
        <w:rPr>
          <w:rFonts w:ascii="Arial" w:hAnsi="Arial" w:cs="Arial"/>
          <w:sz w:val="19"/>
          <w:szCs w:val="19"/>
        </w:rPr>
        <w:t xml:space="preserve"> and in </w:t>
      </w:r>
      <w:r w:rsidR="00044139" w:rsidRPr="00E85BC3">
        <w:rPr>
          <w:rFonts w:ascii="Arial" w:hAnsi="Arial" w:cs="Arial"/>
          <w:sz w:val="19"/>
          <w:szCs w:val="19"/>
        </w:rPr>
        <w:t>which</w:t>
      </w:r>
      <w:r w:rsidR="00A633D9" w:rsidRPr="00E85BC3">
        <w:rPr>
          <w:rFonts w:ascii="Arial" w:hAnsi="Arial" w:cs="Arial"/>
          <w:sz w:val="19"/>
          <w:szCs w:val="19"/>
        </w:rPr>
        <w:t xml:space="preserve"> </w:t>
      </w:r>
      <w:r w:rsidR="00044139" w:rsidRPr="00E85BC3">
        <w:rPr>
          <w:rFonts w:ascii="Arial" w:hAnsi="Arial" w:cs="Arial"/>
          <w:sz w:val="19"/>
          <w:szCs w:val="19"/>
        </w:rPr>
        <w:t>language</w:t>
      </w:r>
      <w:r w:rsidRPr="00E85BC3">
        <w:rPr>
          <w:rFonts w:ascii="Arial" w:hAnsi="Arial" w:cs="Arial"/>
          <w:sz w:val="19"/>
          <w:szCs w:val="19"/>
        </w:rPr>
        <w:t>.</w:t>
      </w:r>
      <w:r w:rsidR="00E17AC9" w:rsidRPr="00E85BC3">
        <w:rPr>
          <w:rFonts w:ascii="Arial" w:hAnsi="Arial" w:cs="Arial"/>
          <w:sz w:val="19"/>
          <w:szCs w:val="19"/>
        </w:rPr>
        <w:t xml:space="preserve"> </w:t>
      </w:r>
      <w:r w:rsidR="000F68F5" w:rsidRPr="00E85BC3">
        <w:rPr>
          <w:rFonts w:ascii="Arial" w:hAnsi="Arial" w:cs="Arial"/>
          <w:sz w:val="19"/>
          <w:szCs w:val="19"/>
        </w:rPr>
        <w:t>It is also important to confirm which channels they trust and go to for information.</w:t>
      </w:r>
    </w:p>
    <w:p w14:paraId="693AAE3C" w14:textId="22DD3CB4"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Once the information gap is known engage with tenant rights organisations / letting agents / property owner associations to clarify the information needed.</w:t>
      </w:r>
    </w:p>
    <w:p w14:paraId="36068C61" w14:textId="5582A984"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Develop the information products (including a testing and piloting phase).</w:t>
      </w:r>
      <w:r w:rsidR="005A54DA" w:rsidRPr="00E85BC3">
        <w:rPr>
          <w:rFonts w:ascii="Arial" w:hAnsi="Arial" w:cs="Arial"/>
          <w:sz w:val="19"/>
          <w:szCs w:val="19"/>
        </w:rPr>
        <w:t xml:space="preserve"> Do not forget to think about how those with visual impairments or other impairments will access the information.</w:t>
      </w:r>
    </w:p>
    <w:p w14:paraId="53D62244" w14:textId="6E01F0B3" w:rsidR="00763ED7" w:rsidRPr="00E85BC3" w:rsidRDefault="00763ED7" w:rsidP="002E0B77">
      <w:pPr>
        <w:pStyle w:val="ListParagraph"/>
        <w:numPr>
          <w:ilvl w:val="0"/>
          <w:numId w:val="21"/>
        </w:numPr>
        <w:jc w:val="both"/>
        <w:rPr>
          <w:rFonts w:ascii="Arial" w:hAnsi="Arial" w:cs="Arial"/>
          <w:sz w:val="19"/>
          <w:szCs w:val="19"/>
        </w:rPr>
      </w:pPr>
      <w:r w:rsidRPr="00E85BC3">
        <w:rPr>
          <w:rFonts w:ascii="Arial" w:hAnsi="Arial" w:cs="Arial"/>
          <w:sz w:val="19"/>
          <w:szCs w:val="19"/>
        </w:rPr>
        <w:t>Develop the Frequently Asked Questions document and share with the staff and volunteers involved in the programme.</w:t>
      </w:r>
    </w:p>
    <w:p w14:paraId="3F415A00" w14:textId="2129DF83" w:rsidR="00267FE3" w:rsidRPr="00E85BC3" w:rsidRDefault="00267FE3" w:rsidP="002E0B77">
      <w:pPr>
        <w:pStyle w:val="ListParagraph"/>
        <w:numPr>
          <w:ilvl w:val="0"/>
          <w:numId w:val="21"/>
        </w:numPr>
        <w:jc w:val="both"/>
        <w:rPr>
          <w:rFonts w:ascii="Arial" w:hAnsi="Arial" w:cs="Arial"/>
          <w:sz w:val="19"/>
          <w:szCs w:val="19"/>
        </w:rPr>
      </w:pPr>
      <w:r w:rsidRPr="00E85BC3">
        <w:rPr>
          <w:rFonts w:ascii="Arial" w:hAnsi="Arial" w:cs="Arial"/>
          <w:sz w:val="19"/>
          <w:szCs w:val="19"/>
        </w:rPr>
        <w:t xml:space="preserve">Monitor </w:t>
      </w:r>
      <w:r w:rsidR="005B5102" w:rsidRPr="00E85BC3">
        <w:rPr>
          <w:rFonts w:ascii="Arial" w:hAnsi="Arial" w:cs="Arial"/>
          <w:sz w:val="19"/>
          <w:szCs w:val="19"/>
        </w:rPr>
        <w:t xml:space="preserve">the information needs and channels </w:t>
      </w:r>
      <w:r w:rsidRPr="00E85BC3">
        <w:rPr>
          <w:rFonts w:ascii="Arial" w:hAnsi="Arial" w:cs="Arial"/>
          <w:sz w:val="19"/>
          <w:szCs w:val="19"/>
        </w:rPr>
        <w:t>and adjust</w:t>
      </w:r>
      <w:r w:rsidR="00875CB3" w:rsidRPr="00E85BC3">
        <w:rPr>
          <w:rFonts w:ascii="Arial" w:hAnsi="Arial" w:cs="Arial"/>
          <w:sz w:val="19"/>
          <w:szCs w:val="19"/>
        </w:rPr>
        <w:t xml:space="preserve"> as needed.</w:t>
      </w:r>
    </w:p>
    <w:p w14:paraId="63E1B3F4" w14:textId="77777777" w:rsidR="004E600D" w:rsidRPr="00D74CB7" w:rsidRDefault="004E600D" w:rsidP="004E600D">
      <w:pPr>
        <w:pStyle w:val="ListParagraph"/>
        <w:jc w:val="both"/>
        <w:rPr>
          <w:rFonts w:ascii="Arial" w:hAnsi="Arial" w:cs="Arial"/>
        </w:rPr>
      </w:pPr>
    </w:p>
    <w:p w14:paraId="0CBE360B" w14:textId="2A8D86C5" w:rsidR="00847949" w:rsidRPr="00E85BC3" w:rsidRDefault="00847949" w:rsidP="002E0B77">
      <w:pPr>
        <w:pStyle w:val="Heading1"/>
        <w:jc w:val="both"/>
        <w:rPr>
          <w:rFonts w:ascii="Century Gothic" w:hAnsi="Century Gothic" w:cs="Arial"/>
          <w:b/>
          <w:bCs/>
          <w:color w:val="F5333F"/>
          <w:sz w:val="22"/>
          <w:szCs w:val="22"/>
        </w:rPr>
      </w:pPr>
      <w:r w:rsidRPr="00E85BC3">
        <w:rPr>
          <w:rFonts w:ascii="Century Gothic" w:hAnsi="Century Gothic" w:cs="Arial"/>
          <w:b/>
          <w:bCs/>
          <w:color w:val="F5333F"/>
          <w:sz w:val="22"/>
          <w:szCs w:val="22"/>
        </w:rPr>
        <w:t xml:space="preserve">Suggested </w:t>
      </w:r>
      <w:r w:rsidR="719FF8A2" w:rsidRPr="00E85BC3">
        <w:rPr>
          <w:rFonts w:ascii="Century Gothic" w:hAnsi="Century Gothic" w:cs="Arial"/>
          <w:b/>
          <w:bCs/>
          <w:color w:val="F5333F"/>
          <w:sz w:val="22"/>
          <w:szCs w:val="22"/>
        </w:rPr>
        <w:t>c</w:t>
      </w:r>
      <w:r w:rsidR="00875CB3" w:rsidRPr="00E85BC3">
        <w:rPr>
          <w:rFonts w:ascii="Century Gothic" w:hAnsi="Century Gothic" w:cs="Arial"/>
          <w:b/>
          <w:bCs/>
          <w:color w:val="F5333F"/>
          <w:sz w:val="22"/>
          <w:szCs w:val="22"/>
        </w:rPr>
        <w:t xml:space="preserve">ontent to </w:t>
      </w:r>
      <w:r w:rsidR="7D63F1D6" w:rsidRPr="00E85BC3">
        <w:rPr>
          <w:rFonts w:ascii="Century Gothic" w:hAnsi="Century Gothic" w:cs="Arial"/>
          <w:b/>
          <w:bCs/>
          <w:color w:val="F5333F"/>
          <w:sz w:val="22"/>
          <w:szCs w:val="22"/>
        </w:rPr>
        <w:t>c</w:t>
      </w:r>
      <w:r w:rsidR="00875CB3" w:rsidRPr="00E85BC3">
        <w:rPr>
          <w:rFonts w:ascii="Century Gothic" w:hAnsi="Century Gothic" w:cs="Arial"/>
          <w:b/>
          <w:bCs/>
          <w:color w:val="F5333F"/>
          <w:sz w:val="22"/>
          <w:szCs w:val="22"/>
        </w:rPr>
        <w:t>onsider</w:t>
      </w:r>
      <w:r w:rsidR="002B196D" w:rsidRPr="00E85BC3">
        <w:rPr>
          <w:rFonts w:ascii="Century Gothic" w:hAnsi="Century Gothic" w:cs="Arial"/>
          <w:b/>
          <w:bCs/>
          <w:color w:val="F5333F"/>
          <w:sz w:val="22"/>
          <w:szCs w:val="22"/>
        </w:rPr>
        <w:t xml:space="preserve"> </w:t>
      </w:r>
      <w:r w:rsidR="7CC6F282" w:rsidRPr="00E85BC3">
        <w:rPr>
          <w:rFonts w:ascii="Century Gothic" w:hAnsi="Century Gothic" w:cs="Arial"/>
          <w:b/>
          <w:bCs/>
          <w:color w:val="F5333F"/>
          <w:sz w:val="22"/>
          <w:szCs w:val="22"/>
        </w:rPr>
        <w:t>r</w:t>
      </w:r>
      <w:r w:rsidR="002B196D" w:rsidRPr="00E85BC3">
        <w:rPr>
          <w:rFonts w:ascii="Century Gothic" w:hAnsi="Century Gothic" w:cs="Arial"/>
          <w:b/>
          <w:bCs/>
          <w:color w:val="F5333F"/>
          <w:sz w:val="22"/>
          <w:szCs w:val="22"/>
        </w:rPr>
        <w:t xml:space="preserve">elated to </w:t>
      </w:r>
      <w:r w:rsidR="3947CC0A" w:rsidRPr="00E85BC3">
        <w:rPr>
          <w:rFonts w:ascii="Century Gothic" w:hAnsi="Century Gothic" w:cs="Arial"/>
          <w:b/>
          <w:bCs/>
          <w:color w:val="F5333F"/>
          <w:sz w:val="22"/>
          <w:szCs w:val="22"/>
        </w:rPr>
        <w:t>r</w:t>
      </w:r>
      <w:r w:rsidR="002B196D" w:rsidRPr="00E85BC3">
        <w:rPr>
          <w:rFonts w:ascii="Century Gothic" w:hAnsi="Century Gothic" w:cs="Arial"/>
          <w:b/>
          <w:bCs/>
          <w:color w:val="F5333F"/>
          <w:sz w:val="22"/>
          <w:szCs w:val="22"/>
        </w:rPr>
        <w:t>ental</w:t>
      </w:r>
    </w:p>
    <w:p w14:paraId="1896B9D7" w14:textId="723BF071" w:rsidR="00875CB3" w:rsidRPr="00E85BC3" w:rsidRDefault="002E0B77" w:rsidP="002E0B77">
      <w:pPr>
        <w:jc w:val="both"/>
        <w:rPr>
          <w:rFonts w:ascii="Arial" w:hAnsi="Arial" w:cs="Arial"/>
          <w:sz w:val="19"/>
          <w:szCs w:val="19"/>
        </w:rPr>
      </w:pPr>
      <w:r>
        <w:rPr>
          <w:rFonts w:ascii="Arial" w:hAnsi="Arial" w:cs="Arial"/>
          <w:sz w:val="19"/>
          <w:szCs w:val="19"/>
        </w:rPr>
        <w:br/>
      </w:r>
      <w:r w:rsidR="00875CB3" w:rsidRPr="00E85BC3">
        <w:rPr>
          <w:rFonts w:ascii="Arial" w:hAnsi="Arial" w:cs="Arial"/>
          <w:sz w:val="19"/>
          <w:szCs w:val="19"/>
        </w:rPr>
        <w:t>This provides some of headings to consider when giving people information on rental market and rental practices. It should be noted that it should be responsive to what the information gap is for your target population when trying to access to rental market and specifically focus on how to avoid exploitation by property owners, letting agents etc.</w:t>
      </w:r>
      <w:r w:rsidR="00F43496" w:rsidRPr="00E85BC3">
        <w:rPr>
          <w:rFonts w:ascii="Arial" w:hAnsi="Arial" w:cs="Arial"/>
          <w:sz w:val="19"/>
          <w:szCs w:val="19"/>
        </w:rPr>
        <w:t xml:space="preserve"> but also scams and other form of mi</w:t>
      </w:r>
      <w:r w:rsidR="00A63602" w:rsidRPr="00E85BC3">
        <w:rPr>
          <w:rFonts w:ascii="Arial" w:hAnsi="Arial" w:cs="Arial"/>
          <w:sz w:val="19"/>
          <w:szCs w:val="19"/>
        </w:rPr>
        <w:t xml:space="preserve">sinformation. The information materials should also help </w:t>
      </w:r>
      <w:r w:rsidR="000342DF" w:rsidRPr="00E85BC3">
        <w:rPr>
          <w:rFonts w:ascii="Arial" w:hAnsi="Arial" w:cs="Arial"/>
          <w:sz w:val="19"/>
          <w:szCs w:val="19"/>
        </w:rPr>
        <w:t xml:space="preserve">to manage expectation </w:t>
      </w:r>
      <w:r w:rsidR="00B247D0" w:rsidRPr="00E85BC3">
        <w:rPr>
          <w:rFonts w:ascii="Arial" w:hAnsi="Arial" w:cs="Arial"/>
          <w:sz w:val="19"/>
          <w:szCs w:val="19"/>
        </w:rPr>
        <w:t>about the RCRC programme.</w:t>
      </w:r>
    </w:p>
    <w:p w14:paraId="2B59439C" w14:textId="61534853" w:rsidR="00CF2190" w:rsidRPr="00E85BC3" w:rsidRDefault="00CF2190" w:rsidP="002E0B77">
      <w:pPr>
        <w:pStyle w:val="ListParagraph"/>
        <w:numPr>
          <w:ilvl w:val="0"/>
          <w:numId w:val="22"/>
        </w:numPr>
        <w:jc w:val="both"/>
        <w:rPr>
          <w:rFonts w:ascii="Arial" w:hAnsi="Arial" w:cs="Arial"/>
          <w:sz w:val="19"/>
          <w:szCs w:val="19"/>
        </w:rPr>
      </w:pPr>
      <w:r w:rsidRPr="00E85BC3">
        <w:rPr>
          <w:rFonts w:ascii="Arial" w:hAnsi="Arial" w:cs="Arial"/>
          <w:sz w:val="19"/>
          <w:szCs w:val="19"/>
        </w:rPr>
        <w:t>The “right to rent” as appropriate – related to migration status</w:t>
      </w:r>
    </w:p>
    <w:p w14:paraId="6DE0D95B" w14:textId="10125BD2" w:rsidR="00B247D0" w:rsidRPr="00E85BC3" w:rsidRDefault="009A746F" w:rsidP="002E0B77">
      <w:pPr>
        <w:pStyle w:val="ListParagraph"/>
        <w:numPr>
          <w:ilvl w:val="0"/>
          <w:numId w:val="22"/>
        </w:numPr>
        <w:jc w:val="both"/>
        <w:rPr>
          <w:rFonts w:ascii="Arial" w:hAnsi="Arial" w:cs="Arial"/>
          <w:sz w:val="19"/>
          <w:szCs w:val="19"/>
        </w:rPr>
      </w:pPr>
      <w:r w:rsidRPr="00E85BC3">
        <w:rPr>
          <w:rFonts w:ascii="Arial" w:hAnsi="Arial" w:cs="Arial"/>
          <w:sz w:val="19"/>
          <w:szCs w:val="19"/>
        </w:rPr>
        <w:t>Information about the National Society and the programme, including scope and target population</w:t>
      </w:r>
      <w:r w:rsidR="740B4A76" w:rsidRPr="00E85BC3">
        <w:rPr>
          <w:rFonts w:ascii="Arial" w:hAnsi="Arial" w:cs="Arial"/>
          <w:sz w:val="19"/>
          <w:szCs w:val="19"/>
        </w:rPr>
        <w:t>.</w:t>
      </w:r>
    </w:p>
    <w:p w14:paraId="17307ECB" w14:textId="22C4E6CF" w:rsidR="00875CB3" w:rsidRPr="00E85BC3" w:rsidRDefault="740B4A76" w:rsidP="002E0B77">
      <w:pPr>
        <w:pStyle w:val="ListParagraph"/>
        <w:numPr>
          <w:ilvl w:val="0"/>
          <w:numId w:val="22"/>
        </w:numPr>
        <w:jc w:val="both"/>
        <w:rPr>
          <w:rFonts w:ascii="Arial" w:hAnsi="Arial" w:cs="Arial"/>
          <w:sz w:val="19"/>
          <w:szCs w:val="19"/>
        </w:rPr>
      </w:pPr>
      <w:r w:rsidRPr="00E85BC3">
        <w:rPr>
          <w:rFonts w:ascii="Arial" w:hAnsi="Arial" w:cs="Arial"/>
          <w:sz w:val="19"/>
          <w:szCs w:val="19"/>
        </w:rPr>
        <w:t>Generally,</w:t>
      </w:r>
      <w:r w:rsidR="00875CB3" w:rsidRPr="00E85BC3">
        <w:rPr>
          <w:rFonts w:ascii="Arial" w:hAnsi="Arial" w:cs="Arial"/>
          <w:sz w:val="19"/>
          <w:szCs w:val="19"/>
        </w:rPr>
        <w:t xml:space="preserve"> how to start looking for rental accommodation – types of rental accommodation (shared house vs own apartment etc.), describe the various routes including asking through social networks, key websites or </w:t>
      </w:r>
      <w:r w:rsidR="3455C1D2" w:rsidRPr="00E85BC3">
        <w:rPr>
          <w:rFonts w:ascii="Arial" w:hAnsi="Arial" w:cs="Arial"/>
          <w:sz w:val="19"/>
          <w:szCs w:val="19"/>
        </w:rPr>
        <w:t>newspapers</w:t>
      </w:r>
      <w:r w:rsidR="00875CB3" w:rsidRPr="00E85BC3">
        <w:rPr>
          <w:rFonts w:ascii="Arial" w:hAnsi="Arial" w:cs="Arial"/>
          <w:sz w:val="19"/>
          <w:szCs w:val="19"/>
        </w:rPr>
        <w:t xml:space="preserve"> where property owners advertise, potentially links to associations of letting agents to enable them to find accredited letting agents where these exist.</w:t>
      </w:r>
    </w:p>
    <w:p w14:paraId="59FCA5EB" w14:textId="29917EFF"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lastRenderedPageBreak/>
        <w:t>Typical rental prices in different areas</w:t>
      </w:r>
      <w:r w:rsidR="38484711" w:rsidRPr="00E85BC3">
        <w:rPr>
          <w:rFonts w:ascii="Arial" w:hAnsi="Arial" w:cs="Arial"/>
          <w:sz w:val="19"/>
          <w:szCs w:val="19"/>
        </w:rPr>
        <w:t>.</w:t>
      </w:r>
    </w:p>
    <w:p w14:paraId="65FDB65D" w14:textId="55C449FE"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Advice on dealing with letting agents and common problems/scams that occur</w:t>
      </w:r>
    </w:p>
    <w:p w14:paraId="0AF12F71" w14:textId="731A262D"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 xml:space="preserve">Information on how to travel if not considering properties close to city centres – can be useful with getting prospective tenants to consider </w:t>
      </w:r>
      <w:r w:rsidR="1F519804" w:rsidRPr="00E85BC3">
        <w:rPr>
          <w:rFonts w:ascii="Arial" w:hAnsi="Arial" w:cs="Arial"/>
          <w:sz w:val="19"/>
          <w:szCs w:val="19"/>
        </w:rPr>
        <w:t>accommodation</w:t>
      </w:r>
      <w:r w:rsidRPr="00E85BC3">
        <w:rPr>
          <w:rFonts w:ascii="Arial" w:hAnsi="Arial" w:cs="Arial"/>
          <w:sz w:val="19"/>
          <w:szCs w:val="19"/>
        </w:rPr>
        <w:t xml:space="preserve"> outside of high-demand/ high price areas.</w:t>
      </w:r>
    </w:p>
    <w:p w14:paraId="4DDD9426" w14:textId="71BD6B0E"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Requirements for renting (ID, deposit, guarantor etc.)</w:t>
      </w:r>
    </w:p>
    <w:p w14:paraId="54C29233" w14:textId="6CCF9C82"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 xml:space="preserve">What to consider when choosing location (Do you need to consider school catchment areas when selecting properties to view?) </w:t>
      </w:r>
    </w:p>
    <w:p w14:paraId="67445322" w14:textId="188D1EF5"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 xml:space="preserve">How viewings of properties typically </w:t>
      </w:r>
      <w:r w:rsidR="007A064B" w:rsidRPr="00E85BC3">
        <w:rPr>
          <w:rFonts w:ascii="Arial" w:hAnsi="Arial" w:cs="Arial"/>
          <w:sz w:val="19"/>
          <w:szCs w:val="19"/>
        </w:rPr>
        <w:t>work</w:t>
      </w:r>
      <w:r w:rsidRPr="00E85BC3">
        <w:rPr>
          <w:rFonts w:ascii="Arial" w:hAnsi="Arial" w:cs="Arial"/>
          <w:sz w:val="19"/>
          <w:szCs w:val="19"/>
        </w:rPr>
        <w:t xml:space="preserve"> (e.g. open days, appointments etc.)</w:t>
      </w:r>
    </w:p>
    <w:p w14:paraId="25E2B926" w14:textId="4FCBF971"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How to safely deal with property owners during the viewing process.</w:t>
      </w:r>
    </w:p>
    <w:p w14:paraId="726A4133" w14:textId="3D189508"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What to do/ how to report if property owners or letting agents are harassing or suggesting favours for reduced rent</w:t>
      </w:r>
      <w:r w:rsidR="005A54DA" w:rsidRPr="00E85BC3">
        <w:rPr>
          <w:rFonts w:ascii="Arial" w:hAnsi="Arial" w:cs="Arial"/>
          <w:sz w:val="19"/>
          <w:szCs w:val="19"/>
        </w:rPr>
        <w:t>. What to do if neighbours are harassing you when you move in.</w:t>
      </w:r>
    </w:p>
    <w:p w14:paraId="5038431D" w14:textId="3E8A5532"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Where to find information on fair tenancy agreements</w:t>
      </w:r>
      <w:r w:rsidR="4C6AA4B9" w:rsidRPr="00E85BC3">
        <w:rPr>
          <w:rFonts w:ascii="Arial" w:hAnsi="Arial" w:cs="Arial"/>
          <w:sz w:val="19"/>
          <w:szCs w:val="19"/>
        </w:rPr>
        <w:t>.</w:t>
      </w:r>
    </w:p>
    <w:p w14:paraId="54EA0515" w14:textId="1C19AC76"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How tenancy agreements work (minimum durations, rolling periods etc.)</w:t>
      </w:r>
    </w:p>
    <w:p w14:paraId="223553C4" w14:textId="3833FA5D" w:rsidR="00875CB3" w:rsidRPr="00E85BC3" w:rsidRDefault="00875CB3" w:rsidP="002E0B77">
      <w:pPr>
        <w:pStyle w:val="ListParagraph"/>
        <w:numPr>
          <w:ilvl w:val="0"/>
          <w:numId w:val="22"/>
        </w:numPr>
        <w:jc w:val="both"/>
        <w:rPr>
          <w:rFonts w:ascii="Arial" w:hAnsi="Arial" w:cs="Arial"/>
          <w:sz w:val="19"/>
          <w:szCs w:val="19"/>
        </w:rPr>
      </w:pPr>
      <w:r w:rsidRPr="00E85BC3">
        <w:rPr>
          <w:rFonts w:ascii="Arial" w:hAnsi="Arial" w:cs="Arial"/>
          <w:sz w:val="19"/>
          <w:szCs w:val="19"/>
        </w:rPr>
        <w:t>What information the property owner</w:t>
      </w:r>
      <w:r w:rsidR="005A54DA" w:rsidRPr="00E85BC3">
        <w:rPr>
          <w:rFonts w:ascii="Arial" w:hAnsi="Arial" w:cs="Arial"/>
          <w:sz w:val="19"/>
          <w:szCs w:val="19"/>
        </w:rPr>
        <w:t>/</w:t>
      </w:r>
      <w:r w:rsidR="004E600D" w:rsidRPr="00E85BC3">
        <w:rPr>
          <w:rFonts w:ascii="Arial" w:hAnsi="Arial" w:cs="Arial"/>
          <w:sz w:val="19"/>
          <w:szCs w:val="19"/>
        </w:rPr>
        <w:t xml:space="preserve"> </w:t>
      </w:r>
      <w:r w:rsidR="005A54DA" w:rsidRPr="00E85BC3">
        <w:rPr>
          <w:rFonts w:ascii="Arial" w:hAnsi="Arial" w:cs="Arial"/>
          <w:sz w:val="19"/>
          <w:szCs w:val="19"/>
        </w:rPr>
        <w:t xml:space="preserve">letting agent </w:t>
      </w:r>
      <w:r w:rsidRPr="00E85BC3">
        <w:rPr>
          <w:rFonts w:ascii="Arial" w:hAnsi="Arial" w:cs="Arial"/>
          <w:sz w:val="19"/>
          <w:szCs w:val="19"/>
        </w:rPr>
        <w:t>should give you</w:t>
      </w:r>
      <w:r w:rsidR="005A54DA" w:rsidRPr="00E85BC3">
        <w:rPr>
          <w:rFonts w:ascii="Arial" w:hAnsi="Arial" w:cs="Arial"/>
          <w:sz w:val="19"/>
          <w:szCs w:val="19"/>
        </w:rPr>
        <w:t xml:space="preserve"> before your move in</w:t>
      </w:r>
    </w:p>
    <w:p w14:paraId="7AA36052" w14:textId="335C8199"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What information the property owner must give you before you move in (e.g. copy of the gas safety certificate)</w:t>
      </w:r>
      <w:r w:rsidR="7B26991E" w:rsidRPr="00E85BC3">
        <w:rPr>
          <w:rFonts w:ascii="Arial" w:hAnsi="Arial" w:cs="Arial"/>
          <w:sz w:val="19"/>
          <w:szCs w:val="19"/>
        </w:rPr>
        <w:t>.</w:t>
      </w:r>
    </w:p>
    <w:p w14:paraId="221AAF09" w14:textId="779FD245"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How to protect your deposit and how to get it back at the end of the tenancy.</w:t>
      </w:r>
    </w:p>
    <w:p w14:paraId="34A26336" w14:textId="7EFC3706"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How the eviction process works and who to go to for support if at risk of forced eviction.</w:t>
      </w:r>
    </w:p>
    <w:p w14:paraId="705E84D0" w14:textId="074009C2"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Any social protection programmes that can be accessed to support with rental costs.</w:t>
      </w:r>
    </w:p>
    <w:p w14:paraId="195E216C" w14:textId="5D663F3F"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Responsibilities related to taxes and utilities</w:t>
      </w:r>
      <w:r w:rsidR="4EE4CEA6" w:rsidRPr="00E85BC3">
        <w:rPr>
          <w:rFonts w:ascii="Arial" w:hAnsi="Arial" w:cs="Arial"/>
          <w:sz w:val="19"/>
          <w:szCs w:val="19"/>
        </w:rPr>
        <w:t>.</w:t>
      </w:r>
    </w:p>
    <w:p w14:paraId="68EFB189" w14:textId="23881E50" w:rsidR="005A54DA" w:rsidRPr="00E85BC3" w:rsidRDefault="005A54DA" w:rsidP="002E0B77">
      <w:pPr>
        <w:pStyle w:val="ListParagraph"/>
        <w:numPr>
          <w:ilvl w:val="0"/>
          <w:numId w:val="22"/>
        </w:numPr>
        <w:jc w:val="both"/>
        <w:rPr>
          <w:rFonts w:ascii="Arial" w:hAnsi="Arial" w:cs="Arial"/>
          <w:sz w:val="19"/>
          <w:szCs w:val="19"/>
        </w:rPr>
      </w:pPr>
      <w:r w:rsidRPr="00E85BC3">
        <w:rPr>
          <w:rFonts w:ascii="Arial" w:hAnsi="Arial" w:cs="Arial"/>
          <w:sz w:val="19"/>
          <w:szCs w:val="19"/>
        </w:rPr>
        <w:t>Responsibilities related to maintenance</w:t>
      </w:r>
      <w:r w:rsidR="4EE4CEA6" w:rsidRPr="00E85BC3">
        <w:rPr>
          <w:rFonts w:ascii="Arial" w:hAnsi="Arial" w:cs="Arial"/>
          <w:sz w:val="19"/>
          <w:szCs w:val="19"/>
        </w:rPr>
        <w:t>.</w:t>
      </w:r>
    </w:p>
    <w:p w14:paraId="6A9F89F4" w14:textId="4435A532" w:rsidR="002B196D" w:rsidRPr="00E85BC3" w:rsidRDefault="005A54DA" w:rsidP="002E0B77">
      <w:pPr>
        <w:jc w:val="both"/>
        <w:rPr>
          <w:rFonts w:ascii="Arial" w:hAnsi="Arial" w:cs="Arial"/>
          <w:sz w:val="19"/>
          <w:szCs w:val="19"/>
        </w:rPr>
      </w:pPr>
      <w:r w:rsidRPr="00E85BC3">
        <w:rPr>
          <w:rFonts w:ascii="Arial" w:hAnsi="Arial" w:cs="Arial"/>
          <w:sz w:val="19"/>
          <w:szCs w:val="19"/>
        </w:rPr>
        <w:t xml:space="preserve">This list is non-exhaustive, work with the target population and representative of property owners and letting agents to determine the information gap and develop appropriate information products. </w:t>
      </w:r>
    </w:p>
    <w:p w14:paraId="7492A0E9" w14:textId="77777777" w:rsidR="004E600D" w:rsidRDefault="004E600D" w:rsidP="002E0B77">
      <w:pPr>
        <w:pStyle w:val="Heading1"/>
        <w:jc w:val="both"/>
        <w:rPr>
          <w:rFonts w:ascii="Century Gothic" w:hAnsi="Century Gothic" w:cs="Arial"/>
          <w:b/>
          <w:bCs/>
          <w:sz w:val="24"/>
          <w:szCs w:val="24"/>
        </w:rPr>
      </w:pPr>
    </w:p>
    <w:p w14:paraId="4717C248" w14:textId="0B667491" w:rsidR="002B196D" w:rsidRPr="00E85BC3" w:rsidRDefault="002B196D" w:rsidP="002E0B77">
      <w:pPr>
        <w:pStyle w:val="Heading1"/>
        <w:jc w:val="both"/>
        <w:rPr>
          <w:rFonts w:ascii="Century Gothic" w:hAnsi="Century Gothic" w:cs="Arial"/>
          <w:b/>
          <w:bCs/>
          <w:sz w:val="22"/>
          <w:szCs w:val="22"/>
        </w:rPr>
      </w:pPr>
      <w:r w:rsidRPr="00E85BC3">
        <w:rPr>
          <w:rFonts w:ascii="Century Gothic" w:hAnsi="Century Gothic" w:cs="Arial"/>
          <w:b/>
          <w:bCs/>
          <w:sz w:val="22"/>
          <w:szCs w:val="22"/>
        </w:rPr>
        <w:t xml:space="preserve">Other </w:t>
      </w:r>
      <w:r w:rsidR="0BC90B95" w:rsidRPr="00E85BC3">
        <w:rPr>
          <w:rFonts w:ascii="Century Gothic" w:hAnsi="Century Gothic" w:cs="Arial"/>
          <w:b/>
          <w:bCs/>
          <w:sz w:val="22"/>
          <w:szCs w:val="22"/>
        </w:rPr>
        <w:t>c</w:t>
      </w:r>
      <w:r w:rsidRPr="00E85BC3">
        <w:rPr>
          <w:rFonts w:ascii="Century Gothic" w:hAnsi="Century Gothic" w:cs="Arial"/>
          <w:b/>
          <w:bCs/>
          <w:sz w:val="22"/>
          <w:szCs w:val="22"/>
        </w:rPr>
        <w:t xml:space="preserve">ontent to </w:t>
      </w:r>
      <w:r w:rsidR="3D7D59E8" w:rsidRPr="00E85BC3">
        <w:rPr>
          <w:rFonts w:ascii="Century Gothic" w:hAnsi="Century Gothic" w:cs="Arial"/>
          <w:b/>
          <w:bCs/>
          <w:sz w:val="22"/>
          <w:szCs w:val="22"/>
        </w:rPr>
        <w:t>c</w:t>
      </w:r>
      <w:r w:rsidRPr="00E85BC3">
        <w:rPr>
          <w:rFonts w:ascii="Century Gothic" w:hAnsi="Century Gothic" w:cs="Arial"/>
          <w:b/>
          <w:bCs/>
          <w:sz w:val="22"/>
          <w:szCs w:val="22"/>
        </w:rPr>
        <w:t>onsider</w:t>
      </w:r>
    </w:p>
    <w:p w14:paraId="6923A660" w14:textId="0EAE98C8" w:rsidR="002B196D" w:rsidRPr="00E85BC3" w:rsidRDefault="002E0B77" w:rsidP="002E0B77">
      <w:pPr>
        <w:jc w:val="both"/>
        <w:rPr>
          <w:rFonts w:ascii="Arial" w:hAnsi="Arial" w:cs="Arial"/>
          <w:sz w:val="19"/>
          <w:szCs w:val="19"/>
        </w:rPr>
      </w:pPr>
      <w:r>
        <w:rPr>
          <w:rFonts w:ascii="Arial" w:hAnsi="Arial" w:cs="Arial"/>
          <w:sz w:val="19"/>
          <w:szCs w:val="19"/>
        </w:rPr>
        <w:br/>
      </w:r>
      <w:r w:rsidR="002B196D" w:rsidRPr="00E85BC3">
        <w:rPr>
          <w:rFonts w:ascii="Arial" w:hAnsi="Arial" w:cs="Arial"/>
          <w:sz w:val="19"/>
          <w:szCs w:val="19"/>
        </w:rPr>
        <w:t xml:space="preserve">It may be appropriate to include </w:t>
      </w:r>
      <w:r w:rsidR="000F1B6B" w:rsidRPr="00E85BC3">
        <w:rPr>
          <w:rFonts w:ascii="Arial" w:hAnsi="Arial" w:cs="Arial"/>
          <w:sz w:val="19"/>
          <w:szCs w:val="19"/>
        </w:rPr>
        <w:t xml:space="preserve">more general </w:t>
      </w:r>
      <w:r w:rsidR="002B196D" w:rsidRPr="00E85BC3">
        <w:rPr>
          <w:rFonts w:ascii="Arial" w:hAnsi="Arial" w:cs="Arial"/>
          <w:sz w:val="19"/>
          <w:szCs w:val="19"/>
        </w:rPr>
        <w:t xml:space="preserve">information support such as that related </w:t>
      </w:r>
      <w:r w:rsidR="000F1B6B" w:rsidRPr="00E85BC3">
        <w:rPr>
          <w:rFonts w:ascii="Arial" w:hAnsi="Arial" w:cs="Arial"/>
          <w:sz w:val="19"/>
          <w:szCs w:val="19"/>
        </w:rPr>
        <w:t xml:space="preserve">access to services more broadly, as part of this it may be possible to link to existing resources such as information on schools (and other educational facilitates access), </w:t>
      </w:r>
      <w:r w:rsidR="0048105F" w:rsidRPr="00E85BC3">
        <w:rPr>
          <w:rFonts w:ascii="Arial" w:hAnsi="Arial" w:cs="Arial"/>
          <w:sz w:val="19"/>
          <w:szCs w:val="19"/>
        </w:rPr>
        <w:t>medical facilities, markets (especially food shopping and clothe shopping information), leisure facilities</w:t>
      </w:r>
      <w:r w:rsidR="007A5E4D" w:rsidRPr="00E85BC3">
        <w:rPr>
          <w:rFonts w:ascii="Arial" w:hAnsi="Arial" w:cs="Arial"/>
          <w:sz w:val="19"/>
          <w:szCs w:val="19"/>
        </w:rPr>
        <w:t>.</w:t>
      </w:r>
      <w:r w:rsidR="165575E4" w:rsidRPr="00E85BC3">
        <w:rPr>
          <w:rFonts w:ascii="Arial" w:hAnsi="Arial" w:cs="Arial"/>
          <w:sz w:val="19"/>
          <w:szCs w:val="19"/>
        </w:rPr>
        <w:t xml:space="preserve"> There may also be specific facilities available to support people with disabilities and information to support accessing these services can also be shared.</w:t>
      </w:r>
      <w:r w:rsidR="007A5E4D" w:rsidRPr="00E85BC3">
        <w:rPr>
          <w:rFonts w:ascii="Arial" w:hAnsi="Arial" w:cs="Arial"/>
          <w:sz w:val="19"/>
          <w:szCs w:val="19"/>
        </w:rPr>
        <w:t xml:space="preserve"> </w:t>
      </w:r>
      <w:r w:rsidR="5484620D" w:rsidRPr="00E85BC3">
        <w:rPr>
          <w:rFonts w:ascii="Arial" w:hAnsi="Arial" w:cs="Arial"/>
          <w:sz w:val="19"/>
          <w:szCs w:val="19"/>
        </w:rPr>
        <w:t>This is particularly relevant and needed when working with migrants and displaced people; as their information needs are high</w:t>
      </w:r>
      <w:r w:rsidR="785E1E19" w:rsidRPr="00E85BC3">
        <w:rPr>
          <w:rFonts w:ascii="Arial" w:hAnsi="Arial" w:cs="Arial"/>
          <w:sz w:val="19"/>
          <w:szCs w:val="19"/>
        </w:rPr>
        <w:t xml:space="preserve">, such as information about employment, education, access to healthcare, rights, duties and customs. </w:t>
      </w:r>
      <w:r w:rsidR="2880D4CC" w:rsidRPr="00E85BC3">
        <w:rPr>
          <w:rFonts w:ascii="Arial" w:hAnsi="Arial" w:cs="Arial"/>
          <w:sz w:val="19"/>
          <w:szCs w:val="19"/>
        </w:rPr>
        <w:t xml:space="preserve">It may be also needed to consider providing information </w:t>
      </w:r>
      <w:r w:rsidR="785E1E19" w:rsidRPr="00E85BC3">
        <w:rPr>
          <w:rFonts w:ascii="Arial" w:hAnsi="Arial" w:cs="Arial"/>
          <w:sz w:val="19"/>
          <w:szCs w:val="19"/>
        </w:rPr>
        <w:t>in relevant lang</w:t>
      </w:r>
      <w:r w:rsidR="3BDAA34A" w:rsidRPr="00E85BC3">
        <w:rPr>
          <w:rFonts w:ascii="Arial" w:hAnsi="Arial" w:cs="Arial"/>
          <w:sz w:val="19"/>
          <w:szCs w:val="19"/>
        </w:rPr>
        <w:t>uage</w:t>
      </w:r>
      <w:r w:rsidR="0BE8B192" w:rsidRPr="00E85BC3">
        <w:rPr>
          <w:rFonts w:ascii="Arial" w:hAnsi="Arial" w:cs="Arial"/>
          <w:sz w:val="19"/>
          <w:szCs w:val="19"/>
        </w:rPr>
        <w:t>s.</w:t>
      </w:r>
      <w:r w:rsidR="3BDAA34A" w:rsidRPr="00E85BC3">
        <w:rPr>
          <w:rFonts w:ascii="Arial" w:hAnsi="Arial" w:cs="Arial"/>
          <w:sz w:val="19"/>
          <w:szCs w:val="19"/>
        </w:rPr>
        <w:t xml:space="preserve"> </w:t>
      </w:r>
    </w:p>
    <w:sectPr w:rsidR="002B196D" w:rsidRPr="00E85BC3" w:rsidSect="002E0B77">
      <w:headerReference w:type="default" r:id="rId10"/>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2D74" w14:textId="77777777" w:rsidR="00880E8E" w:rsidRDefault="00880E8E" w:rsidP="001301EF">
      <w:pPr>
        <w:spacing w:after="0" w:line="240" w:lineRule="auto"/>
      </w:pPr>
      <w:r>
        <w:separator/>
      </w:r>
    </w:p>
  </w:endnote>
  <w:endnote w:type="continuationSeparator" w:id="0">
    <w:p w14:paraId="4FDECE37" w14:textId="77777777" w:rsidR="00880E8E" w:rsidRDefault="00880E8E"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2064361"/>
      <w:docPartObj>
        <w:docPartGallery w:val="Page Numbers (Bottom of Page)"/>
        <w:docPartUnique/>
      </w:docPartObj>
    </w:sdtPr>
    <w:sdtEndPr>
      <w:rPr>
        <w:rStyle w:val="PageNumber"/>
      </w:rPr>
    </w:sdtEndPr>
    <w:sdtContent>
      <w:p w14:paraId="2BBC2A36" w14:textId="2192EB78" w:rsidR="002E0B77" w:rsidRDefault="002E0B77"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29FAC" w14:textId="77777777" w:rsidR="002E0B77" w:rsidRDefault="002E0B77" w:rsidP="002E0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8633549"/>
      <w:docPartObj>
        <w:docPartGallery w:val="Page Numbers (Bottom of Page)"/>
        <w:docPartUnique/>
      </w:docPartObj>
    </w:sdtPr>
    <w:sdtEndPr>
      <w:rPr>
        <w:rStyle w:val="PageNumber"/>
      </w:rPr>
    </w:sdtEndPr>
    <w:sdtContent>
      <w:p w14:paraId="3991B472" w14:textId="76E77D8B" w:rsidR="002E0B77" w:rsidRDefault="002E0B77" w:rsidP="001777BA">
        <w:pPr>
          <w:pStyle w:val="Footer"/>
          <w:framePr w:wrap="none" w:vAnchor="text" w:hAnchor="margin" w:xAlign="right" w:y="1"/>
          <w:rPr>
            <w:rStyle w:val="PageNumber"/>
          </w:rPr>
        </w:pPr>
        <w:r w:rsidRPr="002E0B77">
          <w:rPr>
            <w:rStyle w:val="PageNumber"/>
            <w:color w:val="F5333F"/>
          </w:rPr>
          <w:fldChar w:fldCharType="begin"/>
        </w:r>
        <w:r w:rsidRPr="002E0B77">
          <w:rPr>
            <w:rStyle w:val="PageNumber"/>
            <w:color w:val="F5333F"/>
          </w:rPr>
          <w:instrText xml:space="preserve"> PAGE </w:instrText>
        </w:r>
        <w:r w:rsidRPr="002E0B77">
          <w:rPr>
            <w:rStyle w:val="PageNumber"/>
            <w:color w:val="F5333F"/>
          </w:rPr>
          <w:fldChar w:fldCharType="separate"/>
        </w:r>
        <w:r w:rsidRPr="002E0B77">
          <w:rPr>
            <w:rStyle w:val="PageNumber"/>
            <w:noProof/>
            <w:color w:val="F5333F"/>
          </w:rPr>
          <w:t>2</w:t>
        </w:r>
        <w:r w:rsidRPr="002E0B77">
          <w:rPr>
            <w:rStyle w:val="PageNumber"/>
            <w:color w:val="F5333F"/>
          </w:rPr>
          <w:fldChar w:fldCharType="end"/>
        </w:r>
      </w:p>
    </w:sdtContent>
  </w:sdt>
  <w:p w14:paraId="582486C8" w14:textId="10D91934" w:rsidR="005F218C" w:rsidRDefault="005F218C" w:rsidP="002E0B77">
    <w:pPr>
      <w:pStyle w:val="Footer"/>
      <w:ind w:right="360"/>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FC8E" w14:textId="77777777" w:rsidR="00880E8E" w:rsidRDefault="00880E8E" w:rsidP="001301EF">
      <w:pPr>
        <w:spacing w:after="0" w:line="240" w:lineRule="auto"/>
      </w:pPr>
      <w:r>
        <w:separator/>
      </w:r>
    </w:p>
  </w:footnote>
  <w:footnote w:type="continuationSeparator" w:id="0">
    <w:p w14:paraId="5711598C" w14:textId="77777777" w:rsidR="00880E8E" w:rsidRDefault="00880E8E"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436EFC15" w:rsidR="005F218C" w:rsidRPr="002E0B77" w:rsidRDefault="005F218C" w:rsidP="002E0B77">
    <w:pPr>
      <w:pStyle w:val="Header"/>
      <w:jc w:val="center"/>
      <w:rPr>
        <w:rFonts w:ascii="Arial" w:hAnsi="Arial" w:cs="Arial"/>
        <w:color w:val="F5333F"/>
        <w:sz w:val="16"/>
        <w:szCs w:val="16"/>
      </w:rPr>
    </w:pPr>
    <w:r w:rsidRPr="002E0B77">
      <w:rPr>
        <w:rFonts w:ascii="Arial" w:hAnsi="Arial" w:cs="Arial"/>
        <w:color w:val="F5333F"/>
        <w:sz w:val="16"/>
        <w:szCs w:val="16"/>
      </w:rPr>
      <w:t xml:space="preserve">Rental Assistance </w:t>
    </w:r>
    <w:r w:rsidR="009C2301" w:rsidRPr="002E0B77">
      <w:rPr>
        <w:rFonts w:ascii="Arial" w:hAnsi="Arial" w:cs="Arial"/>
        <w:color w:val="F5333F"/>
        <w:sz w:val="16"/>
        <w:szCs w:val="16"/>
      </w:rPr>
      <w:t>SoP 3.5 – Information Assistance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AEF2" w14:textId="15A9092D" w:rsidR="002E0B77" w:rsidRDefault="002E0B77">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3B94C3AB" wp14:editId="005C8C71">
              <wp:simplePos x="0" y="0"/>
              <wp:positionH relativeFrom="column">
                <wp:posOffset>1524000</wp:posOffset>
              </wp:positionH>
              <wp:positionV relativeFrom="paragraph">
                <wp:posOffset>68580</wp:posOffset>
              </wp:positionV>
              <wp:extent cx="4023360" cy="1168400"/>
              <wp:effectExtent l="0" t="0" r="0" b="0"/>
              <wp:wrapNone/>
              <wp:docPr id="1924065200" name="Cuadro de texto 2"/>
              <wp:cNvGraphicFramePr/>
              <a:graphic xmlns:a="http://schemas.openxmlformats.org/drawingml/2006/main">
                <a:graphicData uri="http://schemas.microsoft.com/office/word/2010/wordprocessingShape">
                  <wps:wsp>
                    <wps:cNvSpPr txBox="1"/>
                    <wps:spPr>
                      <a:xfrm>
                        <a:off x="0" y="0"/>
                        <a:ext cx="4023360" cy="1168400"/>
                      </a:xfrm>
                      <a:prstGeom prst="rect">
                        <a:avLst/>
                      </a:prstGeom>
                      <a:noFill/>
                      <a:ln w="6350">
                        <a:noFill/>
                      </a:ln>
                    </wps:spPr>
                    <wps:txbx>
                      <w:txbxContent>
                        <w:p w14:paraId="1DA97857" w14:textId="5E5D4D57" w:rsidR="002E0B77" w:rsidRPr="009503F7" w:rsidRDefault="002E0B77" w:rsidP="002E0B7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2E0B77">
                            <w:rPr>
                              <w:rFonts w:ascii="Century Gothic" w:eastAsiaTheme="majorEastAsia" w:hAnsi="Century Gothic" w:cs="Arial"/>
                              <w:b/>
                              <w:bCs/>
                              <w:color w:val="F5333F"/>
                              <w:spacing w:val="-10"/>
                              <w:kern w:val="28"/>
                              <w:sz w:val="44"/>
                              <w:szCs w:val="44"/>
                            </w:rPr>
                            <w:t xml:space="preserve">SoP </w:t>
                          </w:r>
                          <w:proofErr w:type="gramStart"/>
                          <w:r w:rsidRPr="002E0B77">
                            <w:rPr>
                              <w:rFonts w:ascii="Century Gothic" w:eastAsiaTheme="majorEastAsia" w:hAnsi="Century Gothic" w:cs="Arial"/>
                              <w:b/>
                              <w:bCs/>
                              <w:color w:val="F5333F"/>
                              <w:spacing w:val="-10"/>
                              <w:kern w:val="28"/>
                              <w:sz w:val="44"/>
                              <w:szCs w:val="44"/>
                            </w:rPr>
                            <w:t>3.5  -</w:t>
                          </w:r>
                          <w:proofErr w:type="gramEnd"/>
                          <w:r w:rsidRPr="002E0B77">
                            <w:rPr>
                              <w:rFonts w:ascii="Century Gothic" w:eastAsiaTheme="majorEastAsia" w:hAnsi="Century Gothic" w:cs="Arial"/>
                              <w:b/>
                              <w:bCs/>
                              <w:color w:val="F5333F"/>
                              <w:spacing w:val="-10"/>
                              <w:kern w:val="28"/>
                              <w:sz w:val="44"/>
                              <w:szCs w:val="44"/>
                            </w:rPr>
                            <w:t xml:space="preserve"> Information Assistance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4C3AB" id="_x0000_t202" coordsize="21600,21600" o:spt="202" path="m,l,21600r21600,l21600,xe">
              <v:stroke joinstyle="miter"/>
              <v:path gradientshapeok="t" o:connecttype="rect"/>
            </v:shapetype>
            <v:shape id="Cuadro de texto 2" o:spid="_x0000_s1027" type="#_x0000_t202" style="position:absolute;margin-left:120pt;margin-top:5.4pt;width:316.8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" filled="f" stroked="f" strokeweight=".5pt">
              <v:textbox>
                <w:txbxContent>
                  <w:p w14:paraId="1DA97857" w14:textId="5E5D4D57" w:rsidR="002E0B77" w:rsidRPr="009503F7" w:rsidRDefault="002E0B77" w:rsidP="002E0B7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2E0B77">
                      <w:rPr>
                        <w:rFonts w:ascii="Century Gothic" w:eastAsiaTheme="majorEastAsia" w:hAnsi="Century Gothic" w:cs="Arial"/>
                        <w:b/>
                        <w:bCs/>
                        <w:color w:val="F5333F"/>
                        <w:spacing w:val="-10"/>
                        <w:kern w:val="28"/>
                        <w:sz w:val="44"/>
                        <w:szCs w:val="44"/>
                      </w:rPr>
                      <w:t xml:space="preserve">SoP </w:t>
                    </w:r>
                    <w:proofErr w:type="gramStart"/>
                    <w:r w:rsidRPr="002E0B77">
                      <w:rPr>
                        <w:rFonts w:ascii="Century Gothic" w:eastAsiaTheme="majorEastAsia" w:hAnsi="Century Gothic" w:cs="Arial"/>
                        <w:b/>
                        <w:bCs/>
                        <w:color w:val="F5333F"/>
                        <w:spacing w:val="-10"/>
                        <w:kern w:val="28"/>
                        <w:sz w:val="44"/>
                        <w:szCs w:val="44"/>
                      </w:rPr>
                      <w:t>3.5  -</w:t>
                    </w:r>
                    <w:proofErr w:type="gramEnd"/>
                    <w:r w:rsidRPr="002E0B77">
                      <w:rPr>
                        <w:rFonts w:ascii="Century Gothic" w:eastAsiaTheme="majorEastAsia" w:hAnsi="Century Gothic" w:cs="Arial"/>
                        <w:b/>
                        <w:bCs/>
                        <w:color w:val="F5333F"/>
                        <w:spacing w:val="-10"/>
                        <w:kern w:val="28"/>
                        <w:sz w:val="44"/>
                        <w:szCs w:val="44"/>
                      </w:rPr>
                      <w:t xml:space="preserve"> Information Assistance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E42A6E6" wp14:editId="58F14983">
          <wp:simplePos x="0" y="0"/>
          <wp:positionH relativeFrom="column">
            <wp:posOffset>-944880</wp:posOffset>
          </wp:positionH>
          <wp:positionV relativeFrom="page">
            <wp:posOffset>6985</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AF26628"/>
    <w:multiLevelType w:val="hybridMultilevel"/>
    <w:tmpl w:val="5C30FD2E"/>
    <w:lvl w:ilvl="0" w:tplc="763C420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0"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B75D7B"/>
    <w:multiLevelType w:val="hybridMultilevel"/>
    <w:tmpl w:val="0004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0282"/>
    <w:multiLevelType w:val="hybridMultilevel"/>
    <w:tmpl w:val="D9588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4036147"/>
    <w:multiLevelType w:val="hybridMultilevel"/>
    <w:tmpl w:val="78A8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714CB"/>
    <w:multiLevelType w:val="hybridMultilevel"/>
    <w:tmpl w:val="E5B84678"/>
    <w:lvl w:ilvl="0" w:tplc="949805B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1556221">
    <w:abstractNumId w:val="11"/>
  </w:num>
  <w:num w:numId="2" w16cid:durableId="1307317685">
    <w:abstractNumId w:val="21"/>
  </w:num>
  <w:num w:numId="3" w16cid:durableId="1375888059">
    <w:abstractNumId w:val="9"/>
  </w:num>
  <w:num w:numId="4" w16cid:durableId="462117161">
    <w:abstractNumId w:val="10"/>
  </w:num>
  <w:num w:numId="5" w16cid:durableId="1171137479">
    <w:abstractNumId w:val="8"/>
  </w:num>
  <w:num w:numId="6" w16cid:durableId="2081638827">
    <w:abstractNumId w:val="1"/>
  </w:num>
  <w:num w:numId="7" w16cid:durableId="1869102553">
    <w:abstractNumId w:val="19"/>
  </w:num>
  <w:num w:numId="8" w16cid:durableId="1699771869">
    <w:abstractNumId w:val="5"/>
  </w:num>
  <w:num w:numId="9" w16cid:durableId="32118787">
    <w:abstractNumId w:val="15"/>
  </w:num>
  <w:num w:numId="10" w16cid:durableId="565803007">
    <w:abstractNumId w:val="0"/>
  </w:num>
  <w:num w:numId="11" w16cid:durableId="723526735">
    <w:abstractNumId w:val="2"/>
  </w:num>
  <w:num w:numId="12" w16cid:durableId="352607706">
    <w:abstractNumId w:val="14"/>
  </w:num>
  <w:num w:numId="13" w16cid:durableId="1140419985">
    <w:abstractNumId w:val="3"/>
  </w:num>
  <w:num w:numId="14" w16cid:durableId="1567229601">
    <w:abstractNumId w:val="12"/>
  </w:num>
  <w:num w:numId="15" w16cid:durableId="1326468700">
    <w:abstractNumId w:val="17"/>
  </w:num>
  <w:num w:numId="16" w16cid:durableId="927928885">
    <w:abstractNumId w:val="4"/>
  </w:num>
  <w:num w:numId="17" w16cid:durableId="241257114">
    <w:abstractNumId w:val="7"/>
  </w:num>
  <w:num w:numId="18" w16cid:durableId="806319170">
    <w:abstractNumId w:val="16"/>
  </w:num>
  <w:num w:numId="19" w16cid:durableId="690299248">
    <w:abstractNumId w:val="20"/>
  </w:num>
  <w:num w:numId="20" w16cid:durableId="1805460573">
    <w:abstractNumId w:val="6"/>
  </w:num>
  <w:num w:numId="21" w16cid:durableId="1836265871">
    <w:abstractNumId w:val="18"/>
  </w:num>
  <w:num w:numId="22" w16cid:durableId="276445886">
    <w:abstractNumId w:val="13"/>
  </w:num>
  <w:num w:numId="23" w16cid:durableId="6095114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42DF"/>
    <w:rsid w:val="00044139"/>
    <w:rsid w:val="00075681"/>
    <w:rsid w:val="000A78A5"/>
    <w:rsid w:val="000A7957"/>
    <w:rsid w:val="000D057D"/>
    <w:rsid w:val="000D058A"/>
    <w:rsid w:val="000E3F2E"/>
    <w:rsid w:val="000F1B6B"/>
    <w:rsid w:val="000F68F5"/>
    <w:rsid w:val="001301EF"/>
    <w:rsid w:val="001603F2"/>
    <w:rsid w:val="00182F19"/>
    <w:rsid w:val="001B04E4"/>
    <w:rsid w:val="001D6571"/>
    <w:rsid w:val="00202E28"/>
    <w:rsid w:val="00215ACA"/>
    <w:rsid w:val="00236CD5"/>
    <w:rsid w:val="00237B51"/>
    <w:rsid w:val="0024264F"/>
    <w:rsid w:val="002544E8"/>
    <w:rsid w:val="002623CE"/>
    <w:rsid w:val="0026768B"/>
    <w:rsid w:val="00267FE3"/>
    <w:rsid w:val="00274B75"/>
    <w:rsid w:val="0028680A"/>
    <w:rsid w:val="002945C4"/>
    <w:rsid w:val="002B196D"/>
    <w:rsid w:val="002E0B77"/>
    <w:rsid w:val="002F48DA"/>
    <w:rsid w:val="00336862"/>
    <w:rsid w:val="00342D67"/>
    <w:rsid w:val="00365C3A"/>
    <w:rsid w:val="003A2066"/>
    <w:rsid w:val="003B00B6"/>
    <w:rsid w:val="003E38BE"/>
    <w:rsid w:val="00416EF6"/>
    <w:rsid w:val="00440DE4"/>
    <w:rsid w:val="00460E1A"/>
    <w:rsid w:val="0048105F"/>
    <w:rsid w:val="004B0D29"/>
    <w:rsid w:val="004D2F0C"/>
    <w:rsid w:val="004E600D"/>
    <w:rsid w:val="004F7259"/>
    <w:rsid w:val="0050200D"/>
    <w:rsid w:val="00513E6E"/>
    <w:rsid w:val="005270E6"/>
    <w:rsid w:val="00535C16"/>
    <w:rsid w:val="0056069D"/>
    <w:rsid w:val="0058059E"/>
    <w:rsid w:val="00597956"/>
    <w:rsid w:val="005A1231"/>
    <w:rsid w:val="005A54DA"/>
    <w:rsid w:val="005B5102"/>
    <w:rsid w:val="005F218C"/>
    <w:rsid w:val="00617DF7"/>
    <w:rsid w:val="00622858"/>
    <w:rsid w:val="006423C6"/>
    <w:rsid w:val="00665755"/>
    <w:rsid w:val="006C4044"/>
    <w:rsid w:val="006D6CF5"/>
    <w:rsid w:val="006E4715"/>
    <w:rsid w:val="006E73BC"/>
    <w:rsid w:val="006F743A"/>
    <w:rsid w:val="00704FA4"/>
    <w:rsid w:val="00705759"/>
    <w:rsid w:val="007103B2"/>
    <w:rsid w:val="00712AE8"/>
    <w:rsid w:val="00751BD9"/>
    <w:rsid w:val="00753E03"/>
    <w:rsid w:val="00763ED7"/>
    <w:rsid w:val="0077738D"/>
    <w:rsid w:val="007A064B"/>
    <w:rsid w:val="007A3AE7"/>
    <w:rsid w:val="007A5E4D"/>
    <w:rsid w:val="007D701D"/>
    <w:rsid w:val="007E0C97"/>
    <w:rsid w:val="007F1060"/>
    <w:rsid w:val="007F1454"/>
    <w:rsid w:val="00821898"/>
    <w:rsid w:val="008265EE"/>
    <w:rsid w:val="00826F2D"/>
    <w:rsid w:val="00830172"/>
    <w:rsid w:val="00847949"/>
    <w:rsid w:val="008503CD"/>
    <w:rsid w:val="008527D7"/>
    <w:rsid w:val="00853E03"/>
    <w:rsid w:val="00870456"/>
    <w:rsid w:val="00875CB3"/>
    <w:rsid w:val="00880E8E"/>
    <w:rsid w:val="008964D7"/>
    <w:rsid w:val="008D5351"/>
    <w:rsid w:val="008D7710"/>
    <w:rsid w:val="00902945"/>
    <w:rsid w:val="0092080E"/>
    <w:rsid w:val="009358FC"/>
    <w:rsid w:val="00945A83"/>
    <w:rsid w:val="00972F68"/>
    <w:rsid w:val="0098300D"/>
    <w:rsid w:val="009A1AF7"/>
    <w:rsid w:val="009A746F"/>
    <w:rsid w:val="009C2301"/>
    <w:rsid w:val="009C3BE2"/>
    <w:rsid w:val="009C3DE0"/>
    <w:rsid w:val="009F0B09"/>
    <w:rsid w:val="00A37009"/>
    <w:rsid w:val="00A60741"/>
    <w:rsid w:val="00A614AF"/>
    <w:rsid w:val="00A633D9"/>
    <w:rsid w:val="00A63602"/>
    <w:rsid w:val="00AB610D"/>
    <w:rsid w:val="00B247D0"/>
    <w:rsid w:val="00B24AAC"/>
    <w:rsid w:val="00B273AF"/>
    <w:rsid w:val="00B5547A"/>
    <w:rsid w:val="00B659F0"/>
    <w:rsid w:val="00B842F5"/>
    <w:rsid w:val="00BB3D9B"/>
    <w:rsid w:val="00BB47D1"/>
    <w:rsid w:val="00BF0AB2"/>
    <w:rsid w:val="00BF2BC9"/>
    <w:rsid w:val="00C248C7"/>
    <w:rsid w:val="00C37AC2"/>
    <w:rsid w:val="00C71696"/>
    <w:rsid w:val="00CB1A6A"/>
    <w:rsid w:val="00CB417B"/>
    <w:rsid w:val="00CB50B5"/>
    <w:rsid w:val="00CD3C60"/>
    <w:rsid w:val="00CF2190"/>
    <w:rsid w:val="00CF27C9"/>
    <w:rsid w:val="00D12ECE"/>
    <w:rsid w:val="00D274FB"/>
    <w:rsid w:val="00D305EF"/>
    <w:rsid w:val="00D74CB7"/>
    <w:rsid w:val="00D92FBE"/>
    <w:rsid w:val="00DE24E8"/>
    <w:rsid w:val="00DF1D15"/>
    <w:rsid w:val="00DF52A4"/>
    <w:rsid w:val="00E11343"/>
    <w:rsid w:val="00E17AC9"/>
    <w:rsid w:val="00E55730"/>
    <w:rsid w:val="00E85BC3"/>
    <w:rsid w:val="00E95D60"/>
    <w:rsid w:val="00EA0FAE"/>
    <w:rsid w:val="00EA22B4"/>
    <w:rsid w:val="00EB56DD"/>
    <w:rsid w:val="00EF6E61"/>
    <w:rsid w:val="00F0238B"/>
    <w:rsid w:val="00F14540"/>
    <w:rsid w:val="00F25281"/>
    <w:rsid w:val="00F31754"/>
    <w:rsid w:val="00F43496"/>
    <w:rsid w:val="00FC15BB"/>
    <w:rsid w:val="00FD4224"/>
    <w:rsid w:val="00FE35A9"/>
    <w:rsid w:val="00FF090E"/>
    <w:rsid w:val="00FF16B8"/>
    <w:rsid w:val="048538DC"/>
    <w:rsid w:val="06F958A0"/>
    <w:rsid w:val="08C38C80"/>
    <w:rsid w:val="0BC90B95"/>
    <w:rsid w:val="0BE8B192"/>
    <w:rsid w:val="11D7D6E8"/>
    <w:rsid w:val="1242FE2A"/>
    <w:rsid w:val="138113E6"/>
    <w:rsid w:val="165575E4"/>
    <w:rsid w:val="1F519804"/>
    <w:rsid w:val="252D88FA"/>
    <w:rsid w:val="2880D4CC"/>
    <w:rsid w:val="3163FE94"/>
    <w:rsid w:val="3455C1D2"/>
    <w:rsid w:val="34A1301F"/>
    <w:rsid w:val="38484711"/>
    <w:rsid w:val="3947CC0A"/>
    <w:rsid w:val="3BDAA34A"/>
    <w:rsid w:val="3C029143"/>
    <w:rsid w:val="3D7D59E8"/>
    <w:rsid w:val="40BE6BAA"/>
    <w:rsid w:val="430A36FF"/>
    <w:rsid w:val="4641D7C1"/>
    <w:rsid w:val="49C7698E"/>
    <w:rsid w:val="4C6AA4B9"/>
    <w:rsid w:val="4EE4CEA6"/>
    <w:rsid w:val="5484620D"/>
    <w:rsid w:val="573C8312"/>
    <w:rsid w:val="5DA1D7A5"/>
    <w:rsid w:val="5FE726C9"/>
    <w:rsid w:val="627548C8"/>
    <w:rsid w:val="6E54D663"/>
    <w:rsid w:val="709AE03C"/>
    <w:rsid w:val="719FF8A2"/>
    <w:rsid w:val="73D8427A"/>
    <w:rsid w:val="73DAC79C"/>
    <w:rsid w:val="740B4A76"/>
    <w:rsid w:val="785E1E19"/>
    <w:rsid w:val="7B26991E"/>
    <w:rsid w:val="7CC6F282"/>
    <w:rsid w:val="7D63F1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2E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8B21E32B-169E-4581-8756-F5A3BF1EE02A}"/>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11</cp:revision>
  <dcterms:created xsi:type="dcterms:W3CDTF">2024-05-20T17:48:00Z</dcterms:created>
  <dcterms:modified xsi:type="dcterms:W3CDTF">2024-06-21T04:15:00Z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